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28C6" w:rsidRPr="00EA28C6" w:rsidRDefault="00D37CA9" w:rsidP="00E14286">
      <w:pPr>
        <w:spacing w:after="0" w:line="240" w:lineRule="auto"/>
        <w:jc w:val="center"/>
        <w:rPr>
          <w:rFonts w:ascii="Times New Roman" w:hAnsi="Times New Roman" w:cs="Times New Roman"/>
          <w:b/>
          <w:sz w:val="28"/>
          <w:szCs w:val="28"/>
        </w:rPr>
      </w:pPr>
      <w:r w:rsidRPr="00EA28C6">
        <w:rPr>
          <w:rFonts w:ascii="Times New Roman" w:hAnsi="Times New Roman" w:cs="Times New Roman"/>
          <w:b/>
          <w:sz w:val="28"/>
          <w:szCs w:val="28"/>
        </w:rPr>
        <w:t xml:space="preserve">Порівняльна таблиця до </w:t>
      </w:r>
      <w:proofErr w:type="spellStart"/>
      <w:r w:rsidRPr="00EA28C6">
        <w:rPr>
          <w:rFonts w:ascii="Times New Roman" w:hAnsi="Times New Roman" w:cs="Times New Roman"/>
          <w:b/>
          <w:sz w:val="28"/>
          <w:szCs w:val="28"/>
        </w:rPr>
        <w:t>проєкту</w:t>
      </w:r>
      <w:proofErr w:type="spellEnd"/>
      <w:r w:rsidRPr="00EA28C6">
        <w:rPr>
          <w:rFonts w:ascii="Times New Roman" w:hAnsi="Times New Roman" w:cs="Times New Roman"/>
          <w:b/>
          <w:sz w:val="28"/>
          <w:szCs w:val="28"/>
        </w:rPr>
        <w:t xml:space="preserve"> постанови НКРЕКП </w:t>
      </w:r>
      <w:r w:rsidR="00EA28C6" w:rsidRPr="00EA28C6">
        <w:rPr>
          <w:rFonts w:ascii="Times New Roman" w:hAnsi="Times New Roman" w:cs="Times New Roman"/>
          <w:b/>
          <w:sz w:val="28"/>
          <w:szCs w:val="28"/>
        </w:rPr>
        <w:t xml:space="preserve">«Про затвердження </w:t>
      </w:r>
      <w:r w:rsidR="00870483">
        <w:rPr>
          <w:rFonts w:ascii="Times New Roman" w:hAnsi="Times New Roman" w:cs="Times New Roman"/>
          <w:b/>
          <w:sz w:val="28"/>
          <w:szCs w:val="28"/>
        </w:rPr>
        <w:t xml:space="preserve">та </w:t>
      </w:r>
      <w:r w:rsidR="001A274C">
        <w:rPr>
          <w:rFonts w:ascii="Times New Roman" w:hAnsi="Times New Roman" w:cs="Times New Roman"/>
          <w:b/>
          <w:sz w:val="28"/>
          <w:szCs w:val="28"/>
        </w:rPr>
        <w:t xml:space="preserve">внесення </w:t>
      </w:r>
      <w:r w:rsidR="008B462A">
        <w:rPr>
          <w:rFonts w:ascii="Times New Roman" w:hAnsi="Times New Roman" w:cs="Times New Roman"/>
          <w:b/>
          <w:sz w:val="28"/>
          <w:szCs w:val="28"/>
        </w:rPr>
        <w:t xml:space="preserve">змін </w:t>
      </w:r>
      <w:r w:rsidR="001A274C">
        <w:rPr>
          <w:rFonts w:ascii="Times New Roman" w:hAnsi="Times New Roman" w:cs="Times New Roman"/>
          <w:b/>
          <w:sz w:val="28"/>
          <w:szCs w:val="28"/>
        </w:rPr>
        <w:t xml:space="preserve">до </w:t>
      </w:r>
      <w:r w:rsidR="00EA28C6" w:rsidRPr="00EA28C6">
        <w:rPr>
          <w:rFonts w:ascii="Times New Roman" w:hAnsi="Times New Roman" w:cs="Times New Roman"/>
          <w:b/>
          <w:sz w:val="28"/>
          <w:szCs w:val="28"/>
        </w:rPr>
        <w:t xml:space="preserve">деяких постанов НКРЕКП», </w:t>
      </w:r>
      <w:bookmarkStart w:id="0" w:name="_GoBack"/>
      <w:bookmarkEnd w:id="0"/>
      <w:r w:rsidR="00EA28C6" w:rsidRPr="00EA28C6">
        <w:rPr>
          <w:rFonts w:ascii="Times New Roman" w:hAnsi="Times New Roman" w:cs="Times New Roman"/>
          <w:b/>
          <w:sz w:val="28"/>
          <w:szCs w:val="28"/>
        </w:rPr>
        <w:t>що має ознаки регуляторного акта</w:t>
      </w:r>
    </w:p>
    <w:p w:rsidR="0056765F" w:rsidRDefault="0056765F"/>
    <w:tbl>
      <w:tblPr>
        <w:tblStyle w:val="a3"/>
        <w:tblW w:w="15026" w:type="dxa"/>
        <w:tblInd w:w="-147" w:type="dxa"/>
        <w:tblLook w:val="04A0" w:firstRow="1" w:lastRow="0" w:firstColumn="1" w:lastColumn="0" w:noHBand="0" w:noVBand="1"/>
      </w:tblPr>
      <w:tblGrid>
        <w:gridCol w:w="7508"/>
        <w:gridCol w:w="7518"/>
      </w:tblGrid>
      <w:tr w:rsidR="00150AAF" w:rsidTr="00E03B4F">
        <w:tc>
          <w:tcPr>
            <w:tcW w:w="7508" w:type="dxa"/>
          </w:tcPr>
          <w:p w:rsidR="00150AAF" w:rsidRPr="00C169D5" w:rsidRDefault="00C17EEA" w:rsidP="00380C11">
            <w:pPr>
              <w:spacing w:line="20" w:lineRule="atLeast"/>
              <w:jc w:val="center"/>
              <w:rPr>
                <w:rFonts w:ascii="Times New Roman" w:hAnsi="Times New Roman" w:cs="Times New Roman"/>
                <w:b/>
                <w:sz w:val="24"/>
                <w:szCs w:val="24"/>
              </w:rPr>
            </w:pPr>
            <w:hyperlink r:id="rId7" w:anchor="n18" w:history="1">
              <w:r w:rsidR="00150AAF" w:rsidRPr="00C169D5">
                <w:rPr>
                  <w:rFonts w:ascii="Times New Roman" w:hAnsi="Times New Roman" w:cs="Times New Roman"/>
                  <w:b/>
                  <w:sz w:val="24"/>
                  <w:szCs w:val="24"/>
                </w:rPr>
                <w:t>КОДЕКС ГАЗОТРАНСПОРТНОЇ СИСТЕМИ</w:t>
              </w:r>
            </w:hyperlink>
          </w:p>
          <w:p w:rsidR="00150AAF" w:rsidRPr="00C169D5" w:rsidRDefault="00150AAF" w:rsidP="00380C11">
            <w:pPr>
              <w:rPr>
                <w:rFonts w:ascii="Times New Roman" w:hAnsi="Times New Roman" w:cs="Times New Roman"/>
                <w:b/>
                <w:i/>
                <w:sz w:val="24"/>
                <w:szCs w:val="24"/>
              </w:rPr>
            </w:pPr>
          </w:p>
        </w:tc>
        <w:tc>
          <w:tcPr>
            <w:tcW w:w="7518" w:type="dxa"/>
          </w:tcPr>
          <w:p w:rsidR="00150AAF" w:rsidRPr="00C169D5" w:rsidRDefault="00150AAF" w:rsidP="00380C11">
            <w:pPr>
              <w:spacing w:line="20" w:lineRule="atLeast"/>
              <w:jc w:val="center"/>
              <w:rPr>
                <w:rFonts w:ascii="Times New Roman" w:hAnsi="Times New Roman" w:cs="Times New Roman"/>
                <w:b/>
                <w:sz w:val="24"/>
                <w:szCs w:val="24"/>
              </w:rPr>
            </w:pPr>
            <w:r>
              <w:rPr>
                <w:rFonts w:ascii="Times New Roman" w:hAnsi="Times New Roman" w:cs="Times New Roman"/>
                <w:b/>
                <w:sz w:val="24"/>
                <w:szCs w:val="24"/>
              </w:rPr>
              <w:t xml:space="preserve">ЗМІНИ ДО </w:t>
            </w:r>
            <w:hyperlink r:id="rId8" w:anchor="n18" w:history="1">
              <w:r w:rsidRPr="00C169D5">
                <w:rPr>
                  <w:rFonts w:ascii="Times New Roman" w:hAnsi="Times New Roman" w:cs="Times New Roman"/>
                  <w:b/>
                  <w:sz w:val="24"/>
                  <w:szCs w:val="24"/>
                </w:rPr>
                <w:t>КОДЕКС</w:t>
              </w:r>
              <w:r>
                <w:rPr>
                  <w:rFonts w:ascii="Times New Roman" w:hAnsi="Times New Roman" w:cs="Times New Roman"/>
                  <w:b/>
                  <w:sz w:val="24"/>
                  <w:szCs w:val="24"/>
                </w:rPr>
                <w:t>У</w:t>
              </w:r>
              <w:r w:rsidRPr="00C169D5">
                <w:rPr>
                  <w:rFonts w:ascii="Times New Roman" w:hAnsi="Times New Roman" w:cs="Times New Roman"/>
                  <w:b/>
                  <w:sz w:val="24"/>
                  <w:szCs w:val="24"/>
                </w:rPr>
                <w:t xml:space="preserve"> ГАЗОТРАНСПОРТНОЇ СИСТЕМИ</w:t>
              </w:r>
            </w:hyperlink>
          </w:p>
          <w:p w:rsidR="00150AAF" w:rsidRPr="00C169D5" w:rsidRDefault="00150AAF" w:rsidP="00380C11">
            <w:pPr>
              <w:rPr>
                <w:rFonts w:ascii="Times New Roman" w:eastAsia="Times New Roman" w:hAnsi="Times New Roman" w:cs="Times New Roman"/>
                <w:b/>
                <w:i/>
                <w:sz w:val="24"/>
                <w:szCs w:val="24"/>
                <w:lang w:eastAsia="uk-UA"/>
              </w:rPr>
            </w:pPr>
          </w:p>
        </w:tc>
      </w:tr>
      <w:tr w:rsidR="00150AAF" w:rsidTr="00E03B4F">
        <w:tc>
          <w:tcPr>
            <w:tcW w:w="7508" w:type="dxa"/>
          </w:tcPr>
          <w:p w:rsidR="00150AAF" w:rsidRPr="00C169D5" w:rsidRDefault="00150AAF" w:rsidP="00380C11">
            <w:pPr>
              <w:jc w:val="center"/>
              <w:rPr>
                <w:rFonts w:ascii="Times New Roman" w:hAnsi="Times New Roman" w:cs="Times New Roman"/>
                <w:b/>
                <w:i/>
                <w:sz w:val="24"/>
                <w:szCs w:val="24"/>
              </w:rPr>
            </w:pPr>
            <w:r w:rsidRPr="00C169D5">
              <w:rPr>
                <w:rFonts w:ascii="Times New Roman" w:hAnsi="Times New Roman" w:cs="Times New Roman"/>
                <w:b/>
                <w:color w:val="000000" w:themeColor="text1"/>
                <w:sz w:val="24"/>
                <w:szCs w:val="24"/>
              </w:rPr>
              <w:t>І. Загальні положення</w:t>
            </w:r>
          </w:p>
        </w:tc>
        <w:tc>
          <w:tcPr>
            <w:tcW w:w="7518" w:type="dxa"/>
          </w:tcPr>
          <w:p w:rsidR="00150AAF" w:rsidRPr="00C169D5" w:rsidRDefault="00150AAF" w:rsidP="00380C11">
            <w:pPr>
              <w:jc w:val="center"/>
              <w:rPr>
                <w:rFonts w:ascii="Times New Roman" w:eastAsia="Times New Roman" w:hAnsi="Times New Roman" w:cs="Times New Roman"/>
                <w:b/>
                <w:i/>
                <w:sz w:val="24"/>
                <w:szCs w:val="24"/>
                <w:lang w:eastAsia="uk-UA"/>
              </w:rPr>
            </w:pPr>
            <w:r w:rsidRPr="00C169D5">
              <w:rPr>
                <w:rFonts w:ascii="Times New Roman" w:hAnsi="Times New Roman" w:cs="Times New Roman"/>
                <w:b/>
                <w:color w:val="000000" w:themeColor="text1"/>
                <w:sz w:val="24"/>
                <w:szCs w:val="24"/>
              </w:rPr>
              <w:t>І. Загальні положення</w:t>
            </w:r>
          </w:p>
        </w:tc>
      </w:tr>
      <w:tr w:rsidR="00150AAF" w:rsidTr="00E03B4F">
        <w:tc>
          <w:tcPr>
            <w:tcW w:w="7508" w:type="dxa"/>
          </w:tcPr>
          <w:p w:rsidR="00150AAF" w:rsidRPr="00C169D5" w:rsidRDefault="00150AAF" w:rsidP="00380C11">
            <w:pPr>
              <w:ind w:firstLine="709"/>
              <w:jc w:val="center"/>
              <w:rPr>
                <w:rFonts w:ascii="Times New Roman" w:hAnsi="Times New Roman" w:cs="Times New Roman"/>
                <w:b/>
                <w:sz w:val="24"/>
                <w:szCs w:val="24"/>
              </w:rPr>
            </w:pPr>
            <w:r w:rsidRPr="00C169D5">
              <w:rPr>
                <w:rFonts w:ascii="Times New Roman" w:hAnsi="Times New Roman" w:cs="Times New Roman"/>
                <w:b/>
                <w:color w:val="000000" w:themeColor="text1"/>
                <w:sz w:val="24"/>
                <w:szCs w:val="24"/>
              </w:rPr>
              <w:t>1. Загальні засади, терміни та скорочення</w:t>
            </w:r>
          </w:p>
        </w:tc>
        <w:tc>
          <w:tcPr>
            <w:tcW w:w="7518" w:type="dxa"/>
          </w:tcPr>
          <w:p w:rsidR="00150AAF" w:rsidRPr="00C169D5" w:rsidRDefault="00150AAF" w:rsidP="00380C11">
            <w:pPr>
              <w:ind w:firstLine="709"/>
              <w:jc w:val="center"/>
              <w:rPr>
                <w:rFonts w:ascii="Times New Roman" w:hAnsi="Times New Roman" w:cs="Times New Roman"/>
                <w:b/>
                <w:sz w:val="24"/>
                <w:szCs w:val="24"/>
              </w:rPr>
            </w:pPr>
            <w:r w:rsidRPr="00C169D5">
              <w:rPr>
                <w:rFonts w:ascii="Times New Roman" w:hAnsi="Times New Roman" w:cs="Times New Roman"/>
                <w:b/>
                <w:color w:val="000000" w:themeColor="text1"/>
                <w:sz w:val="24"/>
                <w:szCs w:val="24"/>
              </w:rPr>
              <w:t>1. Загальні засади, терміни та скорочення</w:t>
            </w:r>
          </w:p>
        </w:tc>
      </w:tr>
      <w:tr w:rsidR="00150AAF" w:rsidTr="00E03B4F">
        <w:trPr>
          <w:trHeight w:val="50"/>
        </w:trPr>
        <w:tc>
          <w:tcPr>
            <w:tcW w:w="7508" w:type="dxa"/>
          </w:tcPr>
          <w:p w:rsidR="00150AAF" w:rsidRPr="00C169D5" w:rsidRDefault="00150AAF" w:rsidP="00380C11">
            <w:pPr>
              <w:shd w:val="clear" w:color="auto" w:fill="FFFFFF"/>
              <w:jc w:val="both"/>
              <w:textAlignment w:val="baseline"/>
              <w:rPr>
                <w:rFonts w:ascii="Times New Roman" w:hAnsi="Times New Roman" w:cs="Times New Roman"/>
                <w:color w:val="000000" w:themeColor="text1"/>
                <w:sz w:val="24"/>
                <w:szCs w:val="24"/>
                <w:shd w:val="clear" w:color="auto" w:fill="FFFFFF"/>
              </w:rPr>
            </w:pPr>
            <w:r w:rsidRPr="00C169D5">
              <w:rPr>
                <w:rFonts w:ascii="Times New Roman" w:hAnsi="Times New Roman" w:cs="Times New Roman"/>
                <w:color w:val="000000" w:themeColor="text1"/>
                <w:sz w:val="24"/>
                <w:szCs w:val="24"/>
                <w:shd w:val="clear" w:color="auto" w:fill="FFFFFF"/>
              </w:rPr>
              <w:t>5. Терміни, що використовуються в цьому Кодексі, мають такі значення:</w:t>
            </w:r>
          </w:p>
          <w:p w:rsidR="00150AAF" w:rsidRPr="00C169D5" w:rsidRDefault="00150AAF" w:rsidP="00380C11">
            <w:pPr>
              <w:shd w:val="clear" w:color="auto" w:fill="FFFFFF"/>
              <w:jc w:val="both"/>
              <w:textAlignment w:val="baseline"/>
              <w:rPr>
                <w:rFonts w:ascii="Times New Roman" w:hAnsi="Times New Roman" w:cs="Times New Roman"/>
                <w:color w:val="000000" w:themeColor="text1"/>
                <w:sz w:val="24"/>
                <w:szCs w:val="24"/>
                <w:shd w:val="clear" w:color="auto" w:fill="FFFFFF"/>
              </w:rPr>
            </w:pPr>
            <w:r w:rsidRPr="00C169D5">
              <w:rPr>
                <w:rFonts w:ascii="Times New Roman" w:hAnsi="Times New Roman" w:cs="Times New Roman"/>
                <w:color w:val="000000" w:themeColor="text1"/>
                <w:sz w:val="24"/>
                <w:szCs w:val="24"/>
                <w:shd w:val="clear" w:color="auto" w:fill="FFFFFF"/>
              </w:rPr>
              <w:t>...</w:t>
            </w:r>
          </w:p>
          <w:p w:rsidR="00150AAF" w:rsidRPr="00C169D5" w:rsidRDefault="00150AAF" w:rsidP="00380C11">
            <w:pPr>
              <w:ind w:firstLine="709"/>
              <w:jc w:val="both"/>
              <w:rPr>
                <w:rFonts w:ascii="Times New Roman" w:hAnsi="Times New Roman" w:cs="Times New Roman"/>
                <w:b/>
                <w:i/>
                <w:sz w:val="24"/>
                <w:szCs w:val="24"/>
              </w:rPr>
            </w:pPr>
            <w:r w:rsidRPr="000F45D2">
              <w:rPr>
                <w:rFonts w:ascii="Times New Roman" w:hAnsi="Times New Roman" w:cs="Times New Roman"/>
                <w:i/>
                <w:color w:val="000000" w:themeColor="text1"/>
                <w:sz w:val="24"/>
                <w:szCs w:val="24"/>
                <w:shd w:val="clear" w:color="auto" w:fill="FFFFFF"/>
              </w:rPr>
              <w:t>несанкціонований відбір природного газу - відбір природного газу за відсутності споживача в Реєстрі споживачів постачальника будь-якого постачальника протягом розрахункового періоду; без укладення відповідного договору з постачальником; шляхом самовільного під’єднання та/або з навмисно пошкодженими приладами обліку природного газу або поза охопленням приладами обліку; шляхом самовільного відновлення споживання природного газу</w:t>
            </w:r>
            <w:r w:rsidRPr="00C169D5">
              <w:rPr>
                <w:rFonts w:ascii="Times New Roman" w:hAnsi="Times New Roman" w:cs="Times New Roman"/>
                <w:color w:val="000000" w:themeColor="text1"/>
                <w:sz w:val="24"/>
                <w:szCs w:val="24"/>
                <w:shd w:val="clear" w:color="auto" w:fill="FFFFFF"/>
              </w:rPr>
              <w:t>;</w:t>
            </w:r>
          </w:p>
        </w:tc>
        <w:tc>
          <w:tcPr>
            <w:tcW w:w="7518" w:type="dxa"/>
          </w:tcPr>
          <w:p w:rsidR="00150AAF" w:rsidRPr="00C169D5" w:rsidRDefault="00150AAF" w:rsidP="00380C11">
            <w:pPr>
              <w:shd w:val="clear" w:color="auto" w:fill="FFFFFF"/>
              <w:jc w:val="both"/>
              <w:textAlignment w:val="baseline"/>
              <w:rPr>
                <w:rFonts w:ascii="Times New Roman" w:hAnsi="Times New Roman" w:cs="Times New Roman"/>
                <w:color w:val="000000" w:themeColor="text1"/>
                <w:sz w:val="24"/>
                <w:szCs w:val="24"/>
                <w:shd w:val="clear" w:color="auto" w:fill="FFFFFF"/>
              </w:rPr>
            </w:pPr>
            <w:r w:rsidRPr="00C169D5">
              <w:rPr>
                <w:rFonts w:ascii="Times New Roman" w:hAnsi="Times New Roman" w:cs="Times New Roman"/>
                <w:color w:val="000000" w:themeColor="text1"/>
                <w:sz w:val="24"/>
                <w:szCs w:val="24"/>
                <w:shd w:val="clear" w:color="auto" w:fill="FFFFFF"/>
              </w:rPr>
              <w:t>5. Терміни, що використовуються в цьому Кодексі, мають такі значення:</w:t>
            </w:r>
          </w:p>
          <w:p w:rsidR="00150AAF" w:rsidRPr="00F43FC6" w:rsidRDefault="00150AAF" w:rsidP="00380C11">
            <w:pPr>
              <w:shd w:val="clear" w:color="auto" w:fill="FFFFFF"/>
              <w:jc w:val="both"/>
              <w:textAlignment w:val="baseline"/>
              <w:rPr>
                <w:rFonts w:ascii="Times New Roman" w:hAnsi="Times New Roman" w:cs="Times New Roman"/>
                <w:color w:val="000000" w:themeColor="text1"/>
                <w:sz w:val="24"/>
                <w:szCs w:val="24"/>
                <w:shd w:val="clear" w:color="auto" w:fill="FFFFFF"/>
              </w:rPr>
            </w:pPr>
            <w:r w:rsidRPr="00C169D5">
              <w:rPr>
                <w:rFonts w:ascii="Times New Roman" w:hAnsi="Times New Roman" w:cs="Times New Roman"/>
                <w:color w:val="000000" w:themeColor="text1"/>
                <w:sz w:val="24"/>
                <w:szCs w:val="24"/>
                <w:shd w:val="clear" w:color="auto" w:fill="FFFFFF"/>
              </w:rPr>
              <w:t>...</w:t>
            </w:r>
          </w:p>
          <w:p w:rsidR="00150AAF" w:rsidRPr="00C940B9" w:rsidRDefault="00150AAF" w:rsidP="00380C11">
            <w:pPr>
              <w:ind w:firstLine="709"/>
              <w:contextualSpacing/>
              <w:jc w:val="both"/>
              <w:rPr>
                <w:rFonts w:ascii="Times New Roman" w:hAnsi="Times New Roman" w:cs="Times New Roman"/>
                <w:b/>
                <w:color w:val="000000"/>
                <w:sz w:val="24"/>
                <w:szCs w:val="24"/>
                <w:shd w:val="clear" w:color="auto" w:fill="FFFFFF"/>
              </w:rPr>
            </w:pPr>
            <w:r w:rsidRPr="00C940B9">
              <w:rPr>
                <w:rFonts w:ascii="Times New Roman" w:hAnsi="Times New Roman" w:cs="Times New Roman"/>
                <w:b/>
                <w:color w:val="000000"/>
                <w:sz w:val="24"/>
                <w:szCs w:val="24"/>
                <w:shd w:val="clear" w:color="auto" w:fill="FFFFFF"/>
              </w:rPr>
              <w:t>несанкціонований відбір природного газу – відбір природного газу у таких випадках:</w:t>
            </w:r>
          </w:p>
          <w:p w:rsidR="00150AAF" w:rsidRPr="00473E43" w:rsidRDefault="00150AAF" w:rsidP="00380C11">
            <w:pPr>
              <w:ind w:firstLine="709"/>
              <w:contextualSpacing/>
              <w:jc w:val="both"/>
              <w:rPr>
                <w:rFonts w:ascii="Times New Roman" w:hAnsi="Times New Roman" w:cs="Times New Roman"/>
                <w:b/>
                <w:color w:val="000000"/>
                <w:sz w:val="24"/>
                <w:szCs w:val="24"/>
                <w:shd w:val="clear" w:color="auto" w:fill="FFFFFF"/>
              </w:rPr>
            </w:pPr>
            <w:r w:rsidRPr="00C940B9">
              <w:rPr>
                <w:rFonts w:ascii="Times New Roman" w:hAnsi="Times New Roman" w:cs="Times New Roman"/>
                <w:b/>
                <w:color w:val="000000"/>
                <w:sz w:val="24"/>
                <w:szCs w:val="24"/>
                <w:shd w:val="clear" w:color="auto" w:fill="FFFFFF"/>
              </w:rPr>
              <w:t>1) за відсутності</w:t>
            </w:r>
            <w:r w:rsidRPr="00473E43">
              <w:rPr>
                <w:rFonts w:ascii="Times New Roman" w:hAnsi="Times New Roman" w:cs="Times New Roman"/>
                <w:b/>
                <w:color w:val="000000"/>
                <w:sz w:val="24"/>
                <w:szCs w:val="24"/>
                <w:shd w:val="clear" w:color="auto" w:fill="FFFFFF"/>
              </w:rPr>
              <w:t xml:space="preserve"> споживача в Реєстрі споживачів постачальника будь-якого постачальника протягом розрахункового періоду;</w:t>
            </w:r>
          </w:p>
          <w:p w:rsidR="00150AAF" w:rsidRPr="00C169D5" w:rsidRDefault="00150AAF" w:rsidP="00380C11">
            <w:pPr>
              <w:ind w:firstLine="709"/>
              <w:contextualSpacing/>
              <w:jc w:val="both"/>
              <w:rPr>
                <w:rFonts w:ascii="Times New Roman" w:hAnsi="Times New Roman" w:cs="Times New Roman"/>
                <w:b/>
                <w:color w:val="000000"/>
                <w:sz w:val="24"/>
                <w:szCs w:val="24"/>
                <w:shd w:val="clear" w:color="auto" w:fill="FFFFFF"/>
              </w:rPr>
            </w:pPr>
            <w:r w:rsidRPr="00C169D5">
              <w:rPr>
                <w:rFonts w:ascii="Times New Roman" w:hAnsi="Times New Roman" w:cs="Times New Roman"/>
                <w:b/>
                <w:color w:val="000000"/>
                <w:sz w:val="24"/>
                <w:szCs w:val="24"/>
                <w:shd w:val="clear" w:color="auto" w:fill="FFFFFF"/>
              </w:rPr>
              <w:t>2) за відсутності Оператора ГРМ в Реєстрі споживачів постачальника будь-якого постачальника протягом розрахункового періоду, крім випадку закупівлі природного газу 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w:t>
            </w:r>
          </w:p>
          <w:p w:rsidR="00150AAF" w:rsidRPr="009C29F6" w:rsidRDefault="00150AAF" w:rsidP="00380C11">
            <w:pPr>
              <w:ind w:firstLine="709"/>
              <w:contextualSpacing/>
              <w:jc w:val="both"/>
              <w:rPr>
                <w:rFonts w:ascii="Times New Roman" w:hAnsi="Times New Roman" w:cs="Times New Roman"/>
                <w:color w:val="000000"/>
                <w:sz w:val="24"/>
                <w:szCs w:val="24"/>
                <w:shd w:val="clear" w:color="auto" w:fill="FFFFFF"/>
              </w:rPr>
            </w:pPr>
            <w:r w:rsidRPr="00C169D5">
              <w:rPr>
                <w:rFonts w:ascii="Times New Roman" w:hAnsi="Times New Roman" w:cs="Times New Roman"/>
                <w:b/>
                <w:color w:val="000000"/>
                <w:sz w:val="24"/>
                <w:szCs w:val="24"/>
                <w:shd w:val="clear" w:color="auto" w:fill="FFFFFF"/>
              </w:rPr>
              <w:t>3) після закінчення строку, встановленого законодавством для припинення (обмеження) розподілу (транспортування) природного газу споживачам</w:t>
            </w:r>
            <w:r w:rsidRPr="00C169D5">
              <w:rPr>
                <w:rFonts w:ascii="Times New Roman" w:hAnsi="Times New Roman" w:cs="Times New Roman"/>
                <w:color w:val="000000"/>
                <w:sz w:val="24"/>
                <w:szCs w:val="24"/>
                <w:shd w:val="clear" w:color="auto" w:fill="FFFFFF"/>
              </w:rPr>
              <w:t xml:space="preserve">; </w:t>
            </w:r>
          </w:p>
          <w:p w:rsidR="00150AAF" w:rsidRPr="00C940B9" w:rsidRDefault="00150AAF" w:rsidP="00380C11">
            <w:pPr>
              <w:ind w:firstLine="709"/>
              <w:contextualSpacing/>
              <w:jc w:val="both"/>
              <w:rPr>
                <w:rFonts w:ascii="Times New Roman" w:hAnsi="Times New Roman" w:cs="Times New Roman"/>
                <w:b/>
                <w:color w:val="000000"/>
                <w:sz w:val="24"/>
                <w:szCs w:val="24"/>
                <w:shd w:val="clear" w:color="auto" w:fill="FFFFFF"/>
              </w:rPr>
            </w:pPr>
            <w:r w:rsidRPr="00C940B9">
              <w:rPr>
                <w:rFonts w:ascii="Times New Roman" w:hAnsi="Times New Roman" w:cs="Times New Roman"/>
                <w:b/>
                <w:color w:val="000000"/>
                <w:sz w:val="24"/>
                <w:szCs w:val="24"/>
                <w:shd w:val="clear" w:color="auto" w:fill="FFFFFF"/>
              </w:rPr>
              <w:t>3) шляхом самовільного під’єднання до газотранспортної системи та/або з навмисно пошкодженими приладами обліку природного газу або поза охопленням приладами обліку прямого споживача;</w:t>
            </w:r>
          </w:p>
          <w:p w:rsidR="00150AAF" w:rsidRPr="00C90F06" w:rsidRDefault="00150AAF" w:rsidP="00C90F06">
            <w:pPr>
              <w:ind w:firstLine="709"/>
              <w:contextualSpacing/>
              <w:jc w:val="both"/>
              <w:rPr>
                <w:rFonts w:ascii="Times New Roman" w:hAnsi="Times New Roman" w:cs="Times New Roman"/>
                <w:b/>
                <w:color w:val="000000"/>
                <w:sz w:val="24"/>
                <w:szCs w:val="24"/>
                <w:shd w:val="clear" w:color="auto" w:fill="FFFFFF"/>
              </w:rPr>
            </w:pPr>
            <w:r w:rsidRPr="00C940B9">
              <w:rPr>
                <w:rFonts w:ascii="Times New Roman" w:hAnsi="Times New Roman" w:cs="Times New Roman"/>
                <w:b/>
                <w:color w:val="000000"/>
                <w:sz w:val="24"/>
                <w:szCs w:val="24"/>
                <w:shd w:val="clear" w:color="auto" w:fill="FFFFFF"/>
              </w:rPr>
              <w:t>4) шляхом самовільного відновлення споживання природного газу прямого споживача.</w:t>
            </w:r>
          </w:p>
        </w:tc>
      </w:tr>
      <w:tr w:rsidR="00150AAF" w:rsidTr="00E03B4F">
        <w:tc>
          <w:tcPr>
            <w:tcW w:w="7508" w:type="dxa"/>
          </w:tcPr>
          <w:p w:rsidR="00150AAF" w:rsidRDefault="00150AAF" w:rsidP="00380C11">
            <w:pPr>
              <w:tabs>
                <w:tab w:val="left" w:pos="646"/>
              </w:tabs>
              <w:jc w:val="center"/>
              <w:rPr>
                <w:rFonts w:ascii="Times New Roman" w:hAnsi="Times New Roman" w:cs="Times New Roman"/>
                <w:b/>
                <w:color w:val="000000" w:themeColor="text1"/>
                <w:sz w:val="24"/>
                <w:szCs w:val="24"/>
              </w:rPr>
            </w:pPr>
            <w:r w:rsidRPr="00C169D5">
              <w:rPr>
                <w:rFonts w:ascii="Times New Roman" w:hAnsi="Times New Roman" w:cs="Times New Roman"/>
                <w:b/>
                <w:color w:val="000000" w:themeColor="text1"/>
                <w:sz w:val="24"/>
                <w:szCs w:val="24"/>
              </w:rPr>
              <w:t>IV. Умови взаємодії з оператором газотранспортної системи, порядок присвоєння ЕІС-кодів та вимоги до інформаційної платформи</w:t>
            </w:r>
          </w:p>
          <w:p w:rsidR="00150AAF" w:rsidRPr="00C169D5" w:rsidRDefault="00150AAF" w:rsidP="00C90F06">
            <w:pPr>
              <w:tabs>
                <w:tab w:val="left" w:pos="646"/>
              </w:tabs>
              <w:jc w:val="center"/>
              <w:rPr>
                <w:rFonts w:ascii="Times New Roman" w:hAnsi="Times New Roman" w:cs="Times New Roman"/>
                <w:b/>
                <w:color w:val="000000" w:themeColor="text1"/>
                <w:sz w:val="24"/>
                <w:szCs w:val="24"/>
              </w:rPr>
            </w:pPr>
            <w:r w:rsidRPr="00C169D5">
              <w:rPr>
                <w:rFonts w:ascii="Times New Roman" w:hAnsi="Times New Roman" w:cs="Times New Roman"/>
                <w:b/>
                <w:color w:val="000000" w:themeColor="text1"/>
                <w:sz w:val="24"/>
                <w:szCs w:val="24"/>
              </w:rPr>
              <w:t>1. Умови взаємодії з оператором газотранспортної системи</w:t>
            </w:r>
          </w:p>
        </w:tc>
        <w:tc>
          <w:tcPr>
            <w:tcW w:w="7518" w:type="dxa"/>
          </w:tcPr>
          <w:p w:rsidR="00150AAF" w:rsidRDefault="00150AAF" w:rsidP="00380C11">
            <w:pPr>
              <w:tabs>
                <w:tab w:val="left" w:pos="646"/>
              </w:tabs>
              <w:jc w:val="center"/>
              <w:rPr>
                <w:rFonts w:ascii="Times New Roman" w:hAnsi="Times New Roman" w:cs="Times New Roman"/>
                <w:b/>
                <w:color w:val="000000" w:themeColor="text1"/>
                <w:sz w:val="24"/>
                <w:szCs w:val="24"/>
              </w:rPr>
            </w:pPr>
            <w:r w:rsidRPr="00C169D5">
              <w:rPr>
                <w:rFonts w:ascii="Times New Roman" w:hAnsi="Times New Roman" w:cs="Times New Roman"/>
                <w:b/>
                <w:color w:val="000000" w:themeColor="text1"/>
                <w:sz w:val="24"/>
                <w:szCs w:val="24"/>
              </w:rPr>
              <w:t>IV. Умови взаємодії з оператором газотранспортної системи, порядок присвоєння ЕІС-кодів та вимоги до інформаційної платформи</w:t>
            </w:r>
          </w:p>
          <w:p w:rsidR="00150AAF" w:rsidRPr="00C169D5" w:rsidRDefault="00150AAF" w:rsidP="00380C11">
            <w:pPr>
              <w:tabs>
                <w:tab w:val="left" w:pos="646"/>
              </w:tabs>
              <w:jc w:val="center"/>
              <w:rPr>
                <w:rFonts w:ascii="Times New Roman" w:hAnsi="Times New Roman" w:cs="Times New Roman"/>
                <w:b/>
                <w:color w:val="000000" w:themeColor="text1"/>
                <w:sz w:val="24"/>
                <w:szCs w:val="24"/>
              </w:rPr>
            </w:pPr>
            <w:r w:rsidRPr="00C169D5">
              <w:rPr>
                <w:rFonts w:ascii="Times New Roman" w:hAnsi="Times New Roman" w:cs="Times New Roman"/>
                <w:b/>
                <w:color w:val="000000" w:themeColor="text1"/>
                <w:sz w:val="24"/>
                <w:szCs w:val="24"/>
              </w:rPr>
              <w:t>1. Умови взаємодії з оператором газотранспортної системи</w:t>
            </w:r>
          </w:p>
        </w:tc>
      </w:tr>
      <w:tr w:rsidR="00150AAF" w:rsidTr="00E03B4F">
        <w:tc>
          <w:tcPr>
            <w:tcW w:w="7508" w:type="dxa"/>
          </w:tcPr>
          <w:p w:rsidR="00150AAF" w:rsidRPr="000F45D2" w:rsidRDefault="00150AAF" w:rsidP="00380C11">
            <w:pPr>
              <w:shd w:val="clear" w:color="auto" w:fill="FFFFFF"/>
              <w:ind w:firstLine="709"/>
              <w:jc w:val="both"/>
              <w:textAlignment w:val="baseline"/>
              <w:rPr>
                <w:rFonts w:ascii="Times New Roman" w:hAnsi="Times New Roman" w:cs="Times New Roman"/>
                <w:i/>
                <w:color w:val="000000"/>
                <w:sz w:val="24"/>
                <w:szCs w:val="24"/>
                <w:shd w:val="clear" w:color="auto" w:fill="FFFFFF"/>
              </w:rPr>
            </w:pPr>
            <w:r w:rsidRPr="000F45D2">
              <w:rPr>
                <w:rFonts w:ascii="Times New Roman" w:hAnsi="Times New Roman" w:cs="Times New Roman"/>
                <w:i/>
                <w:color w:val="000000"/>
                <w:sz w:val="24"/>
                <w:szCs w:val="24"/>
                <w:shd w:val="clear" w:color="auto" w:fill="FFFFFF"/>
              </w:rPr>
              <w:lastRenderedPageBreak/>
              <w:t>3. Оператор газорозподільної системи зобов’язаний укласти договір (договори) на закупівлю або постачання природного газу для покриття об’ємів (обсягів) втрат та виробничо-технологічних витрат природного газу в газорозподільній системі та у відносинах з оператором газотранспортної системи діє як:</w:t>
            </w:r>
          </w:p>
          <w:p w:rsidR="00150AAF" w:rsidRPr="000F45D2" w:rsidRDefault="00150AAF" w:rsidP="00380C11">
            <w:pPr>
              <w:shd w:val="clear" w:color="auto" w:fill="FFFFFF"/>
              <w:ind w:firstLine="709"/>
              <w:jc w:val="both"/>
              <w:textAlignment w:val="baseline"/>
              <w:rPr>
                <w:rFonts w:ascii="Times New Roman" w:hAnsi="Times New Roman" w:cs="Times New Roman"/>
                <w:i/>
                <w:color w:val="000000"/>
                <w:sz w:val="24"/>
                <w:szCs w:val="24"/>
                <w:shd w:val="clear" w:color="auto" w:fill="FFFFFF"/>
              </w:rPr>
            </w:pPr>
            <w:r w:rsidRPr="000F45D2">
              <w:rPr>
                <w:rFonts w:ascii="Times New Roman" w:hAnsi="Times New Roman" w:cs="Times New Roman"/>
                <w:i/>
                <w:color w:val="000000"/>
                <w:sz w:val="24"/>
                <w:szCs w:val="24"/>
                <w:shd w:val="clear" w:color="auto" w:fill="FFFFFF"/>
              </w:rPr>
              <w:t>1) замовник послуг транспортування – у випадку укладення договору (договорів) закупівлі природного газу в оптового продавця;</w:t>
            </w:r>
          </w:p>
          <w:p w:rsidR="00150AAF" w:rsidRPr="000F45D2" w:rsidRDefault="00150AAF" w:rsidP="00380C11">
            <w:pPr>
              <w:shd w:val="clear" w:color="auto" w:fill="FFFFFF"/>
              <w:ind w:firstLine="709"/>
              <w:jc w:val="both"/>
              <w:textAlignment w:val="baseline"/>
              <w:rPr>
                <w:rFonts w:ascii="Times New Roman" w:hAnsi="Times New Roman" w:cs="Times New Roman"/>
                <w:i/>
                <w:color w:val="000000"/>
                <w:sz w:val="24"/>
                <w:szCs w:val="24"/>
                <w:shd w:val="clear" w:color="auto" w:fill="FFFFFF"/>
              </w:rPr>
            </w:pPr>
            <w:r w:rsidRPr="000F45D2">
              <w:rPr>
                <w:rFonts w:ascii="Times New Roman" w:hAnsi="Times New Roman" w:cs="Times New Roman"/>
                <w:i/>
                <w:color w:val="000000"/>
                <w:sz w:val="24"/>
                <w:szCs w:val="24"/>
                <w:shd w:val="clear" w:color="auto" w:fill="FFFFFF"/>
              </w:rPr>
              <w:t>2) споживач – у випадку укладення договору постачання природного газу з постачальником.</w:t>
            </w:r>
          </w:p>
          <w:p w:rsidR="00150AAF" w:rsidRPr="00C169D5" w:rsidRDefault="00150AAF" w:rsidP="00380C11">
            <w:pPr>
              <w:ind w:firstLine="709"/>
              <w:jc w:val="both"/>
              <w:rPr>
                <w:rFonts w:ascii="Times New Roman" w:hAnsi="Times New Roman" w:cs="Times New Roman"/>
                <w:sz w:val="24"/>
                <w:szCs w:val="24"/>
              </w:rPr>
            </w:pPr>
            <w:r w:rsidRPr="00C169D5">
              <w:rPr>
                <w:rFonts w:ascii="Times New Roman" w:hAnsi="Times New Roman" w:cs="Times New Roman"/>
                <w:color w:val="000000"/>
                <w:sz w:val="24"/>
                <w:szCs w:val="24"/>
                <w:shd w:val="clear" w:color="auto" w:fill="FFFFFF"/>
              </w:rPr>
              <w:t>При використанні природного газу на власні потреби для власної господарської діяльності оператор газорозподільної системи є споживачем.</w:t>
            </w:r>
          </w:p>
        </w:tc>
        <w:tc>
          <w:tcPr>
            <w:tcW w:w="7518" w:type="dxa"/>
          </w:tcPr>
          <w:p w:rsidR="00150AAF" w:rsidRPr="008E181A" w:rsidRDefault="00150AAF" w:rsidP="00380C11">
            <w:pPr>
              <w:shd w:val="clear" w:color="auto" w:fill="FFFFFF"/>
              <w:ind w:firstLine="709"/>
              <w:jc w:val="both"/>
              <w:textAlignment w:val="baseline"/>
              <w:rPr>
                <w:rFonts w:ascii="Times New Roman" w:hAnsi="Times New Roman" w:cs="Times New Roman"/>
                <w:b/>
                <w:color w:val="000000"/>
                <w:sz w:val="24"/>
                <w:szCs w:val="24"/>
                <w:shd w:val="clear" w:color="auto" w:fill="FFFFFF"/>
              </w:rPr>
            </w:pPr>
            <w:r w:rsidRPr="00C169D5">
              <w:rPr>
                <w:rFonts w:ascii="Times New Roman" w:hAnsi="Times New Roman" w:cs="Times New Roman"/>
                <w:b/>
                <w:color w:val="000000" w:themeColor="text1"/>
                <w:sz w:val="24"/>
                <w:szCs w:val="24"/>
              </w:rPr>
              <w:t xml:space="preserve">3. Оператор газорозподільної системи зобов’язаний укласти договір постачання </w:t>
            </w:r>
            <w:r w:rsidRPr="00082644">
              <w:rPr>
                <w:rFonts w:ascii="Times New Roman" w:hAnsi="Times New Roman" w:cs="Times New Roman"/>
                <w:b/>
                <w:color w:val="000000" w:themeColor="text1"/>
                <w:sz w:val="24"/>
                <w:szCs w:val="24"/>
                <w:shd w:val="clear" w:color="auto" w:fill="FFFFFF"/>
              </w:rPr>
              <w:t xml:space="preserve">природного газу </w:t>
            </w:r>
            <w:r w:rsidR="00F93112" w:rsidRPr="00082644">
              <w:rPr>
                <w:rFonts w:ascii="Times New Roman" w:hAnsi="Times New Roman" w:cs="Times New Roman"/>
                <w:b/>
                <w:color w:val="000000" w:themeColor="text1"/>
                <w:sz w:val="24"/>
                <w:szCs w:val="24"/>
                <w:shd w:val="clear" w:color="auto" w:fill="FFFFFF"/>
              </w:rPr>
              <w:t xml:space="preserve">з постачальником </w:t>
            </w:r>
            <w:r w:rsidR="004C127B" w:rsidRPr="00082644">
              <w:rPr>
                <w:rFonts w:ascii="Times New Roman" w:hAnsi="Times New Roman" w:cs="Times New Roman"/>
                <w:b/>
                <w:color w:val="000000" w:themeColor="text1"/>
                <w:sz w:val="24"/>
                <w:szCs w:val="24"/>
                <w:shd w:val="clear" w:color="auto" w:fill="FFFFFF"/>
              </w:rPr>
              <w:t>для покриття об’ємів (обсягів) втрат та виробничо-технологічних витрат природного газу</w:t>
            </w:r>
            <w:r w:rsidR="00F93112" w:rsidRPr="00082644">
              <w:rPr>
                <w:rFonts w:ascii="Times New Roman" w:hAnsi="Times New Roman" w:cs="Times New Roman"/>
                <w:b/>
                <w:color w:val="000000" w:themeColor="text1"/>
                <w:sz w:val="24"/>
                <w:szCs w:val="24"/>
                <w:shd w:val="clear" w:color="auto" w:fill="FFFFFF"/>
              </w:rPr>
              <w:t xml:space="preserve"> </w:t>
            </w:r>
            <w:r w:rsidRPr="00082644">
              <w:rPr>
                <w:rFonts w:ascii="Times New Roman" w:hAnsi="Times New Roman" w:cs="Times New Roman"/>
                <w:b/>
                <w:color w:val="000000" w:themeColor="text1"/>
                <w:sz w:val="24"/>
                <w:szCs w:val="24"/>
                <w:shd w:val="clear" w:color="auto" w:fill="FFFFFF"/>
              </w:rPr>
              <w:t>та</w:t>
            </w:r>
            <w:r w:rsidRPr="00082644">
              <w:rPr>
                <w:rFonts w:ascii="Times New Roman" w:hAnsi="Times New Roman" w:cs="Times New Roman"/>
                <w:b/>
                <w:color w:val="000000" w:themeColor="text1"/>
                <w:sz w:val="24"/>
                <w:szCs w:val="24"/>
              </w:rPr>
              <w:t xml:space="preserve"> </w:t>
            </w:r>
            <w:r w:rsidRPr="00F800DA">
              <w:rPr>
                <w:rFonts w:ascii="Times New Roman" w:hAnsi="Times New Roman" w:cs="Times New Roman"/>
                <w:b/>
                <w:color w:val="000000" w:themeColor="text1"/>
                <w:sz w:val="24"/>
                <w:szCs w:val="24"/>
                <w:shd w:val="clear" w:color="auto" w:fill="FFFFFF"/>
              </w:rPr>
              <w:t>у від</w:t>
            </w:r>
            <w:r w:rsidRPr="00C169D5">
              <w:rPr>
                <w:rFonts w:ascii="Times New Roman" w:hAnsi="Times New Roman" w:cs="Times New Roman"/>
                <w:b/>
                <w:color w:val="000000"/>
                <w:sz w:val="24"/>
                <w:szCs w:val="24"/>
                <w:shd w:val="clear" w:color="auto" w:fill="FFFFFF"/>
              </w:rPr>
              <w:t xml:space="preserve">носинах з оператором газотранспортної системи діє як споживач, </w:t>
            </w:r>
            <w:r w:rsidRPr="008E181A">
              <w:rPr>
                <w:rFonts w:ascii="Times New Roman" w:hAnsi="Times New Roman" w:cs="Times New Roman"/>
                <w:b/>
                <w:color w:val="000000"/>
                <w:sz w:val="24"/>
                <w:szCs w:val="24"/>
                <w:shd w:val="clear" w:color="auto" w:fill="FFFFFF"/>
              </w:rPr>
              <w:t>крім випадку закупівлі природного газу 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w:t>
            </w:r>
          </w:p>
          <w:p w:rsidR="00150AAF" w:rsidRPr="008E181A" w:rsidRDefault="00150AAF" w:rsidP="00380C11">
            <w:pPr>
              <w:shd w:val="clear" w:color="auto" w:fill="FFFFFF"/>
              <w:ind w:firstLine="709"/>
              <w:jc w:val="both"/>
              <w:textAlignment w:val="baseline"/>
              <w:rPr>
                <w:rFonts w:ascii="Times New Roman" w:hAnsi="Times New Roman" w:cs="Times New Roman"/>
                <w:b/>
                <w:color w:val="000000"/>
                <w:sz w:val="24"/>
                <w:szCs w:val="24"/>
                <w:shd w:val="clear" w:color="auto" w:fill="FFFFFF"/>
              </w:rPr>
            </w:pPr>
            <w:r w:rsidRPr="00C169D5">
              <w:rPr>
                <w:rFonts w:ascii="Times New Roman" w:hAnsi="Times New Roman" w:cs="Times New Roman"/>
                <w:b/>
                <w:color w:val="000000"/>
                <w:sz w:val="24"/>
                <w:szCs w:val="24"/>
                <w:shd w:val="clear" w:color="auto" w:fill="FFFFFF"/>
              </w:rPr>
              <w:t xml:space="preserve">При наявності діючого постачальника, </w:t>
            </w:r>
            <w:r w:rsidRPr="00C169D5">
              <w:rPr>
                <w:rFonts w:ascii="Times New Roman" w:hAnsi="Times New Roman" w:cs="Times New Roman"/>
                <w:b/>
                <w:color w:val="000000" w:themeColor="text1"/>
                <w:sz w:val="24"/>
                <w:szCs w:val="24"/>
              </w:rPr>
              <w:t>оператор газорозподільної системи</w:t>
            </w:r>
            <w:r w:rsidRPr="00C169D5">
              <w:rPr>
                <w:rFonts w:ascii="Times New Roman" w:hAnsi="Times New Roman" w:cs="Times New Roman"/>
                <w:b/>
                <w:color w:val="000000"/>
                <w:sz w:val="24"/>
                <w:szCs w:val="24"/>
                <w:shd w:val="clear" w:color="auto" w:fill="FFFFFF"/>
              </w:rPr>
              <w:t xml:space="preserve"> також має право закуповувати природний газ у власника природного газу (в тому числі ГДП, ВБГ, оптового продавця) для </w:t>
            </w:r>
            <w:r w:rsidR="004C127B" w:rsidRPr="004C127B">
              <w:rPr>
                <w:rFonts w:ascii="Times New Roman" w:hAnsi="Times New Roman" w:cs="Times New Roman"/>
                <w:b/>
                <w:color w:val="000000"/>
                <w:sz w:val="24"/>
                <w:szCs w:val="24"/>
                <w:shd w:val="clear" w:color="auto" w:fill="FFFFFF"/>
              </w:rPr>
              <w:t>покриття об’ємів (обсягів) втрат та виробничо-технологічних витрат природного газу</w:t>
            </w:r>
            <w:r w:rsidRPr="00C169D5">
              <w:rPr>
                <w:rFonts w:ascii="Times New Roman" w:hAnsi="Times New Roman" w:cs="Times New Roman"/>
                <w:b/>
                <w:color w:val="000000"/>
                <w:sz w:val="24"/>
                <w:szCs w:val="24"/>
                <w:shd w:val="clear" w:color="auto" w:fill="FFFFFF"/>
              </w:rPr>
              <w:t xml:space="preserve">. В такому випадку,  </w:t>
            </w:r>
            <w:r w:rsidRPr="00C169D5">
              <w:rPr>
                <w:rFonts w:ascii="Times New Roman" w:hAnsi="Times New Roman" w:cs="Times New Roman"/>
                <w:b/>
                <w:color w:val="000000" w:themeColor="text1"/>
                <w:sz w:val="24"/>
                <w:szCs w:val="24"/>
              </w:rPr>
              <w:t xml:space="preserve">оператор газорозподільної системи </w:t>
            </w:r>
            <w:r w:rsidRPr="00C169D5">
              <w:rPr>
                <w:rFonts w:ascii="Times New Roman" w:hAnsi="Times New Roman" w:cs="Times New Roman"/>
                <w:b/>
                <w:color w:val="000000"/>
                <w:sz w:val="24"/>
                <w:szCs w:val="24"/>
                <w:shd w:val="clear" w:color="auto" w:fill="FFFFFF"/>
              </w:rPr>
              <w:t>у відносинах з оператором газотранспортної системи діє як замовник послуг транспортування, з врахуванням особливостей визначених цим Кодексом.</w:t>
            </w:r>
          </w:p>
          <w:p w:rsidR="00150AAF" w:rsidRPr="00C90F06" w:rsidRDefault="00150AAF" w:rsidP="00C90F06">
            <w:pPr>
              <w:shd w:val="clear" w:color="auto" w:fill="FFFFFF"/>
              <w:ind w:firstLine="709"/>
              <w:jc w:val="both"/>
              <w:textAlignment w:val="baseline"/>
              <w:rPr>
                <w:rFonts w:ascii="Times New Roman" w:hAnsi="Times New Roman" w:cs="Times New Roman"/>
                <w:b/>
                <w:color w:val="000000"/>
                <w:sz w:val="24"/>
                <w:szCs w:val="24"/>
                <w:shd w:val="clear" w:color="auto" w:fill="FFFFFF"/>
              </w:rPr>
            </w:pPr>
            <w:r w:rsidRPr="00C169D5">
              <w:rPr>
                <w:rFonts w:ascii="Times New Roman" w:hAnsi="Times New Roman" w:cs="Times New Roman"/>
                <w:color w:val="000000"/>
                <w:sz w:val="24"/>
                <w:szCs w:val="24"/>
                <w:shd w:val="clear" w:color="auto" w:fill="FFFFFF"/>
              </w:rPr>
              <w:t>При використанні природного газу на власні потреби для власної господарської діяльності оператор газорозподільної системи є споживачем.</w:t>
            </w:r>
          </w:p>
        </w:tc>
      </w:tr>
      <w:tr w:rsidR="00150AAF" w:rsidRPr="009D6AB1" w:rsidTr="00E03B4F">
        <w:tc>
          <w:tcPr>
            <w:tcW w:w="7508" w:type="dxa"/>
          </w:tcPr>
          <w:p w:rsidR="00150AAF" w:rsidRDefault="00150AAF" w:rsidP="00380C11">
            <w:pPr>
              <w:tabs>
                <w:tab w:val="left" w:pos="646"/>
              </w:tabs>
              <w:jc w:val="center"/>
              <w:rPr>
                <w:rFonts w:ascii="Times New Roman" w:hAnsi="Times New Roman" w:cs="Times New Roman"/>
                <w:b/>
                <w:color w:val="000000" w:themeColor="text1"/>
                <w:sz w:val="24"/>
                <w:szCs w:val="24"/>
              </w:rPr>
            </w:pPr>
            <w:r w:rsidRPr="00C169D5">
              <w:rPr>
                <w:rFonts w:ascii="Times New Roman" w:hAnsi="Times New Roman" w:cs="Times New Roman"/>
                <w:b/>
                <w:color w:val="000000" w:themeColor="text1"/>
                <w:sz w:val="24"/>
                <w:szCs w:val="24"/>
              </w:rPr>
              <w:t>XII. Обмін інформацією про подачі та відбори природного газу замовника послуг транспортування природного газу та визначення алокацій</w:t>
            </w:r>
          </w:p>
          <w:p w:rsidR="00150AAF" w:rsidRPr="00C169D5" w:rsidRDefault="00150AAF" w:rsidP="00380C11">
            <w:pPr>
              <w:tabs>
                <w:tab w:val="left" w:pos="646"/>
              </w:tabs>
              <w:jc w:val="center"/>
              <w:rPr>
                <w:rFonts w:ascii="Times New Roman" w:hAnsi="Times New Roman" w:cs="Times New Roman"/>
                <w:b/>
                <w:color w:val="000000" w:themeColor="text1"/>
                <w:sz w:val="24"/>
                <w:szCs w:val="24"/>
              </w:rPr>
            </w:pPr>
            <w:r w:rsidRPr="00C169D5">
              <w:rPr>
                <w:rFonts w:ascii="Times New Roman" w:hAnsi="Times New Roman" w:cs="Times New Roman"/>
                <w:b/>
                <w:color w:val="000000" w:themeColor="text1"/>
                <w:sz w:val="24"/>
                <w:szCs w:val="24"/>
              </w:rPr>
              <w:t>6. Попередня щодобова алокація відборів замовника послуг транспортування природного газу</w:t>
            </w:r>
          </w:p>
        </w:tc>
        <w:tc>
          <w:tcPr>
            <w:tcW w:w="7518" w:type="dxa"/>
          </w:tcPr>
          <w:p w:rsidR="00150AAF" w:rsidRDefault="00150AAF" w:rsidP="00380C11">
            <w:pPr>
              <w:tabs>
                <w:tab w:val="left" w:pos="646"/>
              </w:tabs>
              <w:jc w:val="center"/>
              <w:rPr>
                <w:rFonts w:ascii="Times New Roman" w:hAnsi="Times New Roman" w:cs="Times New Roman"/>
                <w:b/>
                <w:color w:val="000000" w:themeColor="text1"/>
                <w:sz w:val="24"/>
                <w:szCs w:val="24"/>
              </w:rPr>
            </w:pPr>
            <w:r w:rsidRPr="00C169D5">
              <w:rPr>
                <w:rFonts w:ascii="Times New Roman" w:hAnsi="Times New Roman" w:cs="Times New Roman"/>
                <w:b/>
                <w:color w:val="000000" w:themeColor="text1"/>
                <w:sz w:val="24"/>
                <w:szCs w:val="24"/>
              </w:rPr>
              <w:t>XII. Обмін інформацією про подачі та відбори природного газу замовника послуг транспортування природного газу та визначення алокацій</w:t>
            </w:r>
          </w:p>
          <w:p w:rsidR="00150AAF" w:rsidRPr="00C169D5" w:rsidRDefault="00150AAF" w:rsidP="00380C11">
            <w:pPr>
              <w:tabs>
                <w:tab w:val="left" w:pos="646"/>
              </w:tabs>
              <w:jc w:val="center"/>
              <w:rPr>
                <w:rFonts w:ascii="Times New Roman" w:hAnsi="Times New Roman" w:cs="Times New Roman"/>
                <w:b/>
                <w:color w:val="000000" w:themeColor="text1"/>
                <w:sz w:val="24"/>
                <w:szCs w:val="24"/>
              </w:rPr>
            </w:pPr>
            <w:r w:rsidRPr="00C169D5">
              <w:rPr>
                <w:rFonts w:ascii="Times New Roman" w:hAnsi="Times New Roman" w:cs="Times New Roman"/>
                <w:b/>
                <w:color w:val="000000" w:themeColor="text1"/>
                <w:sz w:val="24"/>
                <w:szCs w:val="24"/>
              </w:rPr>
              <w:t>6. Попередня щодобова алокація відборів замовника послуг транспортування природного газу</w:t>
            </w:r>
          </w:p>
        </w:tc>
      </w:tr>
      <w:tr w:rsidR="00150AAF" w:rsidTr="00E03B4F">
        <w:tc>
          <w:tcPr>
            <w:tcW w:w="7508" w:type="dxa"/>
          </w:tcPr>
          <w:p w:rsidR="00150AAF" w:rsidRDefault="00150AAF" w:rsidP="00380C11">
            <w:pPr>
              <w:shd w:val="clear" w:color="auto" w:fill="FFFFFF"/>
              <w:ind w:firstLine="450"/>
              <w:jc w:val="both"/>
              <w:rPr>
                <w:rFonts w:ascii="Times New Roman" w:hAnsi="Times New Roman" w:cs="Times New Roman"/>
                <w:color w:val="000000"/>
                <w:sz w:val="24"/>
                <w:szCs w:val="24"/>
                <w:shd w:val="clear" w:color="auto" w:fill="FFFFFF"/>
              </w:rPr>
            </w:pPr>
            <w:r w:rsidRPr="00C169D5">
              <w:rPr>
                <w:rFonts w:ascii="Times New Roman" w:hAnsi="Times New Roman" w:cs="Times New Roman"/>
                <w:color w:val="000000"/>
                <w:sz w:val="24"/>
                <w:szCs w:val="24"/>
                <w:shd w:val="clear" w:color="auto" w:fill="FFFFFF"/>
              </w:rPr>
              <w:t xml:space="preserve">4. </w:t>
            </w:r>
            <w:r>
              <w:rPr>
                <w:rFonts w:ascii="Times New Roman" w:hAnsi="Times New Roman" w:cs="Times New Roman"/>
                <w:color w:val="000000"/>
                <w:sz w:val="24"/>
                <w:szCs w:val="24"/>
                <w:shd w:val="clear" w:color="auto" w:fill="FFFFFF"/>
              </w:rPr>
              <w:t>…</w:t>
            </w:r>
          </w:p>
          <w:p w:rsidR="00150AAF" w:rsidRPr="00290FCC" w:rsidRDefault="00150AAF" w:rsidP="00380C11">
            <w:pPr>
              <w:shd w:val="clear" w:color="auto" w:fill="FFFFFF"/>
              <w:ind w:firstLine="450"/>
              <w:jc w:val="both"/>
              <w:rPr>
                <w:rFonts w:ascii="Times New Roman" w:hAnsi="Times New Roman" w:cs="Times New Roman"/>
                <w:strike/>
                <w:color w:val="000000"/>
                <w:sz w:val="24"/>
                <w:szCs w:val="24"/>
                <w:shd w:val="clear" w:color="auto" w:fill="FFFFFF"/>
              </w:rPr>
            </w:pPr>
          </w:p>
          <w:p w:rsidR="00150AAF" w:rsidRPr="000F45D2" w:rsidRDefault="00150AAF" w:rsidP="00380C11">
            <w:pPr>
              <w:shd w:val="clear" w:color="auto" w:fill="FFFFFF"/>
              <w:ind w:firstLine="450"/>
              <w:jc w:val="both"/>
              <w:rPr>
                <w:rFonts w:ascii="Times New Roman" w:hAnsi="Times New Roman" w:cs="Times New Roman"/>
                <w:i/>
                <w:color w:val="000000"/>
                <w:sz w:val="24"/>
                <w:szCs w:val="24"/>
                <w:shd w:val="clear" w:color="auto" w:fill="FFFFFF"/>
              </w:rPr>
            </w:pPr>
            <w:r w:rsidRPr="000F45D2">
              <w:rPr>
                <w:rFonts w:ascii="Times New Roman" w:hAnsi="Times New Roman" w:cs="Times New Roman"/>
                <w:i/>
                <w:color w:val="000000"/>
                <w:sz w:val="24"/>
                <w:szCs w:val="24"/>
                <w:shd w:val="clear" w:color="auto" w:fill="FFFFFF"/>
              </w:rPr>
              <w:t>Якщо обсяг природного газу, переданий до газорозподільної системи (з урахуванням обсягів подачі природного газу газовидобувним підприємством, приєднаним до мереж газорозподільної системи, та перетоку природного газу в суміжну газорозподільну систему), перевищує сумарний обсяг природного газу, що був відібраний споживачами згідно з інформацією про відбори з газорозподільної системи, то вся різниця є відбором відповідного оператора газорозподільної системи.</w:t>
            </w:r>
          </w:p>
          <w:p w:rsidR="00BA1FBA" w:rsidRDefault="00BA1FBA" w:rsidP="00380C11">
            <w:pPr>
              <w:pStyle w:val="rvps2"/>
              <w:shd w:val="clear" w:color="auto" w:fill="FFFFFF"/>
              <w:spacing w:before="0" w:beforeAutospacing="0" w:after="0" w:afterAutospacing="0"/>
              <w:ind w:firstLine="450"/>
              <w:jc w:val="both"/>
              <w:rPr>
                <w:color w:val="000000"/>
                <w:shd w:val="clear" w:color="auto" w:fill="FFFFFF"/>
              </w:rPr>
            </w:pPr>
          </w:p>
          <w:p w:rsidR="00BA1FBA" w:rsidRDefault="00BA1FBA" w:rsidP="00380C11">
            <w:pPr>
              <w:pStyle w:val="rvps2"/>
              <w:shd w:val="clear" w:color="auto" w:fill="FFFFFF"/>
              <w:spacing w:before="0" w:beforeAutospacing="0" w:after="0" w:afterAutospacing="0"/>
              <w:ind w:firstLine="450"/>
              <w:jc w:val="both"/>
              <w:rPr>
                <w:color w:val="000000"/>
                <w:shd w:val="clear" w:color="auto" w:fill="FFFFFF"/>
              </w:rPr>
            </w:pPr>
          </w:p>
          <w:p w:rsidR="00BA1FBA" w:rsidRDefault="00BA1FBA" w:rsidP="00380C11">
            <w:pPr>
              <w:pStyle w:val="rvps2"/>
              <w:shd w:val="clear" w:color="auto" w:fill="FFFFFF"/>
              <w:spacing w:before="0" w:beforeAutospacing="0" w:after="0" w:afterAutospacing="0"/>
              <w:ind w:firstLine="450"/>
              <w:jc w:val="both"/>
              <w:rPr>
                <w:b/>
                <w:color w:val="000000"/>
                <w:shd w:val="clear" w:color="auto" w:fill="FFFFFF"/>
              </w:rPr>
            </w:pPr>
          </w:p>
          <w:p w:rsidR="00BA1FBA" w:rsidRPr="00BA1FBA" w:rsidRDefault="00BA1FBA" w:rsidP="00380C11">
            <w:pPr>
              <w:pStyle w:val="rvps2"/>
              <w:shd w:val="clear" w:color="auto" w:fill="FFFFFF"/>
              <w:spacing w:before="0" w:beforeAutospacing="0" w:after="0" w:afterAutospacing="0"/>
              <w:ind w:firstLine="450"/>
              <w:jc w:val="both"/>
              <w:rPr>
                <w:b/>
                <w:color w:val="000000"/>
                <w:shd w:val="clear" w:color="auto" w:fill="FFFFFF"/>
              </w:rPr>
            </w:pPr>
            <w:r w:rsidRPr="00BA1FBA">
              <w:rPr>
                <w:b/>
                <w:color w:val="000000"/>
                <w:shd w:val="clear" w:color="auto" w:fill="FFFFFF"/>
              </w:rPr>
              <w:t>Норма відсутня</w:t>
            </w:r>
          </w:p>
          <w:p w:rsidR="00BA1FBA" w:rsidRDefault="00BA1FBA" w:rsidP="00380C11">
            <w:pPr>
              <w:pStyle w:val="rvps2"/>
              <w:shd w:val="clear" w:color="auto" w:fill="FFFFFF"/>
              <w:spacing w:before="0" w:beforeAutospacing="0" w:after="0" w:afterAutospacing="0"/>
              <w:ind w:firstLine="450"/>
              <w:jc w:val="both"/>
              <w:rPr>
                <w:color w:val="000000"/>
                <w:shd w:val="clear" w:color="auto" w:fill="FFFFFF"/>
              </w:rPr>
            </w:pPr>
          </w:p>
          <w:p w:rsidR="00BA1FBA" w:rsidRDefault="00BA1FBA" w:rsidP="00380C11">
            <w:pPr>
              <w:pStyle w:val="rvps2"/>
              <w:shd w:val="clear" w:color="auto" w:fill="FFFFFF"/>
              <w:spacing w:before="0" w:beforeAutospacing="0" w:after="0" w:afterAutospacing="0"/>
              <w:jc w:val="both"/>
              <w:rPr>
                <w:color w:val="000000"/>
                <w:shd w:val="clear" w:color="auto" w:fill="FFFFFF"/>
              </w:rPr>
            </w:pPr>
          </w:p>
          <w:p w:rsidR="00150AAF" w:rsidRPr="00C169D5" w:rsidRDefault="00150AAF" w:rsidP="00380C11">
            <w:pPr>
              <w:pStyle w:val="rvps2"/>
              <w:shd w:val="clear" w:color="auto" w:fill="FFFFFF"/>
              <w:spacing w:before="0" w:beforeAutospacing="0" w:after="0" w:afterAutospacing="0"/>
              <w:ind w:firstLine="709"/>
              <w:jc w:val="both"/>
              <w:rPr>
                <w:color w:val="000000" w:themeColor="text1"/>
              </w:rPr>
            </w:pPr>
            <w:r w:rsidRPr="00C169D5">
              <w:rPr>
                <w:color w:val="000000"/>
                <w:shd w:val="clear" w:color="auto" w:fill="FFFFFF"/>
              </w:rPr>
              <w:t xml:space="preserve">Якщо обсяг природного газу, переданий до газорозподільної системи (з урахуванням обсягів подачі природного газу газовидобувним підприємством, приєднаним до мереж газорозподільної системи, та перетоку природного газу в суміжну газорозподільну систему), є меншим за </w:t>
            </w:r>
            <w:r w:rsidRPr="00C940B9">
              <w:rPr>
                <w:i/>
                <w:color w:val="000000"/>
                <w:shd w:val="clear" w:color="auto" w:fill="FFFFFF"/>
              </w:rPr>
              <w:t>сумарний обсяг природного газу</w:t>
            </w:r>
            <w:r w:rsidRPr="00C169D5">
              <w:rPr>
                <w:color w:val="000000"/>
                <w:shd w:val="clear" w:color="auto" w:fill="FFFFFF"/>
              </w:rPr>
              <w:t xml:space="preserve">, </w:t>
            </w:r>
            <w:r w:rsidRPr="00C940B9">
              <w:rPr>
                <w:i/>
                <w:color w:val="000000"/>
                <w:shd w:val="clear" w:color="auto" w:fill="FFFFFF"/>
              </w:rPr>
              <w:t>що був відібраний споживачами</w:t>
            </w:r>
            <w:r w:rsidRPr="00C169D5">
              <w:rPr>
                <w:color w:val="000000"/>
                <w:shd w:val="clear" w:color="auto" w:fill="FFFFFF"/>
              </w:rPr>
              <w:t xml:space="preserve"> згідно з інформацією про відбори з газорозподільної системи, то оператор газотранспортної системи пропорційно зменшує остаточний розрахунковий обсяг по відборах, що не вимірюються щодобово, з цієї газорозподільної системи.</w:t>
            </w:r>
          </w:p>
        </w:tc>
        <w:tc>
          <w:tcPr>
            <w:tcW w:w="7518" w:type="dxa"/>
          </w:tcPr>
          <w:p w:rsidR="00150AAF" w:rsidRDefault="00150AAF" w:rsidP="00380C11">
            <w:pPr>
              <w:shd w:val="clear" w:color="auto" w:fill="FFFFFF"/>
              <w:ind w:firstLine="450"/>
              <w:jc w:val="both"/>
              <w:rPr>
                <w:rFonts w:ascii="Times New Roman" w:hAnsi="Times New Roman" w:cs="Times New Roman"/>
                <w:color w:val="000000"/>
                <w:sz w:val="24"/>
                <w:szCs w:val="24"/>
                <w:shd w:val="clear" w:color="auto" w:fill="FFFFFF"/>
              </w:rPr>
            </w:pPr>
            <w:r w:rsidRPr="00C169D5">
              <w:rPr>
                <w:rFonts w:ascii="Times New Roman" w:hAnsi="Times New Roman" w:cs="Times New Roman"/>
                <w:color w:val="000000"/>
                <w:sz w:val="24"/>
                <w:szCs w:val="24"/>
                <w:shd w:val="clear" w:color="auto" w:fill="FFFFFF"/>
              </w:rPr>
              <w:lastRenderedPageBreak/>
              <w:t xml:space="preserve">4. </w:t>
            </w:r>
            <w:r>
              <w:rPr>
                <w:rFonts w:ascii="Times New Roman" w:hAnsi="Times New Roman" w:cs="Times New Roman"/>
                <w:color w:val="000000"/>
                <w:sz w:val="24"/>
                <w:szCs w:val="24"/>
                <w:shd w:val="clear" w:color="auto" w:fill="FFFFFF"/>
              </w:rPr>
              <w:t>…</w:t>
            </w:r>
          </w:p>
          <w:p w:rsidR="00150AAF" w:rsidRPr="00290FCC" w:rsidRDefault="00150AAF" w:rsidP="00380C11">
            <w:pPr>
              <w:shd w:val="clear" w:color="auto" w:fill="FFFFFF"/>
              <w:ind w:firstLine="450"/>
              <w:jc w:val="both"/>
              <w:rPr>
                <w:rFonts w:ascii="Times New Roman" w:hAnsi="Times New Roman" w:cs="Times New Roman"/>
                <w:strike/>
                <w:color w:val="000000"/>
                <w:sz w:val="24"/>
                <w:szCs w:val="24"/>
                <w:shd w:val="clear" w:color="auto" w:fill="FFFFFF"/>
              </w:rPr>
            </w:pPr>
          </w:p>
          <w:p w:rsidR="00150AAF" w:rsidRPr="009C29F6" w:rsidRDefault="00150AAF" w:rsidP="00380C11">
            <w:pPr>
              <w:shd w:val="clear" w:color="auto" w:fill="FFFFFF"/>
              <w:ind w:firstLine="450"/>
              <w:jc w:val="both"/>
              <w:rPr>
                <w:rFonts w:ascii="Times New Roman" w:hAnsi="Times New Roman" w:cs="Times New Roman"/>
                <w:color w:val="000000"/>
                <w:sz w:val="24"/>
                <w:szCs w:val="24"/>
                <w:shd w:val="clear" w:color="auto" w:fill="FFFFFF"/>
              </w:rPr>
            </w:pPr>
            <w:r w:rsidRPr="000F45D2">
              <w:rPr>
                <w:rFonts w:ascii="Times New Roman" w:hAnsi="Times New Roman" w:cs="Times New Roman"/>
                <w:b/>
                <w:color w:val="000000"/>
                <w:sz w:val="24"/>
                <w:szCs w:val="24"/>
                <w:shd w:val="clear" w:color="auto" w:fill="FFFFFF"/>
              </w:rPr>
              <w:t xml:space="preserve">Якщо обсяг природного газу, переданий до газорозподільної системи (з урахуванням обсягів подачі природного газу газовидобувним підприємством, приєднаним до мереж газорозподільної системи, та перетоку природного газу в суміжну газорозподільну систему), перевищує суму обсягів несанкціонованого відбору та відбору споживачів згідно з інформацією про відбори з газорозподільної системи, то вся різниця є відбором відповідного </w:t>
            </w:r>
            <w:bookmarkStart w:id="1" w:name="_Hlk119520220"/>
            <w:r w:rsidRPr="000F45D2">
              <w:rPr>
                <w:rFonts w:ascii="Times New Roman" w:hAnsi="Times New Roman" w:cs="Times New Roman"/>
                <w:b/>
                <w:color w:val="000000"/>
                <w:sz w:val="24"/>
                <w:szCs w:val="24"/>
                <w:shd w:val="clear" w:color="auto" w:fill="FFFFFF"/>
              </w:rPr>
              <w:t xml:space="preserve">оператора газорозподільної </w:t>
            </w:r>
            <w:r w:rsidRPr="000F45D2">
              <w:rPr>
                <w:rFonts w:ascii="Times New Roman" w:hAnsi="Times New Roman" w:cs="Times New Roman"/>
                <w:b/>
                <w:color w:val="000000"/>
                <w:sz w:val="24"/>
                <w:szCs w:val="24"/>
                <w:shd w:val="clear" w:color="auto" w:fill="FFFFFF"/>
              </w:rPr>
              <w:lastRenderedPageBreak/>
              <w:t xml:space="preserve">системи </w:t>
            </w:r>
            <w:bookmarkStart w:id="2" w:name="_Hlk119520270"/>
            <w:bookmarkEnd w:id="1"/>
            <w:r w:rsidRPr="000F45D2">
              <w:rPr>
                <w:rFonts w:ascii="Times New Roman" w:hAnsi="Times New Roman" w:cs="Times New Roman"/>
                <w:b/>
                <w:color w:val="000000" w:themeColor="text1"/>
                <w:sz w:val="24"/>
                <w:szCs w:val="24"/>
              </w:rPr>
              <w:t>для покриття об’ємів (обсягів) фактичних втрат та виробничо-технологічних витрат природного газу в газорозподільній системі</w:t>
            </w:r>
            <w:r w:rsidRPr="00C169D5">
              <w:rPr>
                <w:rFonts w:ascii="Times New Roman" w:hAnsi="Times New Roman" w:cs="Times New Roman"/>
                <w:color w:val="000000"/>
                <w:sz w:val="24"/>
                <w:szCs w:val="24"/>
                <w:shd w:val="clear" w:color="auto" w:fill="FFFFFF"/>
              </w:rPr>
              <w:t xml:space="preserve">. </w:t>
            </w:r>
          </w:p>
          <w:p w:rsidR="00150AAF" w:rsidRPr="00C169D5" w:rsidRDefault="00150AAF" w:rsidP="00380C11">
            <w:pPr>
              <w:shd w:val="clear" w:color="auto" w:fill="FFFFFF"/>
              <w:ind w:firstLine="709"/>
              <w:jc w:val="both"/>
              <w:rPr>
                <w:rFonts w:ascii="Times New Roman" w:hAnsi="Times New Roman" w:cs="Times New Roman"/>
                <w:b/>
                <w:color w:val="000000"/>
                <w:sz w:val="24"/>
                <w:szCs w:val="24"/>
                <w:lang w:eastAsia="uk-UA"/>
              </w:rPr>
            </w:pPr>
            <w:bookmarkStart w:id="3" w:name="_Hlk119520513"/>
            <w:bookmarkEnd w:id="2"/>
            <w:r w:rsidRPr="00C169D5">
              <w:rPr>
                <w:rFonts w:ascii="Times New Roman" w:hAnsi="Times New Roman" w:cs="Times New Roman"/>
                <w:b/>
                <w:color w:val="000000"/>
                <w:sz w:val="24"/>
                <w:szCs w:val="24"/>
                <w:lang w:eastAsia="uk-UA"/>
              </w:rPr>
              <w:t>Алокація діючого постачальника оператора газорозподільної системи зменшується на обсяг природного газу придбаного у газовій добі оператором газорозподільної системи  у власника природного газу (в тому числі ГДП, ВБГ, оптового продавця) та поданого до газорозподільної зони такого оператора газорозподільної системи.</w:t>
            </w:r>
          </w:p>
          <w:bookmarkEnd w:id="3"/>
          <w:p w:rsidR="00150AAF" w:rsidRPr="00000CB1" w:rsidRDefault="00150AAF" w:rsidP="00380C11">
            <w:pPr>
              <w:shd w:val="clear" w:color="auto" w:fill="FFFFFF"/>
              <w:ind w:firstLine="450"/>
              <w:jc w:val="both"/>
              <w:rPr>
                <w:rFonts w:ascii="Times New Roman" w:hAnsi="Times New Roman" w:cs="Times New Roman"/>
                <w:color w:val="000000"/>
                <w:sz w:val="24"/>
                <w:szCs w:val="24"/>
                <w:shd w:val="clear" w:color="auto" w:fill="FFFFFF"/>
              </w:rPr>
            </w:pPr>
            <w:r w:rsidRPr="00C169D5">
              <w:rPr>
                <w:rFonts w:ascii="Times New Roman" w:hAnsi="Times New Roman" w:cs="Times New Roman"/>
                <w:color w:val="000000"/>
                <w:sz w:val="24"/>
                <w:szCs w:val="24"/>
                <w:shd w:val="clear" w:color="auto" w:fill="FFFFFF"/>
              </w:rPr>
              <w:t xml:space="preserve">Якщо обсяг природного газу, переданий до газорозподільної системи (з урахуванням обсягів подачі природного газу газовидобувним підприємством, приєднаним до мереж газорозподільної системи, та перетоку природного газу в суміжну газорозподільну систему), є меншим за </w:t>
            </w:r>
            <w:r w:rsidRPr="009C29F6">
              <w:rPr>
                <w:rFonts w:ascii="Times New Roman" w:hAnsi="Times New Roman" w:cs="Times New Roman"/>
                <w:b/>
                <w:color w:val="000000"/>
                <w:sz w:val="24"/>
                <w:szCs w:val="24"/>
                <w:shd w:val="clear" w:color="auto" w:fill="FFFFFF"/>
              </w:rPr>
              <w:t xml:space="preserve">суму обсягів несанкціонованого відбору та відбору споживачів </w:t>
            </w:r>
            <w:r w:rsidRPr="00C940B9">
              <w:rPr>
                <w:rFonts w:ascii="Times New Roman" w:hAnsi="Times New Roman" w:cs="Times New Roman"/>
                <w:color w:val="000000"/>
                <w:sz w:val="24"/>
                <w:szCs w:val="24"/>
                <w:shd w:val="clear" w:color="auto" w:fill="FFFFFF"/>
              </w:rPr>
              <w:t>згідно з інформацією про відбори з газорозподільної системи</w:t>
            </w:r>
            <w:r w:rsidRPr="00C169D5">
              <w:rPr>
                <w:rFonts w:ascii="Times New Roman" w:hAnsi="Times New Roman" w:cs="Times New Roman"/>
                <w:color w:val="000000"/>
                <w:sz w:val="24"/>
                <w:szCs w:val="24"/>
                <w:shd w:val="clear" w:color="auto" w:fill="FFFFFF"/>
              </w:rPr>
              <w:t xml:space="preserve">, то оператор газотранспортної системи пропорційно зменшує остаточний розрахунковий обсяг по відборах, що не вимірюються щодобово, з цієї газорозподільної системи. </w:t>
            </w:r>
          </w:p>
        </w:tc>
      </w:tr>
      <w:tr w:rsidR="00150AAF" w:rsidTr="00E03B4F">
        <w:tc>
          <w:tcPr>
            <w:tcW w:w="7508" w:type="dxa"/>
          </w:tcPr>
          <w:p w:rsidR="00150AAF" w:rsidRPr="00C169D5" w:rsidRDefault="00150AAF" w:rsidP="00380C11">
            <w:pPr>
              <w:pStyle w:val="rvps2"/>
              <w:shd w:val="clear" w:color="auto" w:fill="FFFFFF"/>
              <w:spacing w:before="0" w:beforeAutospacing="0" w:after="0" w:afterAutospacing="0"/>
              <w:ind w:firstLine="450"/>
              <w:jc w:val="both"/>
              <w:rPr>
                <w:color w:val="000000" w:themeColor="text1"/>
              </w:rPr>
            </w:pPr>
            <w:r w:rsidRPr="00C169D5">
              <w:rPr>
                <w:color w:val="000000" w:themeColor="text1"/>
              </w:rPr>
              <w:lastRenderedPageBreak/>
              <w:t>7. Алокація відборів природного газу споживача можлива тільки на замовника послуг транспортування природного газу, що є діючим постачальником такого споживача згідно з даними Реєстру споживачів постачальника, та відноситься на нього оператором газотранспортної системи до моменту припинення постачання природного газу такому споживачу в установленому порядку, крім випадків, передбачених нижче.</w:t>
            </w:r>
          </w:p>
          <w:p w:rsidR="00150AAF" w:rsidRPr="00C169D5" w:rsidRDefault="00150AAF" w:rsidP="00380C11">
            <w:pPr>
              <w:pStyle w:val="rvps2"/>
              <w:shd w:val="clear" w:color="auto" w:fill="FFFFFF"/>
              <w:spacing w:before="0" w:beforeAutospacing="0" w:after="0" w:afterAutospacing="0"/>
              <w:ind w:firstLine="450"/>
              <w:jc w:val="both"/>
              <w:rPr>
                <w:color w:val="000000" w:themeColor="text1"/>
              </w:rPr>
            </w:pPr>
            <w:bookmarkStart w:id="4" w:name="n1930"/>
            <w:bookmarkEnd w:id="4"/>
            <w:r w:rsidRPr="00C169D5">
              <w:rPr>
                <w:color w:val="000000" w:themeColor="text1"/>
              </w:rPr>
              <w:t>У разі несанкціонованого відбору природного газу споживачем весь відповідний обсяг вноситься в алокацію відповідного оператора газорозподільної системи, а по прямому споживачу - оператора газотранспортної системи.</w:t>
            </w:r>
          </w:p>
          <w:p w:rsidR="00BA1FBA" w:rsidRDefault="00BA1FBA" w:rsidP="00380C11">
            <w:pPr>
              <w:pStyle w:val="rvps2"/>
              <w:shd w:val="clear" w:color="auto" w:fill="FFFFFF"/>
              <w:spacing w:before="0" w:beforeAutospacing="0" w:after="0" w:afterAutospacing="0"/>
              <w:ind w:firstLine="450"/>
              <w:jc w:val="both"/>
              <w:rPr>
                <w:color w:val="000000" w:themeColor="text1"/>
              </w:rPr>
            </w:pPr>
          </w:p>
          <w:p w:rsidR="00BA1FBA" w:rsidRDefault="00BA1FBA" w:rsidP="00380C11">
            <w:pPr>
              <w:pStyle w:val="rvps2"/>
              <w:shd w:val="clear" w:color="auto" w:fill="FFFFFF"/>
              <w:spacing w:before="0" w:beforeAutospacing="0" w:after="0" w:afterAutospacing="0"/>
              <w:ind w:firstLine="450"/>
              <w:jc w:val="both"/>
              <w:rPr>
                <w:color w:val="000000" w:themeColor="text1"/>
              </w:rPr>
            </w:pPr>
          </w:p>
          <w:p w:rsidR="00BA1FBA" w:rsidRDefault="00BA1FBA" w:rsidP="00380C11">
            <w:pPr>
              <w:pStyle w:val="rvps2"/>
              <w:shd w:val="clear" w:color="auto" w:fill="FFFFFF"/>
              <w:spacing w:before="0" w:beforeAutospacing="0" w:after="0" w:afterAutospacing="0"/>
              <w:ind w:firstLine="450"/>
              <w:jc w:val="both"/>
              <w:rPr>
                <w:color w:val="000000" w:themeColor="text1"/>
              </w:rPr>
            </w:pPr>
          </w:p>
          <w:p w:rsidR="00BA1FBA" w:rsidRDefault="00BA1FBA" w:rsidP="00380C11">
            <w:pPr>
              <w:pStyle w:val="rvps2"/>
              <w:shd w:val="clear" w:color="auto" w:fill="FFFFFF"/>
              <w:spacing w:before="0" w:beforeAutospacing="0" w:after="0" w:afterAutospacing="0"/>
              <w:ind w:firstLine="450"/>
              <w:jc w:val="both"/>
              <w:rPr>
                <w:color w:val="000000" w:themeColor="text1"/>
              </w:rPr>
            </w:pPr>
          </w:p>
          <w:p w:rsidR="00BA1FBA" w:rsidRDefault="00BA1FBA" w:rsidP="00380C11">
            <w:pPr>
              <w:pStyle w:val="rvps2"/>
              <w:shd w:val="clear" w:color="auto" w:fill="FFFFFF"/>
              <w:spacing w:before="0" w:beforeAutospacing="0" w:after="0" w:afterAutospacing="0"/>
              <w:ind w:firstLine="450"/>
              <w:jc w:val="both"/>
              <w:rPr>
                <w:color w:val="000000" w:themeColor="text1"/>
              </w:rPr>
            </w:pPr>
          </w:p>
          <w:p w:rsidR="00BA1FBA" w:rsidRDefault="00BA1FBA" w:rsidP="00380C11">
            <w:pPr>
              <w:pStyle w:val="rvps2"/>
              <w:shd w:val="clear" w:color="auto" w:fill="FFFFFF"/>
              <w:spacing w:before="0" w:beforeAutospacing="0" w:after="0" w:afterAutospacing="0"/>
              <w:ind w:firstLine="450"/>
              <w:jc w:val="both"/>
              <w:rPr>
                <w:color w:val="000000" w:themeColor="text1"/>
              </w:rPr>
            </w:pPr>
          </w:p>
          <w:p w:rsidR="00BA1FBA" w:rsidRDefault="00BA1FBA" w:rsidP="00380C11">
            <w:pPr>
              <w:pStyle w:val="rvps2"/>
              <w:shd w:val="clear" w:color="auto" w:fill="FFFFFF"/>
              <w:spacing w:before="0" w:beforeAutospacing="0" w:after="0" w:afterAutospacing="0"/>
              <w:ind w:firstLine="450"/>
              <w:jc w:val="both"/>
              <w:rPr>
                <w:color w:val="000000" w:themeColor="text1"/>
              </w:rPr>
            </w:pPr>
          </w:p>
          <w:p w:rsidR="00BA1FBA" w:rsidRDefault="00BA1FBA" w:rsidP="00380C11">
            <w:pPr>
              <w:pStyle w:val="rvps2"/>
              <w:shd w:val="clear" w:color="auto" w:fill="FFFFFF"/>
              <w:spacing w:before="0" w:beforeAutospacing="0" w:after="0" w:afterAutospacing="0"/>
              <w:ind w:firstLine="450"/>
              <w:jc w:val="both"/>
              <w:rPr>
                <w:color w:val="000000" w:themeColor="text1"/>
              </w:rPr>
            </w:pPr>
          </w:p>
          <w:p w:rsidR="00BA1FBA" w:rsidRDefault="00BA1FBA" w:rsidP="00380C11">
            <w:pPr>
              <w:pStyle w:val="rvps2"/>
              <w:shd w:val="clear" w:color="auto" w:fill="FFFFFF"/>
              <w:spacing w:before="0" w:beforeAutospacing="0" w:after="0" w:afterAutospacing="0"/>
              <w:ind w:firstLine="450"/>
              <w:jc w:val="both"/>
              <w:rPr>
                <w:color w:val="000000" w:themeColor="text1"/>
              </w:rPr>
            </w:pPr>
          </w:p>
          <w:p w:rsidR="00BA1FBA" w:rsidRDefault="00BA1FBA" w:rsidP="00380C11">
            <w:pPr>
              <w:pStyle w:val="rvps2"/>
              <w:shd w:val="clear" w:color="auto" w:fill="FFFFFF"/>
              <w:spacing w:before="0" w:beforeAutospacing="0" w:after="0" w:afterAutospacing="0"/>
              <w:ind w:firstLine="450"/>
              <w:jc w:val="both"/>
              <w:rPr>
                <w:color w:val="000000" w:themeColor="text1"/>
              </w:rPr>
            </w:pPr>
          </w:p>
          <w:p w:rsidR="00BA1FBA" w:rsidRDefault="00BA1FBA" w:rsidP="00380C11">
            <w:pPr>
              <w:pStyle w:val="rvps2"/>
              <w:shd w:val="clear" w:color="auto" w:fill="FFFFFF"/>
              <w:spacing w:before="0" w:beforeAutospacing="0" w:after="0" w:afterAutospacing="0"/>
              <w:ind w:firstLine="450"/>
              <w:jc w:val="both"/>
              <w:rPr>
                <w:color w:val="000000" w:themeColor="text1"/>
              </w:rPr>
            </w:pPr>
          </w:p>
          <w:p w:rsidR="00BA1FBA" w:rsidRPr="00BA1FBA" w:rsidRDefault="00BA1FBA" w:rsidP="00380C11">
            <w:pPr>
              <w:pStyle w:val="rvps2"/>
              <w:shd w:val="clear" w:color="auto" w:fill="FFFFFF"/>
              <w:spacing w:before="0" w:beforeAutospacing="0" w:after="0" w:afterAutospacing="0"/>
              <w:ind w:firstLine="709"/>
              <w:jc w:val="both"/>
              <w:rPr>
                <w:b/>
                <w:color w:val="000000" w:themeColor="text1"/>
              </w:rPr>
            </w:pPr>
            <w:r w:rsidRPr="00BA1FBA">
              <w:rPr>
                <w:b/>
                <w:color w:val="000000" w:themeColor="text1"/>
              </w:rPr>
              <w:t>Норма відсутня</w:t>
            </w:r>
          </w:p>
          <w:p w:rsidR="00BA1FBA" w:rsidRDefault="00BA1FBA" w:rsidP="00380C11">
            <w:pPr>
              <w:pStyle w:val="rvps2"/>
              <w:shd w:val="clear" w:color="auto" w:fill="FFFFFF"/>
              <w:spacing w:before="0" w:beforeAutospacing="0" w:after="0" w:afterAutospacing="0"/>
              <w:ind w:firstLine="709"/>
              <w:jc w:val="both"/>
              <w:rPr>
                <w:color w:val="000000" w:themeColor="text1"/>
              </w:rPr>
            </w:pPr>
          </w:p>
          <w:p w:rsidR="00BA1FBA" w:rsidRDefault="00BA1FBA" w:rsidP="00380C11">
            <w:pPr>
              <w:pStyle w:val="rvps2"/>
              <w:shd w:val="clear" w:color="auto" w:fill="FFFFFF"/>
              <w:spacing w:before="0" w:beforeAutospacing="0" w:after="0" w:afterAutospacing="0"/>
              <w:ind w:firstLine="709"/>
              <w:jc w:val="both"/>
              <w:rPr>
                <w:color w:val="000000" w:themeColor="text1"/>
              </w:rPr>
            </w:pPr>
          </w:p>
          <w:p w:rsidR="00150AAF" w:rsidRPr="00C169D5" w:rsidRDefault="00150AAF" w:rsidP="00380C11">
            <w:pPr>
              <w:pStyle w:val="rvps2"/>
              <w:shd w:val="clear" w:color="auto" w:fill="FFFFFF"/>
              <w:spacing w:before="0" w:beforeAutospacing="0" w:after="0" w:afterAutospacing="0"/>
              <w:ind w:firstLine="709"/>
              <w:jc w:val="both"/>
              <w:rPr>
                <w:color w:val="000000" w:themeColor="text1"/>
              </w:rPr>
            </w:pPr>
            <w:r w:rsidRPr="00C169D5">
              <w:rPr>
                <w:color w:val="000000" w:themeColor="text1"/>
              </w:rPr>
              <w:t>У разі письмової вимоги замовника послуг транспортування природного газу, що є постачальником, або оператора газотранспортної системи до оператора газорозподільної системи про припинення розподілу природного газу споживачу замовника, яка подається в установленому законодавством порядку, алокація фактичного обсягу споживання природного газу таким споживачем після строку, установленого законодавством на припинення розподілу природного газу такому споживачу, здійснюється на оператора газорозподільної системи.</w:t>
            </w:r>
          </w:p>
          <w:p w:rsidR="00150AAF" w:rsidRPr="00BA1FBA" w:rsidRDefault="00150AAF" w:rsidP="00380C11">
            <w:pPr>
              <w:pStyle w:val="rvps2"/>
              <w:shd w:val="clear" w:color="auto" w:fill="FFFFFF"/>
              <w:spacing w:before="0" w:beforeAutospacing="0" w:after="0" w:afterAutospacing="0"/>
              <w:ind w:firstLine="450"/>
              <w:jc w:val="both"/>
              <w:rPr>
                <w:color w:val="000000" w:themeColor="text1"/>
              </w:rPr>
            </w:pPr>
            <w:r w:rsidRPr="00C169D5">
              <w:rPr>
                <w:color w:val="000000" w:themeColor="text1"/>
              </w:rPr>
              <w:t>У разі письмової вимоги замовника послуг транспортування природного газу, що є постачальником, до оператора газотранспортної системи про припинення транспортування природного газу прямому споживачу замовника, яка подається в установленому законодавством порядку, фактичний обсяг споживання природного газу таким прямим споживачем після строку, установленого законодавством на припинення транспортування природного газу такому прямому споживачу</w:t>
            </w:r>
            <w:r w:rsidRPr="00B950D7">
              <w:rPr>
                <w:i/>
                <w:color w:val="000000" w:themeColor="text1"/>
              </w:rPr>
              <w:t>, вноситься до алокації оператора газотранспортної системи</w:t>
            </w:r>
            <w:r w:rsidRPr="00C169D5">
              <w:rPr>
                <w:color w:val="000000" w:themeColor="text1"/>
              </w:rPr>
              <w:t>.</w:t>
            </w:r>
          </w:p>
        </w:tc>
        <w:tc>
          <w:tcPr>
            <w:tcW w:w="7518" w:type="dxa"/>
          </w:tcPr>
          <w:p w:rsidR="00150AAF" w:rsidRDefault="00150AAF" w:rsidP="00380C11">
            <w:pPr>
              <w:pStyle w:val="rvps2"/>
              <w:shd w:val="clear" w:color="auto" w:fill="FFFFFF"/>
              <w:spacing w:before="0" w:beforeAutospacing="0" w:after="0" w:afterAutospacing="0"/>
              <w:ind w:firstLine="450"/>
              <w:jc w:val="both"/>
              <w:rPr>
                <w:color w:val="000000" w:themeColor="text1"/>
              </w:rPr>
            </w:pPr>
            <w:r w:rsidRPr="00C169D5">
              <w:rPr>
                <w:color w:val="000000" w:themeColor="text1"/>
              </w:rPr>
              <w:lastRenderedPageBreak/>
              <w:t>7. Алокація відборів природного газу споживача можлива тільки на замовника послуг транспортування природного газу, що є діючим постачальником такого споживача згідно з даними Реєстру споживачів постачальника, та відноситься на нього оператором газотранспортної системи до моменту припинення постачання природного газу такому споживачу в установленому порядку, крім випадків, передбачених нижче.</w:t>
            </w:r>
          </w:p>
          <w:p w:rsidR="00150AAF" w:rsidRDefault="00150AAF" w:rsidP="00380C11">
            <w:pPr>
              <w:ind w:firstLine="709"/>
              <w:contextualSpacing/>
              <w:jc w:val="both"/>
              <w:rPr>
                <w:rFonts w:ascii="Times New Roman" w:hAnsi="Times New Roman" w:cs="Times New Roman"/>
                <w:b/>
                <w:color w:val="000000"/>
                <w:sz w:val="24"/>
                <w:szCs w:val="24"/>
                <w:shd w:val="clear" w:color="auto" w:fill="FFFFFF"/>
              </w:rPr>
            </w:pPr>
            <w:bookmarkStart w:id="5" w:name="_Hlk119521282"/>
            <w:r w:rsidRPr="00FE42E2">
              <w:rPr>
                <w:rFonts w:ascii="Times New Roman" w:hAnsi="Times New Roman" w:cs="Times New Roman"/>
                <w:b/>
                <w:color w:val="000000"/>
                <w:sz w:val="24"/>
                <w:szCs w:val="24"/>
                <w:shd w:val="clear" w:color="auto" w:fill="FFFFFF"/>
              </w:rPr>
              <w:t>Обсяг відборів природного газу в мережах оператора газорозподільних систем споживач</w:t>
            </w:r>
            <w:r w:rsidR="00E82450">
              <w:rPr>
                <w:rFonts w:ascii="Times New Roman" w:hAnsi="Times New Roman" w:cs="Times New Roman"/>
                <w:b/>
                <w:color w:val="000000"/>
                <w:sz w:val="24"/>
                <w:szCs w:val="24"/>
                <w:shd w:val="clear" w:color="auto" w:fill="FFFFFF"/>
              </w:rPr>
              <w:t>ів</w:t>
            </w:r>
            <w:r w:rsidRPr="00FE42E2">
              <w:rPr>
                <w:rFonts w:ascii="Times New Roman" w:hAnsi="Times New Roman" w:cs="Times New Roman"/>
                <w:b/>
                <w:color w:val="000000"/>
                <w:sz w:val="24"/>
                <w:szCs w:val="24"/>
                <w:shd w:val="clear" w:color="auto" w:fill="FFFFFF"/>
              </w:rPr>
              <w:t xml:space="preserve"> за </w:t>
            </w:r>
            <w:r w:rsidR="00E82450">
              <w:rPr>
                <w:rFonts w:ascii="Times New Roman" w:hAnsi="Times New Roman" w:cs="Times New Roman"/>
                <w:b/>
                <w:color w:val="000000"/>
                <w:sz w:val="24"/>
                <w:szCs w:val="24"/>
                <w:shd w:val="clear" w:color="auto" w:fill="FFFFFF"/>
              </w:rPr>
              <w:t>їх</w:t>
            </w:r>
            <w:r w:rsidR="00E82450" w:rsidRPr="00FE42E2">
              <w:rPr>
                <w:rFonts w:ascii="Times New Roman" w:hAnsi="Times New Roman" w:cs="Times New Roman"/>
                <w:b/>
                <w:color w:val="000000"/>
                <w:sz w:val="24"/>
                <w:szCs w:val="24"/>
                <w:shd w:val="clear" w:color="auto" w:fill="FFFFFF"/>
              </w:rPr>
              <w:t xml:space="preserve"> </w:t>
            </w:r>
            <w:r w:rsidRPr="00FE42E2">
              <w:rPr>
                <w:rFonts w:ascii="Times New Roman" w:hAnsi="Times New Roman" w:cs="Times New Roman"/>
                <w:b/>
                <w:color w:val="000000"/>
                <w:sz w:val="24"/>
                <w:szCs w:val="24"/>
                <w:shd w:val="clear" w:color="auto" w:fill="FFFFFF"/>
              </w:rPr>
              <w:t>відсутності в Реєстрі споживачів будь-якого постачальника</w:t>
            </w:r>
            <w:r w:rsidR="00E82450">
              <w:rPr>
                <w:rFonts w:ascii="Times New Roman" w:hAnsi="Times New Roman" w:cs="Times New Roman"/>
                <w:b/>
                <w:color w:val="000000"/>
                <w:sz w:val="24"/>
                <w:szCs w:val="24"/>
                <w:shd w:val="clear" w:color="auto" w:fill="FFFFFF"/>
              </w:rPr>
              <w:t xml:space="preserve"> або</w:t>
            </w:r>
            <w:r w:rsidRPr="00FE42E2">
              <w:rPr>
                <w:rFonts w:ascii="Times New Roman" w:hAnsi="Times New Roman" w:cs="Times New Roman"/>
                <w:b/>
                <w:color w:val="000000"/>
                <w:sz w:val="24"/>
                <w:szCs w:val="24"/>
                <w:shd w:val="clear" w:color="auto" w:fill="FFFFFF"/>
              </w:rPr>
              <w:t xml:space="preserve"> після закінчення строку, встановленого законодавством для припинення (обмеження) розподілу природного газу, </w:t>
            </w:r>
            <w:r w:rsidRPr="0095062D">
              <w:rPr>
                <w:rFonts w:ascii="Times New Roman" w:hAnsi="Times New Roman" w:cs="Times New Roman"/>
                <w:b/>
                <w:color w:val="000000"/>
                <w:sz w:val="24"/>
                <w:szCs w:val="24"/>
                <w:shd w:val="clear" w:color="auto" w:fill="FFFFFF"/>
              </w:rPr>
              <w:t>а також відбору оператором газорозподільних систем за його відсутності в Реєстрі споживачів будь-якого постачальника, крім випадку</w:t>
            </w:r>
            <w:r w:rsidRPr="00FE42E2">
              <w:rPr>
                <w:rFonts w:ascii="Times New Roman" w:hAnsi="Times New Roman" w:cs="Times New Roman"/>
                <w:b/>
                <w:color w:val="000000"/>
                <w:sz w:val="24"/>
                <w:szCs w:val="24"/>
                <w:shd w:val="clear" w:color="auto" w:fill="FFFFFF"/>
              </w:rPr>
              <w:t xml:space="preserve"> закупівлі природного газу 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w:t>
            </w:r>
            <w:r w:rsidRPr="00FE42E2">
              <w:rPr>
                <w:rFonts w:ascii="Times New Roman" w:hAnsi="Times New Roman" w:cs="Times New Roman"/>
                <w:b/>
                <w:color w:val="000000"/>
                <w:sz w:val="24"/>
                <w:szCs w:val="24"/>
                <w:shd w:val="clear" w:color="auto" w:fill="FFFFFF"/>
              </w:rPr>
              <w:lastRenderedPageBreak/>
              <w:t>функціонування ринку природного газу, є обсягом несанкціонованого відбору відповідного оператора газорозподільної системи.</w:t>
            </w:r>
          </w:p>
          <w:p w:rsidR="00150AAF" w:rsidRPr="00C169D5" w:rsidRDefault="00150AAF" w:rsidP="00380C11">
            <w:pPr>
              <w:pStyle w:val="rvps2"/>
              <w:shd w:val="clear" w:color="auto" w:fill="FFFFFF"/>
              <w:spacing w:before="0" w:beforeAutospacing="0" w:after="0" w:afterAutospacing="0"/>
              <w:ind w:firstLine="450"/>
              <w:jc w:val="both"/>
              <w:rPr>
                <w:b/>
                <w:color w:val="000000" w:themeColor="text1"/>
              </w:rPr>
            </w:pPr>
            <w:bookmarkStart w:id="6" w:name="_Hlk119521392"/>
            <w:bookmarkEnd w:id="5"/>
            <w:r w:rsidRPr="00C169D5">
              <w:rPr>
                <w:b/>
                <w:color w:val="000000" w:themeColor="text1"/>
              </w:rPr>
              <w:t xml:space="preserve">У разі відбору природного газу прямим споживачем </w:t>
            </w:r>
            <w:r w:rsidRPr="00C169D5">
              <w:rPr>
                <w:b/>
                <w:color w:val="000000" w:themeColor="text1"/>
                <w:shd w:val="clear" w:color="auto" w:fill="FFFFFF"/>
              </w:rPr>
              <w:t>за відсутності у нього  діючого постачальника (якщо прямий споживач не включений до Реєстру споживачів будь-якого постачальника)</w:t>
            </w:r>
            <w:r w:rsidRPr="00C169D5">
              <w:rPr>
                <w:b/>
                <w:color w:val="000000" w:themeColor="text1"/>
              </w:rPr>
              <w:t>, весь обсяг відбору газу є обсягом несанкціонованого відбору прямого споживача.</w:t>
            </w:r>
          </w:p>
          <w:bookmarkEnd w:id="6"/>
          <w:p w:rsidR="00150AAF" w:rsidRPr="00C169D5" w:rsidRDefault="00150AAF" w:rsidP="00380C11">
            <w:pPr>
              <w:pStyle w:val="rvps2"/>
              <w:shd w:val="clear" w:color="auto" w:fill="FFFFFF"/>
              <w:spacing w:before="0" w:beforeAutospacing="0" w:after="0" w:afterAutospacing="0"/>
              <w:ind w:firstLine="450"/>
              <w:jc w:val="both"/>
              <w:rPr>
                <w:color w:val="000000" w:themeColor="text1"/>
              </w:rPr>
            </w:pPr>
            <w:r w:rsidRPr="00C169D5">
              <w:rPr>
                <w:color w:val="000000" w:themeColor="text1"/>
              </w:rPr>
              <w:t>У разі письмової вимоги замовника послуг транспортування природного газу, що є постачальником, або оператора газотранспортної системи до оператора газорозподільної системи про припинення розподілу природного газу споживачу замовника, яка подається в установленому законодавством порядку, алокація фактичного обсягу споживання природного газу таким споживачем після строку, установленого законодавством на припинення розподілу природного газу такому споживачу, здійснюється на оператора газорозподільної системи</w:t>
            </w:r>
            <w:r>
              <w:rPr>
                <w:color w:val="000000" w:themeColor="text1"/>
              </w:rPr>
              <w:t xml:space="preserve"> </w:t>
            </w:r>
            <w:r w:rsidRPr="00FE42E2">
              <w:rPr>
                <w:b/>
                <w:color w:val="000000" w:themeColor="text1"/>
              </w:rPr>
              <w:t>з урахуванням положень цього пункту</w:t>
            </w:r>
            <w:r w:rsidRPr="00C169D5">
              <w:rPr>
                <w:color w:val="000000" w:themeColor="text1"/>
              </w:rPr>
              <w:t>.</w:t>
            </w:r>
          </w:p>
          <w:p w:rsidR="00150AAF" w:rsidRPr="00C169D5" w:rsidRDefault="00150AAF" w:rsidP="00380C11">
            <w:pPr>
              <w:ind w:firstLine="709"/>
              <w:jc w:val="both"/>
              <w:rPr>
                <w:rFonts w:ascii="Times New Roman" w:hAnsi="Times New Roman" w:cs="Times New Roman"/>
                <w:b/>
                <w:i/>
                <w:sz w:val="24"/>
                <w:szCs w:val="24"/>
              </w:rPr>
            </w:pPr>
            <w:r w:rsidRPr="00C169D5">
              <w:rPr>
                <w:rFonts w:ascii="Times New Roman" w:hAnsi="Times New Roman" w:cs="Times New Roman"/>
                <w:color w:val="000000" w:themeColor="text1"/>
                <w:sz w:val="24"/>
                <w:szCs w:val="24"/>
              </w:rPr>
              <w:t xml:space="preserve">У разі письмової вимоги замовника послуг транспортування природного газу, що є постачальником, до оператора газотранспортної системи про припинення транспортування природного газу прямому споживачу замовника, яка подається в установленому законодавством порядку, фактичний обсяг споживання природного газу таким прямим споживачем після строку, установленого законодавством на припинення транспортування природного газу такому прямому споживачу, </w:t>
            </w:r>
            <w:r w:rsidRPr="00C169D5">
              <w:rPr>
                <w:rFonts w:ascii="Times New Roman" w:hAnsi="Times New Roman" w:cs="Times New Roman"/>
                <w:b/>
                <w:color w:val="000000" w:themeColor="text1"/>
                <w:sz w:val="24"/>
                <w:szCs w:val="24"/>
              </w:rPr>
              <w:t>є обсягом несанкціонованого відбору прямого споживача.</w:t>
            </w:r>
          </w:p>
        </w:tc>
      </w:tr>
      <w:tr w:rsidR="00150AAF" w:rsidTr="00E03B4F">
        <w:tc>
          <w:tcPr>
            <w:tcW w:w="7508" w:type="dxa"/>
          </w:tcPr>
          <w:p w:rsidR="00150AAF" w:rsidRDefault="00150AAF" w:rsidP="00380C11">
            <w:pPr>
              <w:jc w:val="center"/>
              <w:rPr>
                <w:rFonts w:ascii="Times New Roman" w:hAnsi="Times New Roman" w:cs="Times New Roman"/>
                <w:b/>
                <w:color w:val="000000"/>
                <w:sz w:val="24"/>
                <w:szCs w:val="24"/>
                <w:lang w:eastAsia="uk-UA"/>
              </w:rPr>
            </w:pPr>
            <w:r w:rsidRPr="00C169D5">
              <w:rPr>
                <w:rFonts w:ascii="Times New Roman" w:hAnsi="Times New Roman" w:cs="Times New Roman"/>
                <w:b/>
                <w:color w:val="000000"/>
                <w:sz w:val="24"/>
                <w:szCs w:val="24"/>
                <w:lang w:eastAsia="uk-UA"/>
              </w:rPr>
              <w:lastRenderedPageBreak/>
              <w:t>XIV. Комерційне балансування</w:t>
            </w:r>
          </w:p>
          <w:p w:rsidR="00150AAF" w:rsidRPr="00C169D5" w:rsidRDefault="00150AAF" w:rsidP="00380C11">
            <w:pPr>
              <w:jc w:val="center"/>
              <w:rPr>
                <w:rFonts w:ascii="Times New Roman" w:hAnsi="Times New Roman" w:cs="Times New Roman"/>
                <w:b/>
                <w:i/>
                <w:sz w:val="24"/>
                <w:szCs w:val="24"/>
              </w:rPr>
            </w:pPr>
            <w:r w:rsidRPr="00C169D5">
              <w:rPr>
                <w:rFonts w:ascii="Times New Roman" w:hAnsi="Times New Roman" w:cs="Times New Roman"/>
                <w:b/>
                <w:color w:val="000000"/>
                <w:sz w:val="24"/>
                <w:szCs w:val="24"/>
                <w:lang w:eastAsia="uk-UA"/>
              </w:rPr>
              <w:t>1. Загальні умови</w:t>
            </w:r>
          </w:p>
        </w:tc>
        <w:tc>
          <w:tcPr>
            <w:tcW w:w="7518" w:type="dxa"/>
          </w:tcPr>
          <w:p w:rsidR="00150AAF" w:rsidRDefault="00150AAF" w:rsidP="00380C11">
            <w:pPr>
              <w:jc w:val="center"/>
              <w:rPr>
                <w:rFonts w:ascii="Times New Roman" w:hAnsi="Times New Roman" w:cs="Times New Roman"/>
                <w:b/>
                <w:color w:val="000000"/>
                <w:sz w:val="24"/>
                <w:szCs w:val="24"/>
                <w:lang w:eastAsia="uk-UA"/>
              </w:rPr>
            </w:pPr>
            <w:r w:rsidRPr="00C169D5">
              <w:rPr>
                <w:rFonts w:ascii="Times New Roman" w:hAnsi="Times New Roman" w:cs="Times New Roman"/>
                <w:b/>
                <w:color w:val="000000"/>
                <w:sz w:val="24"/>
                <w:szCs w:val="24"/>
                <w:lang w:eastAsia="uk-UA"/>
              </w:rPr>
              <w:t>XIV. Комерційне балансування</w:t>
            </w:r>
          </w:p>
          <w:p w:rsidR="00150AAF" w:rsidRPr="00C169D5" w:rsidRDefault="00150AAF" w:rsidP="00380C11">
            <w:pPr>
              <w:jc w:val="center"/>
              <w:rPr>
                <w:rFonts w:ascii="Times New Roman" w:hAnsi="Times New Roman" w:cs="Times New Roman"/>
                <w:b/>
                <w:i/>
                <w:sz w:val="24"/>
                <w:szCs w:val="24"/>
              </w:rPr>
            </w:pPr>
            <w:r w:rsidRPr="00C169D5">
              <w:rPr>
                <w:rFonts w:ascii="Times New Roman" w:hAnsi="Times New Roman" w:cs="Times New Roman"/>
                <w:b/>
                <w:color w:val="000000"/>
                <w:sz w:val="24"/>
                <w:szCs w:val="24"/>
                <w:lang w:eastAsia="uk-UA"/>
              </w:rPr>
              <w:t>1. Загальні умови</w:t>
            </w:r>
          </w:p>
        </w:tc>
      </w:tr>
      <w:tr w:rsidR="00150AAF" w:rsidTr="00E03B4F">
        <w:tc>
          <w:tcPr>
            <w:tcW w:w="7508" w:type="dxa"/>
          </w:tcPr>
          <w:p w:rsidR="00150AAF" w:rsidRDefault="00150AAF" w:rsidP="00380C11">
            <w:pPr>
              <w:shd w:val="clear" w:color="auto" w:fill="FFFFFF"/>
              <w:ind w:firstLine="450"/>
              <w:jc w:val="both"/>
              <w:rPr>
                <w:rFonts w:ascii="Times New Roman" w:hAnsi="Times New Roman" w:cs="Times New Roman"/>
                <w:color w:val="000000"/>
                <w:sz w:val="24"/>
                <w:szCs w:val="24"/>
                <w:shd w:val="clear" w:color="auto" w:fill="FFFFFF"/>
              </w:rPr>
            </w:pPr>
            <w:r w:rsidRPr="00C169D5">
              <w:rPr>
                <w:rFonts w:ascii="Times New Roman" w:hAnsi="Times New Roman" w:cs="Times New Roman"/>
                <w:color w:val="000000"/>
                <w:sz w:val="24"/>
                <w:szCs w:val="24"/>
                <w:shd w:val="clear" w:color="auto" w:fill="FFFFFF"/>
              </w:rPr>
              <w:t>2. При розрахунку небалансу замовників послуг транспортування оператор газотранспортної системи враховує всі обсяги природного газу у розрізі кожного замовника послуг транспортування, переданого до газотранспортної системи та відібраного з газотранспортної системи.</w:t>
            </w:r>
          </w:p>
          <w:p w:rsidR="00380C11" w:rsidRDefault="00380C11" w:rsidP="00380C11">
            <w:pPr>
              <w:shd w:val="clear" w:color="auto" w:fill="FFFFFF"/>
              <w:ind w:firstLine="450"/>
              <w:jc w:val="both"/>
              <w:rPr>
                <w:rFonts w:ascii="Times New Roman" w:hAnsi="Times New Roman" w:cs="Times New Roman"/>
                <w:b/>
                <w:color w:val="000000" w:themeColor="text1"/>
                <w:sz w:val="24"/>
                <w:shd w:val="clear" w:color="auto" w:fill="FFFFFF"/>
              </w:rPr>
            </w:pPr>
          </w:p>
          <w:p w:rsidR="00BA1FBA" w:rsidRPr="00380C11" w:rsidRDefault="00BA1FBA" w:rsidP="00380C11">
            <w:pPr>
              <w:shd w:val="clear" w:color="auto" w:fill="FFFFFF"/>
              <w:ind w:firstLine="450"/>
              <w:jc w:val="both"/>
              <w:rPr>
                <w:rFonts w:ascii="Times New Roman" w:hAnsi="Times New Roman" w:cs="Times New Roman"/>
                <w:b/>
                <w:color w:val="000000" w:themeColor="text1"/>
                <w:sz w:val="24"/>
                <w:shd w:val="clear" w:color="auto" w:fill="FFFFFF"/>
              </w:rPr>
            </w:pPr>
            <w:r w:rsidRPr="00380C11">
              <w:rPr>
                <w:rFonts w:ascii="Times New Roman" w:hAnsi="Times New Roman" w:cs="Times New Roman"/>
                <w:b/>
                <w:color w:val="000000" w:themeColor="text1"/>
                <w:sz w:val="24"/>
                <w:shd w:val="clear" w:color="auto" w:fill="FFFFFF"/>
              </w:rPr>
              <w:t>Норма відсутня</w:t>
            </w:r>
          </w:p>
          <w:p w:rsidR="00BA1FBA" w:rsidRDefault="00BA1FBA" w:rsidP="00380C11">
            <w:pPr>
              <w:shd w:val="clear" w:color="auto" w:fill="FFFFFF"/>
              <w:ind w:firstLine="450"/>
              <w:jc w:val="both"/>
              <w:rPr>
                <w:rFonts w:ascii="Times New Roman" w:hAnsi="Times New Roman" w:cs="Times New Roman"/>
                <w:color w:val="000000" w:themeColor="text1"/>
                <w:sz w:val="24"/>
                <w:shd w:val="clear" w:color="auto" w:fill="FFFFFF"/>
              </w:rPr>
            </w:pPr>
          </w:p>
          <w:p w:rsidR="00BA1FBA" w:rsidRDefault="00BA1FBA" w:rsidP="00380C11">
            <w:pPr>
              <w:shd w:val="clear" w:color="auto" w:fill="FFFFFF"/>
              <w:ind w:firstLine="450"/>
              <w:jc w:val="both"/>
              <w:rPr>
                <w:rFonts w:ascii="Times New Roman" w:hAnsi="Times New Roman" w:cs="Times New Roman"/>
                <w:color w:val="000000" w:themeColor="text1"/>
                <w:sz w:val="24"/>
                <w:shd w:val="clear" w:color="auto" w:fill="FFFFFF"/>
              </w:rPr>
            </w:pPr>
          </w:p>
          <w:p w:rsidR="00BA1FBA" w:rsidRDefault="00BA1FBA" w:rsidP="00380C11">
            <w:pPr>
              <w:shd w:val="clear" w:color="auto" w:fill="FFFFFF"/>
              <w:jc w:val="both"/>
              <w:rPr>
                <w:rFonts w:ascii="Times New Roman" w:hAnsi="Times New Roman" w:cs="Times New Roman"/>
                <w:color w:val="000000" w:themeColor="text1"/>
                <w:sz w:val="24"/>
                <w:shd w:val="clear" w:color="auto" w:fill="FFFFFF"/>
              </w:rPr>
            </w:pPr>
          </w:p>
          <w:p w:rsidR="00150AAF" w:rsidRPr="00BA020A" w:rsidRDefault="00150AAF" w:rsidP="00380C11">
            <w:pPr>
              <w:shd w:val="clear" w:color="auto" w:fill="FFFFFF"/>
              <w:ind w:firstLine="450"/>
              <w:jc w:val="both"/>
              <w:rPr>
                <w:rFonts w:ascii="Times New Roman" w:hAnsi="Times New Roman" w:cs="Times New Roman"/>
                <w:color w:val="000000" w:themeColor="text1"/>
                <w:sz w:val="28"/>
                <w:szCs w:val="24"/>
                <w:shd w:val="clear" w:color="auto" w:fill="FFFFFF"/>
              </w:rPr>
            </w:pPr>
            <w:r w:rsidRPr="00BA020A">
              <w:rPr>
                <w:rFonts w:ascii="Times New Roman" w:hAnsi="Times New Roman" w:cs="Times New Roman"/>
                <w:color w:val="000000" w:themeColor="text1"/>
                <w:sz w:val="24"/>
                <w:shd w:val="clear" w:color="auto" w:fill="FFFFFF"/>
              </w:rPr>
              <w:t>Подачі та відбори замовника послуг транспортування, на якого в установленому порядку рішенням Кабінету Міністрів України відповідно до </w:t>
            </w:r>
            <w:hyperlink r:id="rId9" w:anchor="n267" w:tgtFrame="_blank" w:history="1">
              <w:r w:rsidRPr="00BA020A">
                <w:rPr>
                  <w:rStyle w:val="a9"/>
                  <w:rFonts w:ascii="Times New Roman" w:hAnsi="Times New Roman" w:cs="Times New Roman"/>
                  <w:color w:val="000000" w:themeColor="text1"/>
                  <w:sz w:val="24"/>
                  <w:u w:val="none"/>
                  <w:shd w:val="clear" w:color="auto" w:fill="FFFFFF"/>
                </w:rPr>
                <w:t>статті 11</w:t>
              </w:r>
            </w:hyperlink>
            <w:r w:rsidRPr="00BA020A">
              <w:rPr>
                <w:rFonts w:ascii="Times New Roman" w:hAnsi="Times New Roman" w:cs="Times New Roman"/>
                <w:color w:val="000000" w:themeColor="text1"/>
                <w:sz w:val="24"/>
                <w:shd w:val="clear" w:color="auto" w:fill="FFFFFF"/>
              </w:rPr>
              <w:t> Закону України «Про ринок природного газу» покладено спеціальні обов’язки, в межах виконання ним таких спеціальних обов’язків обліковуються оператором газотранспортної системи в окремому портфоліо балансування.</w:t>
            </w:r>
          </w:p>
          <w:p w:rsidR="00150AAF" w:rsidRPr="00C169D5" w:rsidRDefault="00150AAF" w:rsidP="00380C11">
            <w:pPr>
              <w:tabs>
                <w:tab w:val="left" w:pos="2985"/>
              </w:tabs>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w:t>
            </w:r>
          </w:p>
        </w:tc>
        <w:tc>
          <w:tcPr>
            <w:tcW w:w="7518" w:type="dxa"/>
          </w:tcPr>
          <w:p w:rsidR="00150AAF" w:rsidRPr="00C169D5" w:rsidRDefault="00150AAF" w:rsidP="00380C11">
            <w:pPr>
              <w:shd w:val="clear" w:color="auto" w:fill="FFFFFF"/>
              <w:ind w:firstLine="450"/>
              <w:jc w:val="both"/>
              <w:rPr>
                <w:rFonts w:ascii="Times New Roman" w:hAnsi="Times New Roman" w:cs="Times New Roman"/>
                <w:color w:val="000000"/>
                <w:sz w:val="24"/>
                <w:szCs w:val="24"/>
                <w:shd w:val="clear" w:color="auto" w:fill="FFFFFF"/>
              </w:rPr>
            </w:pPr>
            <w:r w:rsidRPr="00C169D5">
              <w:rPr>
                <w:rFonts w:ascii="Times New Roman" w:hAnsi="Times New Roman" w:cs="Times New Roman"/>
                <w:color w:val="000000"/>
                <w:sz w:val="24"/>
                <w:szCs w:val="24"/>
                <w:shd w:val="clear" w:color="auto" w:fill="FFFFFF"/>
              </w:rPr>
              <w:lastRenderedPageBreak/>
              <w:t>2. При розрахунку небалансу замовників послуг транспортування оператор газотранспортної системи враховує всі обсяги природного газу у розрізі кожного замовника послуг транспортування, переданого до газотранспортної системи та відібраного з газотранспортної системи.</w:t>
            </w:r>
          </w:p>
          <w:p w:rsidR="00150AAF" w:rsidRDefault="00150AAF" w:rsidP="00380C11">
            <w:pPr>
              <w:ind w:firstLine="709"/>
              <w:jc w:val="both"/>
              <w:rPr>
                <w:rFonts w:ascii="Times New Roman" w:hAnsi="Times New Roman" w:cs="Times New Roman"/>
                <w:b/>
                <w:color w:val="000000"/>
                <w:sz w:val="24"/>
                <w:szCs w:val="24"/>
                <w:lang w:eastAsia="uk-UA"/>
              </w:rPr>
            </w:pPr>
            <w:r w:rsidRPr="00C169D5">
              <w:rPr>
                <w:rFonts w:ascii="Times New Roman" w:hAnsi="Times New Roman" w:cs="Times New Roman"/>
                <w:b/>
                <w:color w:val="000000"/>
                <w:sz w:val="24"/>
                <w:szCs w:val="24"/>
                <w:shd w:val="clear" w:color="auto" w:fill="FFFFFF"/>
              </w:rPr>
              <w:t xml:space="preserve">Оператор газотранспортної системи обліковує </w:t>
            </w:r>
            <w:r w:rsidRPr="00C169D5">
              <w:rPr>
                <w:rFonts w:ascii="Times New Roman" w:hAnsi="Times New Roman" w:cs="Times New Roman"/>
                <w:b/>
                <w:color w:val="000000"/>
                <w:sz w:val="24"/>
                <w:szCs w:val="24"/>
                <w:lang w:eastAsia="uk-UA"/>
              </w:rPr>
              <w:t xml:space="preserve">обсяги природного газу, придбані у газовій добі оператором газорозподільної системи у власника природного газу (в тому </w:t>
            </w:r>
            <w:r w:rsidRPr="00C169D5">
              <w:rPr>
                <w:rFonts w:ascii="Times New Roman" w:hAnsi="Times New Roman" w:cs="Times New Roman"/>
                <w:b/>
                <w:color w:val="000000"/>
                <w:sz w:val="24"/>
                <w:szCs w:val="24"/>
                <w:lang w:eastAsia="uk-UA"/>
              </w:rPr>
              <w:lastRenderedPageBreak/>
              <w:t>числі ГДП, ВБГ, оптового продавця) та подані до газорозподільної зони такого оператора газорозподільної системи, для зменшення алокації відборів діючого постачальника оператора газорозподільної системи на відповідний обсяг газу.</w:t>
            </w:r>
          </w:p>
          <w:p w:rsidR="00150AAF" w:rsidRPr="00BA020A" w:rsidRDefault="00150AAF" w:rsidP="00380C11">
            <w:pPr>
              <w:shd w:val="clear" w:color="auto" w:fill="FFFFFF"/>
              <w:ind w:firstLine="450"/>
              <w:jc w:val="both"/>
              <w:rPr>
                <w:rFonts w:ascii="Times New Roman" w:hAnsi="Times New Roman" w:cs="Times New Roman"/>
                <w:color w:val="000000" w:themeColor="text1"/>
                <w:sz w:val="28"/>
                <w:szCs w:val="24"/>
                <w:shd w:val="clear" w:color="auto" w:fill="FFFFFF"/>
              </w:rPr>
            </w:pPr>
            <w:r w:rsidRPr="00BA020A">
              <w:rPr>
                <w:rFonts w:ascii="Times New Roman" w:hAnsi="Times New Roman" w:cs="Times New Roman"/>
                <w:color w:val="000000" w:themeColor="text1"/>
                <w:sz w:val="24"/>
                <w:shd w:val="clear" w:color="auto" w:fill="FFFFFF"/>
              </w:rPr>
              <w:t>Подачі та відбори замовника послуг транспортування, на якого в установленому порядку рішенням Кабінету Міністрів України відповідно до </w:t>
            </w:r>
            <w:hyperlink r:id="rId10" w:anchor="n267" w:tgtFrame="_blank" w:history="1">
              <w:r w:rsidRPr="00BA020A">
                <w:rPr>
                  <w:rStyle w:val="a9"/>
                  <w:rFonts w:ascii="Times New Roman" w:hAnsi="Times New Roman" w:cs="Times New Roman"/>
                  <w:color w:val="000000" w:themeColor="text1"/>
                  <w:sz w:val="24"/>
                  <w:u w:val="none"/>
                  <w:shd w:val="clear" w:color="auto" w:fill="FFFFFF"/>
                </w:rPr>
                <w:t>статті 11</w:t>
              </w:r>
            </w:hyperlink>
            <w:r w:rsidRPr="00BA020A">
              <w:rPr>
                <w:rFonts w:ascii="Times New Roman" w:hAnsi="Times New Roman" w:cs="Times New Roman"/>
                <w:color w:val="000000" w:themeColor="text1"/>
                <w:sz w:val="24"/>
                <w:shd w:val="clear" w:color="auto" w:fill="FFFFFF"/>
              </w:rPr>
              <w:t> Закону України «Про ринок природного газу» покладено спеціальні обов’язки, в межах виконання ним таких спеціальних обов’язків обліковуються оператором газотранспортної системи в окремому портфоліо балансування.</w:t>
            </w:r>
          </w:p>
          <w:p w:rsidR="00150AAF" w:rsidRPr="00C90F06" w:rsidRDefault="00150AAF" w:rsidP="00C90F06">
            <w:pPr>
              <w:ind w:firstLine="709"/>
              <w:jc w:val="both"/>
              <w:rPr>
                <w:rFonts w:ascii="Times New Roman" w:hAnsi="Times New Roman" w:cs="Times New Roman"/>
                <w:b/>
                <w:color w:val="000000"/>
                <w:sz w:val="24"/>
                <w:szCs w:val="24"/>
                <w:lang w:eastAsia="uk-UA"/>
              </w:rPr>
            </w:pPr>
            <w:r>
              <w:rPr>
                <w:rFonts w:ascii="Times New Roman" w:hAnsi="Times New Roman" w:cs="Times New Roman"/>
                <w:b/>
                <w:color w:val="000000"/>
                <w:sz w:val="24"/>
                <w:szCs w:val="24"/>
                <w:lang w:eastAsia="uk-UA"/>
              </w:rPr>
              <w:t>…</w:t>
            </w:r>
          </w:p>
        </w:tc>
      </w:tr>
      <w:tr w:rsidR="00150AAF" w:rsidTr="00E03B4F">
        <w:tc>
          <w:tcPr>
            <w:tcW w:w="7508" w:type="dxa"/>
          </w:tcPr>
          <w:p w:rsidR="00380C11" w:rsidRDefault="00380C11" w:rsidP="00380C11">
            <w:pPr>
              <w:shd w:val="clear" w:color="auto" w:fill="FFFFFF"/>
              <w:ind w:firstLine="450"/>
              <w:jc w:val="center"/>
              <w:rPr>
                <w:rFonts w:ascii="Times New Roman" w:hAnsi="Times New Roman" w:cs="Times New Roman"/>
                <w:color w:val="000000"/>
                <w:sz w:val="24"/>
                <w:szCs w:val="24"/>
                <w:shd w:val="clear" w:color="auto" w:fill="FFFFFF"/>
              </w:rPr>
            </w:pPr>
          </w:p>
          <w:p w:rsidR="00380C11" w:rsidRDefault="00380C11" w:rsidP="00380C11">
            <w:pPr>
              <w:shd w:val="clear" w:color="auto" w:fill="FFFFFF"/>
              <w:ind w:firstLine="450"/>
              <w:jc w:val="center"/>
              <w:rPr>
                <w:rFonts w:ascii="Times New Roman" w:hAnsi="Times New Roman" w:cs="Times New Roman"/>
                <w:color w:val="000000"/>
                <w:sz w:val="24"/>
                <w:szCs w:val="24"/>
                <w:shd w:val="clear" w:color="auto" w:fill="FFFFFF"/>
              </w:rPr>
            </w:pPr>
          </w:p>
          <w:p w:rsidR="00380C11" w:rsidRDefault="00380C11" w:rsidP="00380C11">
            <w:pPr>
              <w:shd w:val="clear" w:color="auto" w:fill="FFFFFF"/>
              <w:ind w:firstLine="450"/>
              <w:jc w:val="center"/>
              <w:rPr>
                <w:rFonts w:ascii="Times New Roman" w:hAnsi="Times New Roman" w:cs="Times New Roman"/>
                <w:color w:val="000000"/>
                <w:sz w:val="24"/>
                <w:szCs w:val="24"/>
                <w:shd w:val="clear" w:color="auto" w:fill="FFFFFF"/>
              </w:rPr>
            </w:pPr>
          </w:p>
          <w:p w:rsidR="00380C11" w:rsidRDefault="00380C11" w:rsidP="00380C11">
            <w:pPr>
              <w:shd w:val="clear" w:color="auto" w:fill="FFFFFF"/>
              <w:ind w:firstLine="450"/>
              <w:jc w:val="center"/>
              <w:rPr>
                <w:rFonts w:ascii="Times New Roman" w:hAnsi="Times New Roman" w:cs="Times New Roman"/>
                <w:color w:val="000000"/>
                <w:sz w:val="24"/>
                <w:szCs w:val="24"/>
                <w:shd w:val="clear" w:color="auto" w:fill="FFFFFF"/>
              </w:rPr>
            </w:pPr>
          </w:p>
          <w:p w:rsidR="00380C11" w:rsidRDefault="00380C11" w:rsidP="00380C11">
            <w:pPr>
              <w:shd w:val="clear" w:color="auto" w:fill="FFFFFF"/>
              <w:jc w:val="center"/>
              <w:rPr>
                <w:rFonts w:ascii="Times New Roman" w:hAnsi="Times New Roman" w:cs="Times New Roman"/>
                <w:b/>
                <w:color w:val="000000"/>
                <w:sz w:val="24"/>
                <w:szCs w:val="24"/>
                <w:shd w:val="clear" w:color="auto" w:fill="FFFFFF"/>
              </w:rPr>
            </w:pPr>
          </w:p>
          <w:p w:rsidR="00380C11" w:rsidRDefault="00380C11" w:rsidP="00380C11">
            <w:pPr>
              <w:shd w:val="clear" w:color="auto" w:fill="FFFFFF"/>
              <w:jc w:val="center"/>
              <w:rPr>
                <w:rFonts w:ascii="Times New Roman" w:hAnsi="Times New Roman" w:cs="Times New Roman"/>
                <w:b/>
                <w:color w:val="000000"/>
                <w:sz w:val="24"/>
                <w:szCs w:val="24"/>
                <w:shd w:val="clear" w:color="auto" w:fill="FFFFFF"/>
              </w:rPr>
            </w:pPr>
          </w:p>
          <w:p w:rsidR="00380C11" w:rsidRDefault="00380C11" w:rsidP="00380C11">
            <w:pPr>
              <w:shd w:val="clear" w:color="auto" w:fill="FFFFFF"/>
              <w:jc w:val="center"/>
              <w:rPr>
                <w:rFonts w:ascii="Times New Roman" w:hAnsi="Times New Roman" w:cs="Times New Roman"/>
                <w:b/>
                <w:color w:val="000000"/>
                <w:sz w:val="24"/>
                <w:szCs w:val="24"/>
                <w:shd w:val="clear" w:color="auto" w:fill="FFFFFF"/>
              </w:rPr>
            </w:pPr>
          </w:p>
          <w:p w:rsidR="00380C11" w:rsidRDefault="00380C11" w:rsidP="00380C11">
            <w:pPr>
              <w:shd w:val="clear" w:color="auto" w:fill="FFFFFF"/>
              <w:jc w:val="center"/>
              <w:rPr>
                <w:rFonts w:ascii="Times New Roman" w:hAnsi="Times New Roman" w:cs="Times New Roman"/>
                <w:b/>
                <w:color w:val="000000"/>
                <w:sz w:val="24"/>
                <w:szCs w:val="24"/>
                <w:shd w:val="clear" w:color="auto" w:fill="FFFFFF"/>
              </w:rPr>
            </w:pPr>
          </w:p>
          <w:p w:rsidR="00380C11" w:rsidRDefault="00380C11" w:rsidP="00380C11">
            <w:pPr>
              <w:shd w:val="clear" w:color="auto" w:fill="FFFFFF"/>
              <w:jc w:val="center"/>
              <w:rPr>
                <w:rFonts w:ascii="Times New Roman" w:hAnsi="Times New Roman" w:cs="Times New Roman"/>
                <w:b/>
                <w:color w:val="000000"/>
                <w:sz w:val="24"/>
                <w:szCs w:val="24"/>
                <w:shd w:val="clear" w:color="auto" w:fill="FFFFFF"/>
              </w:rPr>
            </w:pPr>
          </w:p>
          <w:p w:rsidR="00380C11" w:rsidRDefault="00380C11" w:rsidP="00380C11">
            <w:pPr>
              <w:shd w:val="clear" w:color="auto" w:fill="FFFFFF"/>
              <w:jc w:val="center"/>
              <w:rPr>
                <w:rFonts w:ascii="Times New Roman" w:hAnsi="Times New Roman" w:cs="Times New Roman"/>
                <w:b/>
                <w:color w:val="000000"/>
                <w:sz w:val="24"/>
                <w:szCs w:val="24"/>
                <w:shd w:val="clear" w:color="auto" w:fill="FFFFFF"/>
              </w:rPr>
            </w:pPr>
          </w:p>
          <w:p w:rsidR="00380C11" w:rsidRDefault="00380C11" w:rsidP="00380C11">
            <w:pPr>
              <w:shd w:val="clear" w:color="auto" w:fill="FFFFFF"/>
              <w:jc w:val="center"/>
              <w:rPr>
                <w:rFonts w:ascii="Times New Roman" w:hAnsi="Times New Roman" w:cs="Times New Roman"/>
                <w:b/>
                <w:color w:val="000000"/>
                <w:sz w:val="24"/>
                <w:szCs w:val="24"/>
                <w:shd w:val="clear" w:color="auto" w:fill="FFFFFF"/>
              </w:rPr>
            </w:pPr>
          </w:p>
          <w:p w:rsidR="00150AAF" w:rsidRPr="00380C11" w:rsidRDefault="00150AAF" w:rsidP="00380C11">
            <w:pPr>
              <w:shd w:val="clear" w:color="auto" w:fill="FFFFFF"/>
              <w:jc w:val="center"/>
              <w:rPr>
                <w:rFonts w:ascii="Times New Roman" w:hAnsi="Times New Roman" w:cs="Times New Roman"/>
                <w:b/>
                <w:color w:val="000000"/>
                <w:sz w:val="24"/>
                <w:szCs w:val="24"/>
                <w:shd w:val="clear" w:color="auto" w:fill="FFFFFF"/>
              </w:rPr>
            </w:pPr>
            <w:r w:rsidRPr="00380C11">
              <w:rPr>
                <w:rFonts w:ascii="Times New Roman" w:hAnsi="Times New Roman" w:cs="Times New Roman"/>
                <w:b/>
                <w:color w:val="000000"/>
                <w:sz w:val="24"/>
                <w:szCs w:val="24"/>
                <w:shd w:val="clear" w:color="auto" w:fill="FFFFFF"/>
              </w:rPr>
              <w:t>Норм</w:t>
            </w:r>
            <w:r w:rsidR="00380C11" w:rsidRPr="00380C11">
              <w:rPr>
                <w:rFonts w:ascii="Times New Roman" w:hAnsi="Times New Roman" w:cs="Times New Roman"/>
                <w:b/>
                <w:color w:val="000000"/>
                <w:sz w:val="24"/>
                <w:szCs w:val="24"/>
                <w:shd w:val="clear" w:color="auto" w:fill="FFFFFF"/>
              </w:rPr>
              <w:t>и</w:t>
            </w:r>
            <w:r w:rsidRPr="00380C11">
              <w:rPr>
                <w:rFonts w:ascii="Times New Roman" w:hAnsi="Times New Roman" w:cs="Times New Roman"/>
                <w:b/>
                <w:color w:val="000000"/>
                <w:sz w:val="24"/>
                <w:szCs w:val="24"/>
                <w:shd w:val="clear" w:color="auto" w:fill="FFFFFF"/>
              </w:rPr>
              <w:t xml:space="preserve"> відсутн</w:t>
            </w:r>
            <w:r w:rsidR="00380C11" w:rsidRPr="00380C11">
              <w:rPr>
                <w:rFonts w:ascii="Times New Roman" w:hAnsi="Times New Roman" w:cs="Times New Roman"/>
                <w:b/>
                <w:color w:val="000000"/>
                <w:sz w:val="24"/>
                <w:szCs w:val="24"/>
                <w:shd w:val="clear" w:color="auto" w:fill="FFFFFF"/>
              </w:rPr>
              <w:t>і</w:t>
            </w:r>
          </w:p>
        </w:tc>
        <w:tc>
          <w:tcPr>
            <w:tcW w:w="7518" w:type="dxa"/>
          </w:tcPr>
          <w:p w:rsidR="00150AAF" w:rsidRDefault="00150AAF" w:rsidP="00380C11">
            <w:pPr>
              <w:shd w:val="clear" w:color="auto" w:fill="FFFFFF" w:themeFill="background1"/>
              <w:jc w:val="center"/>
              <w:textAlignment w:val="baseline"/>
              <w:rPr>
                <w:rFonts w:ascii="Times New Roman" w:hAnsi="Times New Roman" w:cs="Times New Roman"/>
                <w:b/>
                <w:color w:val="000000" w:themeColor="text1"/>
                <w:sz w:val="24"/>
                <w:szCs w:val="20"/>
              </w:rPr>
            </w:pPr>
            <w:r w:rsidRPr="00711681">
              <w:rPr>
                <w:rFonts w:ascii="Times New Roman" w:hAnsi="Times New Roman" w:cs="Times New Roman"/>
                <w:b/>
                <w:iCs/>
                <w:color w:val="000000" w:themeColor="text1"/>
                <w:sz w:val="24"/>
                <w:szCs w:val="20"/>
                <w:shd w:val="clear" w:color="auto" w:fill="FFFFFF"/>
              </w:rPr>
              <w:t xml:space="preserve">XXІ. </w:t>
            </w:r>
            <w:r w:rsidRPr="00711681">
              <w:rPr>
                <w:rFonts w:ascii="Times New Roman" w:hAnsi="Times New Roman" w:cs="Times New Roman"/>
                <w:b/>
                <w:color w:val="000000" w:themeColor="text1"/>
                <w:sz w:val="24"/>
                <w:szCs w:val="20"/>
              </w:rPr>
              <w:t>НЕСАНКЦІОНОВАНИЙ ВІДБІР ПРИРОДНОГО ГАЗУ</w:t>
            </w:r>
          </w:p>
          <w:p w:rsidR="00330D46" w:rsidRPr="00330D46" w:rsidRDefault="00FD6013" w:rsidP="00380C11">
            <w:pPr>
              <w:shd w:val="clear" w:color="auto" w:fill="FFFFFF" w:themeFill="background1"/>
              <w:jc w:val="center"/>
              <w:textAlignment w:val="baseline"/>
              <w:rPr>
                <w:rFonts w:ascii="Times New Roman" w:hAnsi="Times New Roman" w:cs="Times New Roman"/>
                <w:b/>
                <w:color w:val="000000" w:themeColor="text1"/>
                <w:sz w:val="24"/>
                <w:szCs w:val="24"/>
              </w:rPr>
            </w:pPr>
            <w:r w:rsidRPr="00330D46">
              <w:rPr>
                <w:rFonts w:ascii="Times New Roman" w:hAnsi="Times New Roman" w:cs="Times New Roman"/>
                <w:b/>
                <w:color w:val="000000" w:themeColor="text1"/>
                <w:sz w:val="24"/>
                <w:szCs w:val="24"/>
              </w:rPr>
              <w:t>1. Плата за несанкціонований відбір природного газу з газотранспортної системи</w:t>
            </w:r>
          </w:p>
          <w:p w:rsidR="00150AAF" w:rsidRPr="00C169D5" w:rsidRDefault="00150AAF" w:rsidP="00380C11">
            <w:pPr>
              <w:shd w:val="clear" w:color="auto" w:fill="FFFFFF" w:themeFill="background1"/>
              <w:ind w:firstLine="709"/>
              <w:jc w:val="both"/>
              <w:textAlignment w:val="baseline"/>
              <w:rPr>
                <w:rFonts w:ascii="Times New Roman" w:hAnsi="Times New Roman" w:cs="Times New Roman"/>
                <w:b/>
                <w:color w:val="000000" w:themeColor="text1"/>
                <w:sz w:val="24"/>
                <w:szCs w:val="24"/>
              </w:rPr>
            </w:pPr>
            <w:r w:rsidRPr="00C169D5">
              <w:rPr>
                <w:rFonts w:ascii="Times New Roman" w:hAnsi="Times New Roman" w:cs="Times New Roman"/>
                <w:b/>
                <w:color w:val="000000" w:themeColor="text1"/>
                <w:sz w:val="24"/>
                <w:szCs w:val="24"/>
              </w:rPr>
              <w:t>1. У випадку несанкціонованого відбору природного газу з газотранспортної системи оператор газотранспортної системи стягує плату за несанкціонований відбір, що включає у тому числі вартість потужності точки виходу до газорозподільної системи/прямого споживача.</w:t>
            </w:r>
          </w:p>
          <w:p w:rsidR="00150AAF" w:rsidRPr="00C169D5" w:rsidRDefault="00150AAF" w:rsidP="00380C11">
            <w:pPr>
              <w:shd w:val="clear" w:color="auto" w:fill="FFFFFF" w:themeFill="background1"/>
              <w:ind w:firstLine="709"/>
              <w:jc w:val="both"/>
              <w:textAlignment w:val="baseline"/>
              <w:rPr>
                <w:rFonts w:ascii="Times New Roman" w:hAnsi="Times New Roman" w:cs="Times New Roman"/>
                <w:b/>
                <w:color w:val="000000" w:themeColor="text1"/>
                <w:sz w:val="24"/>
                <w:szCs w:val="24"/>
              </w:rPr>
            </w:pPr>
            <w:r w:rsidRPr="00C169D5">
              <w:rPr>
                <w:rFonts w:ascii="Times New Roman" w:hAnsi="Times New Roman" w:cs="Times New Roman"/>
                <w:b/>
                <w:color w:val="000000" w:themeColor="text1"/>
                <w:sz w:val="24"/>
                <w:szCs w:val="24"/>
              </w:rPr>
              <w:t>2. Оператор газотранспортної системи складає та направляє відповідному оператору газорозподільної системи/прямому споживачу односторонній акт про несанкціонований відбір та рахунок на оплату у строк до  14 числа місяця наступного за місяцем здійснення несанкціонованого відбору.</w:t>
            </w:r>
          </w:p>
          <w:p w:rsidR="00150AAF" w:rsidRPr="00C169D5" w:rsidRDefault="00150AAF" w:rsidP="00380C11">
            <w:pPr>
              <w:shd w:val="clear" w:color="auto" w:fill="FFFFFF" w:themeFill="background1"/>
              <w:ind w:firstLine="709"/>
              <w:jc w:val="both"/>
              <w:textAlignment w:val="baseline"/>
              <w:rPr>
                <w:rFonts w:ascii="Times New Roman" w:hAnsi="Times New Roman" w:cs="Times New Roman"/>
                <w:b/>
                <w:color w:val="000000" w:themeColor="text1"/>
                <w:sz w:val="24"/>
                <w:szCs w:val="24"/>
              </w:rPr>
            </w:pPr>
            <w:r w:rsidRPr="00C169D5">
              <w:rPr>
                <w:rFonts w:ascii="Times New Roman" w:hAnsi="Times New Roman" w:cs="Times New Roman"/>
                <w:b/>
                <w:color w:val="000000" w:themeColor="text1"/>
                <w:sz w:val="24"/>
                <w:szCs w:val="24"/>
              </w:rPr>
              <w:t>Односторонній акт про несанкціонований відбір підписується оператором газотранспортної системи, в якому зазначається, зокрема:</w:t>
            </w:r>
          </w:p>
          <w:p w:rsidR="00150AAF" w:rsidRPr="00C169D5" w:rsidRDefault="00150AAF" w:rsidP="00380C11">
            <w:pPr>
              <w:shd w:val="clear" w:color="auto" w:fill="FFFFFF" w:themeFill="background1"/>
              <w:ind w:firstLine="709"/>
              <w:jc w:val="both"/>
              <w:textAlignment w:val="baseline"/>
              <w:rPr>
                <w:rFonts w:ascii="Times New Roman" w:hAnsi="Times New Roman" w:cs="Times New Roman"/>
                <w:b/>
                <w:color w:val="000000" w:themeColor="text1"/>
                <w:sz w:val="24"/>
                <w:szCs w:val="24"/>
              </w:rPr>
            </w:pPr>
            <w:r w:rsidRPr="00C169D5">
              <w:rPr>
                <w:rFonts w:ascii="Times New Roman" w:hAnsi="Times New Roman" w:cs="Times New Roman"/>
                <w:b/>
                <w:color w:val="000000" w:themeColor="text1"/>
                <w:sz w:val="24"/>
                <w:szCs w:val="24"/>
              </w:rPr>
              <w:t>1) EIC-код оператора газорозподільної системи/прямого споживача, через точку виходу до якого відбувся несанкціонований відбір газу;</w:t>
            </w:r>
          </w:p>
          <w:p w:rsidR="00150AAF" w:rsidRPr="00C169D5" w:rsidRDefault="00150AAF" w:rsidP="00380C11">
            <w:pPr>
              <w:shd w:val="clear" w:color="auto" w:fill="FFFFFF" w:themeFill="background1"/>
              <w:ind w:firstLine="709"/>
              <w:jc w:val="both"/>
              <w:textAlignment w:val="baseline"/>
              <w:rPr>
                <w:rFonts w:ascii="Times New Roman" w:hAnsi="Times New Roman" w:cs="Times New Roman"/>
                <w:b/>
                <w:color w:val="000000" w:themeColor="text1"/>
                <w:sz w:val="24"/>
                <w:szCs w:val="24"/>
              </w:rPr>
            </w:pPr>
            <w:r w:rsidRPr="00C169D5">
              <w:rPr>
                <w:rFonts w:ascii="Times New Roman" w:hAnsi="Times New Roman" w:cs="Times New Roman"/>
                <w:b/>
                <w:color w:val="000000" w:themeColor="text1"/>
                <w:sz w:val="24"/>
                <w:szCs w:val="24"/>
              </w:rPr>
              <w:t>2) обсяг несанкціонованого відбору природного газу;</w:t>
            </w:r>
          </w:p>
          <w:p w:rsidR="00150AAF" w:rsidRPr="00C169D5" w:rsidRDefault="00150AAF" w:rsidP="00380C11">
            <w:pPr>
              <w:shd w:val="clear" w:color="auto" w:fill="FFFFFF" w:themeFill="background1"/>
              <w:ind w:firstLine="709"/>
              <w:jc w:val="both"/>
              <w:textAlignment w:val="baseline"/>
              <w:rPr>
                <w:rFonts w:ascii="Times New Roman" w:hAnsi="Times New Roman" w:cs="Times New Roman"/>
                <w:b/>
                <w:color w:val="000000" w:themeColor="text1"/>
                <w:sz w:val="24"/>
                <w:szCs w:val="24"/>
              </w:rPr>
            </w:pPr>
            <w:r w:rsidRPr="00C169D5">
              <w:rPr>
                <w:rFonts w:ascii="Times New Roman" w:hAnsi="Times New Roman" w:cs="Times New Roman"/>
                <w:b/>
                <w:color w:val="000000" w:themeColor="text1"/>
                <w:sz w:val="24"/>
                <w:szCs w:val="24"/>
              </w:rPr>
              <w:t>3) розрахунок плати за несанкціонований відбір;</w:t>
            </w:r>
          </w:p>
          <w:p w:rsidR="00150AAF" w:rsidRPr="00C169D5" w:rsidRDefault="00150AAF" w:rsidP="00380C11">
            <w:pPr>
              <w:shd w:val="clear" w:color="auto" w:fill="FFFFFF" w:themeFill="background1"/>
              <w:ind w:firstLine="709"/>
              <w:jc w:val="both"/>
              <w:textAlignment w:val="baseline"/>
              <w:rPr>
                <w:rFonts w:ascii="Times New Roman" w:hAnsi="Times New Roman" w:cs="Times New Roman"/>
                <w:b/>
                <w:color w:val="000000" w:themeColor="text1"/>
                <w:sz w:val="24"/>
                <w:szCs w:val="24"/>
              </w:rPr>
            </w:pPr>
            <w:r w:rsidRPr="00C169D5">
              <w:rPr>
                <w:rFonts w:ascii="Times New Roman" w:hAnsi="Times New Roman" w:cs="Times New Roman"/>
                <w:b/>
                <w:color w:val="000000" w:themeColor="text1"/>
                <w:sz w:val="24"/>
                <w:szCs w:val="24"/>
              </w:rPr>
              <w:t>4) дата складання акту.</w:t>
            </w:r>
          </w:p>
          <w:p w:rsidR="00150AAF" w:rsidRPr="00C169D5" w:rsidRDefault="00150AAF" w:rsidP="00380C11">
            <w:pPr>
              <w:shd w:val="clear" w:color="auto" w:fill="FFFFFF" w:themeFill="background1"/>
              <w:ind w:firstLine="709"/>
              <w:jc w:val="both"/>
              <w:textAlignment w:val="baseline"/>
              <w:rPr>
                <w:rFonts w:ascii="Times New Roman" w:hAnsi="Times New Roman" w:cs="Times New Roman"/>
                <w:b/>
                <w:color w:val="000000" w:themeColor="text1"/>
                <w:sz w:val="24"/>
                <w:szCs w:val="24"/>
              </w:rPr>
            </w:pPr>
            <w:r w:rsidRPr="00C169D5">
              <w:rPr>
                <w:rFonts w:ascii="Times New Roman" w:hAnsi="Times New Roman" w:cs="Times New Roman"/>
                <w:b/>
                <w:color w:val="000000" w:themeColor="text1"/>
                <w:sz w:val="24"/>
                <w:szCs w:val="24"/>
              </w:rPr>
              <w:t xml:space="preserve">3. Оператор газорозподільної системи/прямий споживач зобов’язані сплатити оператору газотранспортної системи плату </w:t>
            </w:r>
            <w:r w:rsidRPr="00C169D5">
              <w:rPr>
                <w:rFonts w:ascii="Times New Roman" w:hAnsi="Times New Roman" w:cs="Times New Roman"/>
                <w:b/>
                <w:color w:val="000000" w:themeColor="text1"/>
                <w:sz w:val="24"/>
                <w:szCs w:val="24"/>
              </w:rPr>
              <w:lastRenderedPageBreak/>
              <w:t>за несанкціонований відбір у строк до 20 числа місяця, наступного за місяцем, у якому було здійснено несанкціонований відбір.</w:t>
            </w:r>
          </w:p>
          <w:p w:rsidR="00150AAF" w:rsidRPr="00C169D5" w:rsidRDefault="00150AAF" w:rsidP="00380C11">
            <w:pPr>
              <w:shd w:val="clear" w:color="auto" w:fill="FFFFFF" w:themeFill="background1"/>
              <w:tabs>
                <w:tab w:val="left" w:pos="9815"/>
              </w:tabs>
              <w:ind w:firstLine="709"/>
              <w:jc w:val="both"/>
              <w:textAlignment w:val="baseline"/>
              <w:rPr>
                <w:rFonts w:ascii="Times New Roman" w:hAnsi="Times New Roman" w:cs="Times New Roman"/>
                <w:b/>
                <w:color w:val="000000" w:themeColor="text1"/>
                <w:sz w:val="24"/>
                <w:szCs w:val="24"/>
              </w:rPr>
            </w:pPr>
            <w:r w:rsidRPr="00C169D5">
              <w:rPr>
                <w:rFonts w:ascii="Times New Roman" w:hAnsi="Times New Roman" w:cs="Times New Roman"/>
                <w:b/>
                <w:color w:val="000000" w:themeColor="text1"/>
                <w:sz w:val="24"/>
                <w:szCs w:val="24"/>
              </w:rPr>
              <w:t>4. Розмір плати за несанкціонований відбір розраховується за формулою:</w:t>
            </w:r>
          </w:p>
          <w:p w:rsidR="00150AAF" w:rsidRPr="00C169D5" w:rsidRDefault="00150AAF" w:rsidP="00380C11">
            <w:pPr>
              <w:shd w:val="clear" w:color="auto" w:fill="FFFFFF" w:themeFill="background1"/>
              <w:tabs>
                <w:tab w:val="left" w:pos="9815"/>
              </w:tabs>
              <w:jc w:val="center"/>
              <w:textAlignment w:val="baseline"/>
              <w:rPr>
                <w:rFonts w:ascii="Times New Roman" w:eastAsia="Calibri" w:hAnsi="Times New Roman" w:cs="Times New Roman"/>
                <w:b/>
                <w:bCs/>
                <w:color w:val="000000" w:themeColor="text1"/>
                <w:sz w:val="24"/>
                <w:szCs w:val="24"/>
                <w:lang w:eastAsia="uk-UA"/>
              </w:rPr>
            </w:pPr>
            <w:r w:rsidRPr="00C169D5">
              <w:rPr>
                <w:rFonts w:ascii="Times New Roman" w:hAnsi="Times New Roman" w:cs="Times New Roman"/>
                <w:b/>
                <w:color w:val="000000" w:themeColor="text1"/>
                <w:sz w:val="24"/>
                <w:szCs w:val="24"/>
              </w:rPr>
              <w:t>ПНВ = (</w:t>
            </w:r>
            <w:r w:rsidRPr="00C169D5">
              <w:rPr>
                <w:rFonts w:ascii="Times New Roman" w:eastAsia="Calibri" w:hAnsi="Times New Roman" w:cs="Times New Roman"/>
                <w:b/>
                <w:color w:val="000000" w:themeColor="text1"/>
                <w:position w:val="-28"/>
                <w:sz w:val="24"/>
                <w:szCs w:val="24"/>
                <w:lang w:eastAsia="uk-UA"/>
              </w:rPr>
              <w:object w:dxaOrig="4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34.5pt" o:ole="">
                  <v:imagedata r:id="rId11" o:title=""/>
                </v:shape>
                <o:OLEObject Type="Embed" ProgID="Equation.3" ShapeID="_x0000_i1025" DrawAspect="Content" ObjectID="_1731236962" r:id="rId12"/>
              </w:object>
            </w:r>
            <w:r w:rsidRPr="00C169D5">
              <w:rPr>
                <w:rFonts w:ascii="Times New Roman" w:hAnsi="Times New Roman" w:cs="Times New Roman"/>
                <w:b/>
                <w:color w:val="000000" w:themeColor="text1"/>
                <w:sz w:val="24"/>
                <w:szCs w:val="24"/>
              </w:rPr>
              <w:t>ОНВ * МЦ * 1,1) + (</w:t>
            </w:r>
            <w:r w:rsidRPr="00C169D5">
              <w:rPr>
                <w:rFonts w:ascii="Times New Roman" w:eastAsia="Calibri" w:hAnsi="Times New Roman" w:cs="Times New Roman"/>
                <w:b/>
                <w:color w:val="000000" w:themeColor="text1"/>
                <w:position w:val="-28"/>
                <w:sz w:val="24"/>
                <w:szCs w:val="24"/>
                <w:lang w:eastAsia="uk-UA"/>
              </w:rPr>
              <w:object w:dxaOrig="460" w:dyaOrig="680">
                <v:shape id="_x0000_i1026" type="#_x0000_t75" style="width:22.5pt;height:34.5pt" o:ole="">
                  <v:imagedata r:id="rId11" o:title=""/>
                </v:shape>
                <o:OLEObject Type="Embed" ProgID="Equation.3" ShapeID="_x0000_i1026" DrawAspect="Content" ObjectID="_1731236963" r:id="rId13"/>
              </w:object>
            </w:r>
            <w:proofErr w:type="spellStart"/>
            <w:r w:rsidRPr="00C169D5">
              <w:rPr>
                <w:rFonts w:ascii="Times New Roman" w:eastAsia="Calibri" w:hAnsi="Times New Roman" w:cs="Times New Roman"/>
                <w:b/>
                <w:color w:val="000000" w:themeColor="text1"/>
                <w:sz w:val="24"/>
                <w:szCs w:val="24"/>
                <w:lang w:eastAsia="uk-UA"/>
              </w:rPr>
              <w:t>С</w:t>
            </w:r>
            <w:r w:rsidRPr="00C169D5">
              <w:rPr>
                <w:rFonts w:ascii="Times New Roman" w:eastAsia="Calibri" w:hAnsi="Times New Roman" w:cs="Times New Roman"/>
                <w:b/>
                <w:bCs/>
                <w:color w:val="000000" w:themeColor="text1"/>
                <w:sz w:val="24"/>
                <w:szCs w:val="24"/>
                <w:vertAlign w:val="superscript"/>
                <w:lang w:eastAsia="uk-UA"/>
              </w:rPr>
              <w:t>і</w:t>
            </w:r>
            <w:r w:rsidRPr="00C169D5">
              <w:rPr>
                <w:rFonts w:ascii="Times New Roman" w:eastAsia="Calibri" w:hAnsi="Times New Roman" w:cs="Times New Roman"/>
                <w:b/>
                <w:bCs/>
                <w:color w:val="000000" w:themeColor="text1"/>
                <w:sz w:val="24"/>
                <w:szCs w:val="24"/>
                <w:vertAlign w:val="subscript"/>
                <w:lang w:eastAsia="uk-UA"/>
              </w:rPr>
              <w:t>вих</w:t>
            </w:r>
            <w:proofErr w:type="spellEnd"/>
            <w:r w:rsidRPr="00C169D5">
              <w:rPr>
                <w:rFonts w:ascii="Times New Roman" w:eastAsia="Calibri" w:hAnsi="Times New Roman" w:cs="Times New Roman"/>
                <w:b/>
                <w:bCs/>
                <w:color w:val="000000" w:themeColor="text1"/>
                <w:sz w:val="24"/>
                <w:szCs w:val="24"/>
                <w:vertAlign w:val="subscript"/>
                <w:lang w:eastAsia="uk-UA"/>
              </w:rPr>
              <w:t xml:space="preserve"> факт</w:t>
            </w:r>
            <w:r w:rsidRPr="00C169D5">
              <w:rPr>
                <w:rFonts w:ascii="Times New Roman" w:hAnsi="Times New Roman" w:cs="Times New Roman"/>
                <w:b/>
                <w:color w:val="000000" w:themeColor="text1"/>
                <w:sz w:val="24"/>
                <w:szCs w:val="24"/>
              </w:rPr>
              <w:t xml:space="preserve"> * </w:t>
            </w:r>
            <w:proofErr w:type="spellStart"/>
            <w:r w:rsidRPr="00C169D5">
              <w:rPr>
                <w:rFonts w:ascii="Times New Roman" w:eastAsia="Calibri" w:hAnsi="Times New Roman" w:cs="Times New Roman"/>
                <w:b/>
                <w:color w:val="000000" w:themeColor="text1"/>
                <w:sz w:val="24"/>
                <w:szCs w:val="24"/>
                <w:lang w:eastAsia="uk-UA"/>
              </w:rPr>
              <w:t>Т</w:t>
            </w:r>
            <w:r w:rsidRPr="00C169D5">
              <w:rPr>
                <w:rFonts w:ascii="Times New Roman" w:eastAsia="Calibri" w:hAnsi="Times New Roman" w:cs="Times New Roman"/>
                <w:b/>
                <w:bCs/>
                <w:color w:val="000000" w:themeColor="text1"/>
                <w:sz w:val="24"/>
                <w:szCs w:val="24"/>
                <w:vertAlign w:val="superscript"/>
                <w:lang w:eastAsia="uk-UA"/>
              </w:rPr>
              <w:t>і</w:t>
            </w:r>
            <w:r w:rsidRPr="00C169D5">
              <w:rPr>
                <w:rFonts w:ascii="Times New Roman" w:eastAsia="Calibri" w:hAnsi="Times New Roman" w:cs="Times New Roman"/>
                <w:b/>
                <w:bCs/>
                <w:color w:val="000000" w:themeColor="text1"/>
                <w:sz w:val="24"/>
                <w:szCs w:val="24"/>
                <w:vertAlign w:val="subscript"/>
                <w:lang w:eastAsia="uk-UA"/>
              </w:rPr>
              <w:t>вих</w:t>
            </w:r>
            <w:proofErr w:type="spellEnd"/>
            <w:r w:rsidRPr="00C169D5">
              <w:rPr>
                <w:rFonts w:ascii="Times New Roman" w:eastAsia="Calibri" w:hAnsi="Times New Roman" w:cs="Times New Roman"/>
                <w:b/>
                <w:bCs/>
                <w:color w:val="000000" w:themeColor="text1"/>
                <w:sz w:val="24"/>
                <w:szCs w:val="24"/>
                <w:vertAlign w:val="subscript"/>
                <w:lang w:eastAsia="uk-UA"/>
              </w:rPr>
              <w:t xml:space="preserve"> </w:t>
            </w:r>
            <w:r w:rsidRPr="00C169D5">
              <w:rPr>
                <w:rFonts w:ascii="Times New Roman" w:hAnsi="Times New Roman" w:cs="Times New Roman"/>
                <w:b/>
                <w:color w:val="000000" w:themeColor="text1"/>
                <w:sz w:val="24"/>
                <w:szCs w:val="24"/>
              </w:rPr>
              <w:t>* 1,1</w:t>
            </w:r>
            <w:r w:rsidRPr="00C169D5">
              <w:rPr>
                <w:rFonts w:ascii="Times New Roman" w:eastAsia="Calibri" w:hAnsi="Times New Roman" w:cs="Times New Roman"/>
                <w:b/>
                <w:bCs/>
                <w:color w:val="000000" w:themeColor="text1"/>
                <w:sz w:val="24"/>
                <w:szCs w:val="24"/>
                <w:lang w:eastAsia="uk-UA"/>
              </w:rPr>
              <w:t>)</w:t>
            </w:r>
          </w:p>
          <w:p w:rsidR="00150AAF" w:rsidRPr="00C169D5" w:rsidRDefault="00150AAF" w:rsidP="00380C11">
            <w:pPr>
              <w:shd w:val="clear" w:color="auto" w:fill="FFFFFF" w:themeFill="background1"/>
              <w:tabs>
                <w:tab w:val="left" w:pos="9815"/>
              </w:tabs>
              <w:jc w:val="both"/>
              <w:textAlignment w:val="baseline"/>
              <w:rPr>
                <w:rFonts w:ascii="Times New Roman" w:hAnsi="Times New Roman" w:cs="Times New Roman"/>
                <w:b/>
                <w:color w:val="000000" w:themeColor="text1"/>
                <w:sz w:val="24"/>
                <w:szCs w:val="24"/>
              </w:rPr>
            </w:pPr>
            <w:r w:rsidRPr="00C169D5">
              <w:rPr>
                <w:rFonts w:ascii="Times New Roman" w:hAnsi="Times New Roman" w:cs="Times New Roman"/>
                <w:b/>
                <w:color w:val="000000" w:themeColor="text1"/>
                <w:sz w:val="24"/>
                <w:szCs w:val="24"/>
              </w:rPr>
              <w:t>де:</w:t>
            </w:r>
          </w:p>
          <w:tbl>
            <w:tblPr>
              <w:tblStyle w:val="a3"/>
              <w:tblW w:w="52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9"/>
              <w:gridCol w:w="3935"/>
            </w:tblGrid>
            <w:tr w:rsidR="00150AAF" w:rsidRPr="00C169D5" w:rsidTr="00380C11">
              <w:tc>
                <w:tcPr>
                  <w:tcW w:w="1309" w:type="dxa"/>
                </w:tcPr>
                <w:p w:rsidR="00150AAF" w:rsidRPr="00C169D5" w:rsidRDefault="00150AAF" w:rsidP="00380C11">
                  <w:pPr>
                    <w:tabs>
                      <w:tab w:val="left" w:pos="9815"/>
                    </w:tabs>
                    <w:jc w:val="both"/>
                    <w:textAlignment w:val="baseline"/>
                    <w:rPr>
                      <w:rFonts w:ascii="Times New Roman" w:hAnsi="Times New Roman" w:cs="Times New Roman"/>
                      <w:b/>
                      <w:color w:val="000000" w:themeColor="text1"/>
                      <w:sz w:val="24"/>
                      <w:szCs w:val="24"/>
                    </w:rPr>
                  </w:pPr>
                  <w:r w:rsidRPr="00C169D5">
                    <w:rPr>
                      <w:rFonts w:ascii="Times New Roman" w:hAnsi="Times New Roman" w:cs="Times New Roman"/>
                      <w:b/>
                      <w:color w:val="000000" w:themeColor="text1"/>
                      <w:sz w:val="24"/>
                      <w:szCs w:val="24"/>
                    </w:rPr>
                    <w:t>ПНВ</w:t>
                  </w:r>
                </w:p>
              </w:tc>
              <w:tc>
                <w:tcPr>
                  <w:tcW w:w="3935" w:type="dxa"/>
                </w:tcPr>
                <w:p w:rsidR="00150AAF" w:rsidRPr="00C169D5" w:rsidRDefault="00150AAF" w:rsidP="00380C11">
                  <w:pPr>
                    <w:tabs>
                      <w:tab w:val="left" w:pos="9815"/>
                    </w:tabs>
                    <w:ind w:hanging="142"/>
                    <w:jc w:val="both"/>
                    <w:textAlignment w:val="baseline"/>
                    <w:rPr>
                      <w:rFonts w:ascii="Times New Roman" w:hAnsi="Times New Roman" w:cs="Times New Roman"/>
                      <w:b/>
                      <w:color w:val="000000" w:themeColor="text1"/>
                      <w:sz w:val="24"/>
                      <w:szCs w:val="24"/>
                    </w:rPr>
                  </w:pPr>
                  <w:r w:rsidRPr="00C169D5">
                    <w:rPr>
                      <w:rFonts w:ascii="Times New Roman" w:hAnsi="Times New Roman" w:cs="Times New Roman"/>
                      <w:b/>
                      <w:color w:val="000000" w:themeColor="text1"/>
                      <w:sz w:val="24"/>
                      <w:szCs w:val="24"/>
                    </w:rPr>
                    <w:t>- плата за несанкціонований відбір</w:t>
                  </w:r>
                  <w:r w:rsidR="00380C11">
                    <w:rPr>
                      <w:rFonts w:ascii="Times New Roman" w:hAnsi="Times New Roman" w:cs="Times New Roman"/>
                      <w:b/>
                      <w:color w:val="000000" w:themeColor="text1"/>
                      <w:sz w:val="24"/>
                      <w:szCs w:val="24"/>
                    </w:rPr>
                    <w:t>;</w:t>
                  </w:r>
                </w:p>
              </w:tc>
            </w:tr>
            <w:tr w:rsidR="00150AAF" w:rsidRPr="00C169D5" w:rsidTr="00380C11">
              <w:tc>
                <w:tcPr>
                  <w:tcW w:w="1309" w:type="dxa"/>
                </w:tcPr>
                <w:p w:rsidR="00150AAF" w:rsidRPr="00C169D5" w:rsidRDefault="00150AAF" w:rsidP="00380C11">
                  <w:pPr>
                    <w:tabs>
                      <w:tab w:val="left" w:pos="9815"/>
                    </w:tabs>
                    <w:jc w:val="both"/>
                    <w:textAlignment w:val="baseline"/>
                    <w:rPr>
                      <w:rFonts w:ascii="Times New Roman" w:hAnsi="Times New Roman" w:cs="Times New Roman"/>
                      <w:b/>
                      <w:color w:val="000000" w:themeColor="text1"/>
                      <w:sz w:val="24"/>
                      <w:szCs w:val="24"/>
                    </w:rPr>
                  </w:pPr>
                  <w:r w:rsidRPr="00C169D5">
                    <w:rPr>
                      <w:rFonts w:ascii="Times New Roman" w:hAnsi="Times New Roman" w:cs="Times New Roman"/>
                      <w:b/>
                      <w:color w:val="000000" w:themeColor="text1"/>
                      <w:sz w:val="24"/>
                      <w:szCs w:val="24"/>
                    </w:rPr>
                    <w:t>n</w:t>
                  </w:r>
                </w:p>
              </w:tc>
              <w:tc>
                <w:tcPr>
                  <w:tcW w:w="3935" w:type="dxa"/>
                </w:tcPr>
                <w:p w:rsidR="00150AAF" w:rsidRPr="00C169D5" w:rsidRDefault="00150AAF" w:rsidP="00380C11">
                  <w:pPr>
                    <w:tabs>
                      <w:tab w:val="left" w:pos="9815"/>
                    </w:tabs>
                    <w:ind w:hanging="142"/>
                    <w:jc w:val="both"/>
                    <w:textAlignment w:val="baseline"/>
                    <w:rPr>
                      <w:rFonts w:ascii="Times New Roman" w:hAnsi="Times New Roman" w:cs="Times New Roman"/>
                      <w:b/>
                      <w:color w:val="000000" w:themeColor="text1"/>
                      <w:sz w:val="24"/>
                      <w:szCs w:val="24"/>
                    </w:rPr>
                  </w:pPr>
                  <w:r w:rsidRPr="00C169D5">
                    <w:rPr>
                      <w:rFonts w:ascii="Times New Roman" w:hAnsi="Times New Roman" w:cs="Times New Roman"/>
                      <w:b/>
                      <w:color w:val="000000" w:themeColor="text1"/>
                      <w:sz w:val="24"/>
                      <w:szCs w:val="24"/>
                    </w:rPr>
                    <w:t>- кількість діб несанкціонованого відбору;</w:t>
                  </w:r>
                </w:p>
              </w:tc>
            </w:tr>
            <w:tr w:rsidR="00150AAF" w:rsidRPr="00C169D5" w:rsidTr="00380C11">
              <w:tc>
                <w:tcPr>
                  <w:tcW w:w="1309" w:type="dxa"/>
                </w:tcPr>
                <w:p w:rsidR="00150AAF" w:rsidRPr="00C169D5" w:rsidRDefault="00150AAF" w:rsidP="00380C11">
                  <w:pPr>
                    <w:tabs>
                      <w:tab w:val="left" w:pos="9815"/>
                    </w:tabs>
                    <w:jc w:val="both"/>
                    <w:textAlignment w:val="baseline"/>
                    <w:rPr>
                      <w:rFonts w:ascii="Times New Roman" w:hAnsi="Times New Roman" w:cs="Times New Roman"/>
                      <w:b/>
                      <w:color w:val="000000" w:themeColor="text1"/>
                      <w:sz w:val="24"/>
                      <w:szCs w:val="24"/>
                    </w:rPr>
                  </w:pPr>
                  <w:r w:rsidRPr="00C169D5">
                    <w:rPr>
                      <w:rFonts w:ascii="Times New Roman" w:hAnsi="Times New Roman" w:cs="Times New Roman"/>
                      <w:b/>
                      <w:color w:val="000000" w:themeColor="text1"/>
                      <w:sz w:val="24"/>
                      <w:szCs w:val="24"/>
                    </w:rPr>
                    <w:t>ОНВ</w:t>
                  </w:r>
                </w:p>
              </w:tc>
              <w:tc>
                <w:tcPr>
                  <w:tcW w:w="3935" w:type="dxa"/>
                </w:tcPr>
                <w:p w:rsidR="00150AAF" w:rsidRPr="00C169D5" w:rsidRDefault="00150AAF" w:rsidP="00380C11">
                  <w:pPr>
                    <w:tabs>
                      <w:tab w:val="left" w:pos="9815"/>
                    </w:tabs>
                    <w:ind w:hanging="142"/>
                    <w:jc w:val="both"/>
                    <w:textAlignment w:val="baseline"/>
                    <w:rPr>
                      <w:rFonts w:ascii="Times New Roman" w:hAnsi="Times New Roman" w:cs="Times New Roman"/>
                      <w:b/>
                      <w:color w:val="000000" w:themeColor="text1"/>
                      <w:sz w:val="24"/>
                      <w:szCs w:val="24"/>
                    </w:rPr>
                  </w:pPr>
                  <w:r w:rsidRPr="00C169D5">
                    <w:rPr>
                      <w:rFonts w:ascii="Times New Roman" w:hAnsi="Times New Roman" w:cs="Times New Roman"/>
                      <w:b/>
                      <w:color w:val="000000" w:themeColor="text1"/>
                      <w:sz w:val="24"/>
                      <w:szCs w:val="24"/>
                    </w:rPr>
                    <w:t>- добовий обсяг несанкціонованого відбору, тис. куб. м;</w:t>
                  </w:r>
                </w:p>
              </w:tc>
            </w:tr>
            <w:tr w:rsidR="00150AAF" w:rsidRPr="00C169D5" w:rsidTr="00380C11">
              <w:tc>
                <w:tcPr>
                  <w:tcW w:w="1309" w:type="dxa"/>
                </w:tcPr>
                <w:p w:rsidR="00150AAF" w:rsidRPr="00C169D5" w:rsidRDefault="00150AAF" w:rsidP="00380C11">
                  <w:pPr>
                    <w:tabs>
                      <w:tab w:val="left" w:pos="9815"/>
                    </w:tabs>
                    <w:jc w:val="both"/>
                    <w:textAlignment w:val="baseline"/>
                    <w:rPr>
                      <w:rFonts w:ascii="Times New Roman" w:hAnsi="Times New Roman" w:cs="Times New Roman"/>
                      <w:b/>
                      <w:color w:val="000000" w:themeColor="text1"/>
                      <w:sz w:val="24"/>
                      <w:szCs w:val="24"/>
                    </w:rPr>
                  </w:pPr>
                  <w:r w:rsidRPr="00C169D5">
                    <w:rPr>
                      <w:rFonts w:ascii="Times New Roman" w:hAnsi="Times New Roman" w:cs="Times New Roman"/>
                      <w:b/>
                      <w:color w:val="000000" w:themeColor="text1"/>
                      <w:sz w:val="24"/>
                      <w:szCs w:val="24"/>
                    </w:rPr>
                    <w:t>МЦ</w:t>
                  </w:r>
                </w:p>
              </w:tc>
              <w:tc>
                <w:tcPr>
                  <w:tcW w:w="3935" w:type="dxa"/>
                </w:tcPr>
                <w:p w:rsidR="00150AAF" w:rsidRPr="00C169D5" w:rsidRDefault="00150AAF" w:rsidP="00380C11">
                  <w:pPr>
                    <w:tabs>
                      <w:tab w:val="left" w:pos="9815"/>
                    </w:tabs>
                    <w:ind w:hanging="142"/>
                    <w:jc w:val="both"/>
                    <w:textAlignment w:val="baseline"/>
                    <w:rPr>
                      <w:rFonts w:ascii="Times New Roman" w:hAnsi="Times New Roman" w:cs="Times New Roman"/>
                      <w:b/>
                      <w:color w:val="000000" w:themeColor="text1"/>
                      <w:sz w:val="24"/>
                      <w:szCs w:val="24"/>
                    </w:rPr>
                  </w:pPr>
                  <w:r w:rsidRPr="00C169D5">
                    <w:rPr>
                      <w:rFonts w:ascii="Times New Roman" w:hAnsi="Times New Roman" w:cs="Times New Roman"/>
                      <w:b/>
                      <w:color w:val="000000" w:themeColor="text1"/>
                      <w:sz w:val="24"/>
                      <w:szCs w:val="24"/>
                    </w:rPr>
                    <w:t>- маржинальна ціна придбання природного газу для відповідної газової доби, грн. за 1000 куб.м.;</w:t>
                  </w:r>
                </w:p>
              </w:tc>
            </w:tr>
            <w:tr w:rsidR="00150AAF" w:rsidRPr="00C169D5" w:rsidTr="00380C11">
              <w:tc>
                <w:tcPr>
                  <w:tcW w:w="1309" w:type="dxa"/>
                </w:tcPr>
                <w:p w:rsidR="00150AAF" w:rsidRPr="00C169D5" w:rsidRDefault="00150AAF" w:rsidP="00380C11">
                  <w:pPr>
                    <w:tabs>
                      <w:tab w:val="left" w:pos="9815"/>
                    </w:tabs>
                    <w:jc w:val="both"/>
                    <w:textAlignment w:val="baseline"/>
                    <w:rPr>
                      <w:rFonts w:ascii="Times New Roman" w:hAnsi="Times New Roman" w:cs="Times New Roman"/>
                      <w:b/>
                      <w:color w:val="000000" w:themeColor="text1"/>
                      <w:sz w:val="24"/>
                      <w:szCs w:val="24"/>
                    </w:rPr>
                  </w:pPr>
                  <w:r w:rsidRPr="00C169D5">
                    <w:rPr>
                      <w:rFonts w:ascii="Times New Roman" w:eastAsia="Calibri" w:hAnsi="Times New Roman" w:cs="Times New Roman"/>
                      <w:b/>
                      <w:color w:val="000000" w:themeColor="text1"/>
                      <w:sz w:val="24"/>
                      <w:szCs w:val="24"/>
                      <w:lang w:eastAsia="uk-UA"/>
                    </w:rPr>
                    <w:t>С</w:t>
                  </w:r>
                  <w:r w:rsidRPr="00C169D5">
                    <w:rPr>
                      <w:rFonts w:ascii="Times New Roman" w:eastAsia="Calibri" w:hAnsi="Times New Roman" w:cs="Times New Roman"/>
                      <w:b/>
                      <w:bCs/>
                      <w:color w:val="000000" w:themeColor="text1"/>
                      <w:sz w:val="24"/>
                      <w:szCs w:val="24"/>
                      <w:vertAlign w:val="superscript"/>
                      <w:lang w:eastAsia="uk-UA"/>
                    </w:rPr>
                    <w:t>і</w:t>
                  </w:r>
                  <w:r w:rsidRPr="00C169D5">
                    <w:rPr>
                      <w:rFonts w:ascii="Times New Roman" w:eastAsia="Calibri" w:hAnsi="Times New Roman" w:cs="Times New Roman"/>
                      <w:b/>
                      <w:bCs/>
                      <w:color w:val="000000" w:themeColor="text1"/>
                      <w:sz w:val="24"/>
                      <w:szCs w:val="24"/>
                      <w:vertAlign w:val="subscript"/>
                      <w:lang w:eastAsia="uk-UA"/>
                    </w:rPr>
                    <w:t>вих факт</w:t>
                  </w:r>
                </w:p>
              </w:tc>
              <w:tc>
                <w:tcPr>
                  <w:tcW w:w="3935" w:type="dxa"/>
                </w:tcPr>
                <w:p w:rsidR="00150AAF" w:rsidRPr="00C169D5" w:rsidRDefault="00150AAF" w:rsidP="00380C11">
                  <w:pPr>
                    <w:tabs>
                      <w:tab w:val="left" w:pos="9815"/>
                    </w:tabs>
                    <w:ind w:hanging="142"/>
                    <w:jc w:val="both"/>
                    <w:textAlignment w:val="baseline"/>
                    <w:rPr>
                      <w:rFonts w:ascii="Times New Roman" w:hAnsi="Times New Roman" w:cs="Times New Roman"/>
                      <w:b/>
                      <w:color w:val="000000" w:themeColor="text1"/>
                      <w:sz w:val="24"/>
                      <w:szCs w:val="24"/>
                    </w:rPr>
                  </w:pPr>
                  <w:r w:rsidRPr="00C169D5">
                    <w:rPr>
                      <w:rFonts w:ascii="Times New Roman" w:hAnsi="Times New Roman" w:cs="Times New Roman"/>
                      <w:b/>
                      <w:color w:val="000000" w:themeColor="text1"/>
                      <w:sz w:val="24"/>
                      <w:szCs w:val="24"/>
                    </w:rPr>
                    <w:t>- фактично використана потужність для i-тої точки виходу, тис. куб. м/добу;</w:t>
                  </w:r>
                </w:p>
              </w:tc>
            </w:tr>
            <w:tr w:rsidR="00150AAF" w:rsidRPr="00C169D5" w:rsidTr="00380C11">
              <w:tc>
                <w:tcPr>
                  <w:tcW w:w="1309" w:type="dxa"/>
                </w:tcPr>
                <w:p w:rsidR="00150AAF" w:rsidRPr="00C169D5" w:rsidRDefault="00150AAF" w:rsidP="00380C11">
                  <w:pPr>
                    <w:tabs>
                      <w:tab w:val="left" w:pos="9815"/>
                    </w:tabs>
                    <w:jc w:val="both"/>
                    <w:textAlignment w:val="baseline"/>
                    <w:rPr>
                      <w:rFonts w:ascii="Times New Roman" w:hAnsi="Times New Roman" w:cs="Times New Roman"/>
                      <w:b/>
                      <w:color w:val="000000" w:themeColor="text1"/>
                      <w:sz w:val="24"/>
                      <w:szCs w:val="24"/>
                    </w:rPr>
                  </w:pPr>
                  <w:r w:rsidRPr="00C169D5">
                    <w:rPr>
                      <w:rFonts w:ascii="Times New Roman" w:eastAsia="Calibri" w:hAnsi="Times New Roman" w:cs="Times New Roman"/>
                      <w:b/>
                      <w:color w:val="000000" w:themeColor="text1"/>
                      <w:sz w:val="24"/>
                      <w:szCs w:val="24"/>
                      <w:lang w:eastAsia="uk-UA"/>
                    </w:rPr>
                    <w:t>Т</w:t>
                  </w:r>
                  <w:r w:rsidRPr="00C169D5">
                    <w:rPr>
                      <w:rFonts w:ascii="Times New Roman" w:eastAsia="Calibri" w:hAnsi="Times New Roman" w:cs="Times New Roman"/>
                      <w:b/>
                      <w:bCs/>
                      <w:color w:val="000000" w:themeColor="text1"/>
                      <w:sz w:val="24"/>
                      <w:szCs w:val="24"/>
                      <w:vertAlign w:val="superscript"/>
                      <w:lang w:eastAsia="uk-UA"/>
                    </w:rPr>
                    <w:t>і</w:t>
                  </w:r>
                  <w:r w:rsidRPr="00C169D5">
                    <w:rPr>
                      <w:rFonts w:ascii="Times New Roman" w:eastAsia="Calibri" w:hAnsi="Times New Roman" w:cs="Times New Roman"/>
                      <w:b/>
                      <w:bCs/>
                      <w:color w:val="000000" w:themeColor="text1"/>
                      <w:sz w:val="24"/>
                      <w:szCs w:val="24"/>
                      <w:vertAlign w:val="subscript"/>
                      <w:lang w:eastAsia="uk-UA"/>
                    </w:rPr>
                    <w:t>вих</w:t>
                  </w:r>
                </w:p>
              </w:tc>
              <w:tc>
                <w:tcPr>
                  <w:tcW w:w="3935" w:type="dxa"/>
                </w:tcPr>
                <w:p w:rsidR="00150AAF" w:rsidRPr="00C169D5" w:rsidRDefault="00150AAF" w:rsidP="00380C11">
                  <w:pPr>
                    <w:tabs>
                      <w:tab w:val="left" w:pos="9815"/>
                    </w:tabs>
                    <w:ind w:hanging="142"/>
                    <w:jc w:val="both"/>
                    <w:textAlignment w:val="baseline"/>
                    <w:rPr>
                      <w:rFonts w:ascii="Times New Roman" w:hAnsi="Times New Roman" w:cs="Times New Roman"/>
                      <w:b/>
                      <w:color w:val="000000" w:themeColor="text1"/>
                      <w:sz w:val="24"/>
                      <w:szCs w:val="24"/>
                    </w:rPr>
                  </w:pPr>
                  <w:r w:rsidRPr="00C169D5">
                    <w:rPr>
                      <w:rFonts w:ascii="Times New Roman" w:hAnsi="Times New Roman" w:cs="Times New Roman"/>
                      <w:b/>
                      <w:color w:val="000000" w:themeColor="text1"/>
                      <w:sz w:val="24"/>
                      <w:szCs w:val="24"/>
                    </w:rPr>
                    <w:t>- відповідний тариф, встановлений Регулятором у відповідній точці виходу, грн за 1000 куб. м на добу.</w:t>
                  </w:r>
                </w:p>
              </w:tc>
            </w:tr>
          </w:tbl>
          <w:p w:rsidR="00150AAF" w:rsidRPr="00C169D5" w:rsidRDefault="00150AAF" w:rsidP="00380C11">
            <w:pPr>
              <w:shd w:val="clear" w:color="auto" w:fill="FFFFFF" w:themeFill="background1"/>
              <w:jc w:val="both"/>
              <w:textAlignment w:val="baseline"/>
              <w:rPr>
                <w:rFonts w:ascii="Times New Roman" w:hAnsi="Times New Roman" w:cs="Times New Roman"/>
                <w:b/>
                <w:color w:val="000000" w:themeColor="text1"/>
                <w:sz w:val="24"/>
                <w:szCs w:val="24"/>
              </w:rPr>
            </w:pPr>
          </w:p>
        </w:tc>
      </w:tr>
      <w:tr w:rsidR="00150AAF" w:rsidTr="00E03B4F">
        <w:trPr>
          <w:trHeight w:val="320"/>
        </w:trPr>
        <w:tc>
          <w:tcPr>
            <w:tcW w:w="7508" w:type="dxa"/>
          </w:tcPr>
          <w:p w:rsidR="00150AAF" w:rsidRPr="001B282C" w:rsidRDefault="00150AAF" w:rsidP="00380C11">
            <w:pPr>
              <w:jc w:val="center"/>
              <w:rPr>
                <w:rFonts w:ascii="Times New Roman" w:hAnsi="Times New Roman" w:cs="Times New Roman"/>
                <w:sz w:val="24"/>
                <w:szCs w:val="24"/>
              </w:rPr>
            </w:pPr>
            <w:r w:rsidRPr="001B282C">
              <w:rPr>
                <w:rFonts w:ascii="Times New Roman" w:hAnsi="Times New Roman" w:cs="Times New Roman"/>
                <w:b/>
                <w:sz w:val="24"/>
                <w:szCs w:val="24"/>
              </w:rPr>
              <w:lastRenderedPageBreak/>
              <w:t>КОДЕКС ГАЗОРОЗПОДІЛЬНИХ МЕРЕЖ</w:t>
            </w:r>
          </w:p>
        </w:tc>
        <w:tc>
          <w:tcPr>
            <w:tcW w:w="7518" w:type="dxa"/>
          </w:tcPr>
          <w:p w:rsidR="00150AAF" w:rsidRPr="001B282C" w:rsidRDefault="00150AAF" w:rsidP="00380C11">
            <w:pPr>
              <w:jc w:val="center"/>
              <w:rPr>
                <w:rFonts w:ascii="Times New Roman" w:hAnsi="Times New Roman" w:cs="Times New Roman"/>
                <w:sz w:val="24"/>
                <w:szCs w:val="24"/>
              </w:rPr>
            </w:pPr>
            <w:r w:rsidRPr="001B282C">
              <w:rPr>
                <w:rFonts w:ascii="Times New Roman" w:eastAsia="Times New Roman" w:hAnsi="Times New Roman" w:cs="Times New Roman"/>
                <w:b/>
                <w:sz w:val="24"/>
                <w:szCs w:val="24"/>
                <w:lang w:eastAsia="uk-UA"/>
              </w:rPr>
              <w:t xml:space="preserve">ЗМІНИ ДО КОДЕКСУ </w:t>
            </w:r>
            <w:r w:rsidRPr="001B282C">
              <w:rPr>
                <w:rFonts w:ascii="Times New Roman" w:hAnsi="Times New Roman" w:cs="Times New Roman"/>
                <w:b/>
                <w:sz w:val="24"/>
                <w:szCs w:val="24"/>
              </w:rPr>
              <w:t>ГАЗОРОЗПОДІЛЬНИХ МЕРЕЖ</w:t>
            </w:r>
          </w:p>
        </w:tc>
      </w:tr>
      <w:tr w:rsidR="00150AAF" w:rsidTr="00E03B4F">
        <w:trPr>
          <w:trHeight w:val="508"/>
        </w:trPr>
        <w:tc>
          <w:tcPr>
            <w:tcW w:w="7508" w:type="dxa"/>
          </w:tcPr>
          <w:p w:rsidR="00150AAF" w:rsidRDefault="00150AAF" w:rsidP="00380C11">
            <w:pPr>
              <w:shd w:val="clear" w:color="auto" w:fill="FFFFFF"/>
              <w:tabs>
                <w:tab w:val="left" w:pos="646"/>
              </w:tabs>
              <w:jc w:val="center"/>
              <w:textAlignment w:val="baseline"/>
              <w:rPr>
                <w:rFonts w:ascii="Times New Roman" w:hAnsi="Times New Roman" w:cs="Times New Roman"/>
                <w:b/>
                <w:color w:val="000000"/>
                <w:sz w:val="24"/>
                <w:szCs w:val="24"/>
                <w:shd w:val="clear" w:color="auto" w:fill="FFFFFF"/>
              </w:rPr>
            </w:pPr>
            <w:r w:rsidRPr="00317D92">
              <w:rPr>
                <w:rFonts w:ascii="Times New Roman" w:hAnsi="Times New Roman" w:cs="Times New Roman"/>
                <w:b/>
                <w:color w:val="000000"/>
                <w:sz w:val="24"/>
                <w:szCs w:val="24"/>
                <w:shd w:val="clear" w:color="auto" w:fill="FFFFFF"/>
              </w:rPr>
              <w:t>III. Основні правила технічної експлуатації газорозподільної системи</w:t>
            </w:r>
          </w:p>
          <w:p w:rsidR="00150AAF" w:rsidRPr="00317D92" w:rsidRDefault="00150AAF" w:rsidP="00380C11">
            <w:pPr>
              <w:shd w:val="clear" w:color="auto" w:fill="FFFFFF"/>
              <w:tabs>
                <w:tab w:val="left" w:pos="646"/>
              </w:tabs>
              <w:jc w:val="center"/>
              <w:textAlignment w:val="baseline"/>
              <w:rPr>
                <w:rFonts w:ascii="Times New Roman" w:hAnsi="Times New Roman" w:cs="Times New Roman"/>
                <w:b/>
                <w:color w:val="000000"/>
                <w:sz w:val="24"/>
                <w:szCs w:val="24"/>
                <w:shd w:val="clear" w:color="auto" w:fill="FFFFFF"/>
              </w:rPr>
            </w:pPr>
            <w:r w:rsidRPr="00317D92">
              <w:rPr>
                <w:rFonts w:ascii="Times New Roman" w:hAnsi="Times New Roman" w:cs="Times New Roman"/>
                <w:b/>
                <w:color w:val="000000"/>
                <w:sz w:val="24"/>
                <w:szCs w:val="24"/>
                <w:shd w:val="clear" w:color="auto" w:fill="FFFFFF"/>
              </w:rPr>
              <w:t>6. Визначення втрат та виробничо-технологічних витрат природного газу в ГРМ</w:t>
            </w:r>
          </w:p>
        </w:tc>
        <w:tc>
          <w:tcPr>
            <w:tcW w:w="7518" w:type="dxa"/>
          </w:tcPr>
          <w:p w:rsidR="00150AAF" w:rsidRDefault="00150AAF" w:rsidP="00380C11">
            <w:pPr>
              <w:shd w:val="clear" w:color="auto" w:fill="FFFFFF"/>
              <w:tabs>
                <w:tab w:val="left" w:pos="646"/>
              </w:tabs>
              <w:jc w:val="center"/>
              <w:textAlignment w:val="baseline"/>
              <w:rPr>
                <w:rFonts w:ascii="Times New Roman" w:hAnsi="Times New Roman" w:cs="Times New Roman"/>
                <w:b/>
                <w:color w:val="000000"/>
                <w:sz w:val="24"/>
                <w:szCs w:val="24"/>
                <w:shd w:val="clear" w:color="auto" w:fill="FFFFFF"/>
              </w:rPr>
            </w:pPr>
            <w:r w:rsidRPr="00317D92">
              <w:rPr>
                <w:rFonts w:ascii="Times New Roman" w:hAnsi="Times New Roman" w:cs="Times New Roman"/>
                <w:b/>
                <w:color w:val="000000"/>
                <w:sz w:val="24"/>
                <w:szCs w:val="24"/>
                <w:shd w:val="clear" w:color="auto" w:fill="FFFFFF"/>
              </w:rPr>
              <w:t>III. Основні правила технічної експлуатації газорозподільної системи</w:t>
            </w:r>
          </w:p>
          <w:p w:rsidR="00150AAF" w:rsidRPr="00317D92" w:rsidRDefault="00150AAF" w:rsidP="00380C11">
            <w:pPr>
              <w:shd w:val="clear" w:color="auto" w:fill="FFFFFF"/>
              <w:tabs>
                <w:tab w:val="left" w:pos="646"/>
              </w:tabs>
              <w:jc w:val="center"/>
              <w:textAlignment w:val="baseline"/>
              <w:rPr>
                <w:rFonts w:ascii="Times New Roman" w:hAnsi="Times New Roman" w:cs="Times New Roman"/>
                <w:b/>
                <w:color w:val="000000"/>
                <w:sz w:val="24"/>
                <w:szCs w:val="24"/>
                <w:shd w:val="clear" w:color="auto" w:fill="FFFFFF"/>
              </w:rPr>
            </w:pPr>
            <w:r w:rsidRPr="00317D92">
              <w:rPr>
                <w:rFonts w:ascii="Times New Roman" w:hAnsi="Times New Roman" w:cs="Times New Roman"/>
                <w:b/>
                <w:color w:val="000000"/>
                <w:sz w:val="24"/>
                <w:szCs w:val="24"/>
                <w:shd w:val="clear" w:color="auto" w:fill="FFFFFF"/>
              </w:rPr>
              <w:t>6. Визначення втрат та виробничо-технологічних витрат природного газу в ГРМ</w:t>
            </w:r>
          </w:p>
        </w:tc>
      </w:tr>
      <w:tr w:rsidR="00150AAF" w:rsidTr="00E03B4F">
        <w:trPr>
          <w:trHeight w:val="508"/>
        </w:trPr>
        <w:tc>
          <w:tcPr>
            <w:tcW w:w="7508" w:type="dxa"/>
          </w:tcPr>
          <w:p w:rsidR="00150AAF" w:rsidRDefault="00150AAF" w:rsidP="00380C11">
            <w:pPr>
              <w:shd w:val="clear" w:color="auto" w:fill="FFFFFF"/>
              <w:ind w:firstLine="709"/>
              <w:jc w:val="both"/>
              <w:textAlignment w:val="baseline"/>
              <w:rPr>
                <w:rFonts w:ascii="Times New Roman" w:hAnsi="Times New Roman" w:cs="Times New Roman"/>
                <w:color w:val="000000" w:themeColor="text1"/>
                <w:sz w:val="24"/>
                <w:szCs w:val="24"/>
                <w:shd w:val="clear" w:color="auto" w:fill="FFFFFF"/>
              </w:rPr>
            </w:pPr>
            <w:r w:rsidRPr="00C169D5">
              <w:rPr>
                <w:rFonts w:ascii="Times New Roman" w:hAnsi="Times New Roman" w:cs="Times New Roman"/>
                <w:color w:val="000000" w:themeColor="text1"/>
                <w:sz w:val="24"/>
                <w:szCs w:val="24"/>
                <w:shd w:val="clear" w:color="auto" w:fill="FFFFFF"/>
              </w:rPr>
              <w:t xml:space="preserve">4. </w:t>
            </w:r>
            <w:r>
              <w:rPr>
                <w:rFonts w:ascii="Times New Roman" w:hAnsi="Times New Roman" w:cs="Times New Roman"/>
                <w:color w:val="000000" w:themeColor="text1"/>
                <w:sz w:val="24"/>
                <w:szCs w:val="24"/>
                <w:shd w:val="clear" w:color="auto" w:fill="FFFFFF"/>
              </w:rPr>
              <w:t>…</w:t>
            </w:r>
          </w:p>
          <w:p w:rsidR="00150AAF" w:rsidRDefault="00150AAF" w:rsidP="00380C11">
            <w:pPr>
              <w:shd w:val="clear" w:color="auto" w:fill="FFFFFF"/>
              <w:ind w:firstLine="709"/>
              <w:jc w:val="both"/>
              <w:textAlignment w:val="baseline"/>
              <w:rPr>
                <w:rFonts w:ascii="Times New Roman" w:hAnsi="Times New Roman" w:cs="Times New Roman"/>
                <w:color w:val="000000" w:themeColor="text1"/>
                <w:sz w:val="24"/>
                <w:szCs w:val="24"/>
                <w:shd w:val="clear" w:color="auto" w:fill="FFFFFF"/>
              </w:rPr>
            </w:pPr>
          </w:p>
          <w:p w:rsidR="00150AAF" w:rsidRPr="00C169D5" w:rsidRDefault="00150AAF" w:rsidP="00380C11">
            <w:pPr>
              <w:shd w:val="clear" w:color="auto" w:fill="FFFFFF"/>
              <w:ind w:firstLine="709"/>
              <w:jc w:val="both"/>
              <w:textAlignment w:val="baseline"/>
              <w:rPr>
                <w:rFonts w:ascii="Times New Roman" w:hAnsi="Times New Roman" w:cs="Times New Roman"/>
                <w:color w:val="000000" w:themeColor="text1"/>
                <w:sz w:val="24"/>
                <w:szCs w:val="24"/>
                <w:shd w:val="clear" w:color="auto" w:fill="FFFFFF"/>
              </w:rPr>
            </w:pPr>
            <w:r w:rsidRPr="00C169D5">
              <w:rPr>
                <w:rFonts w:ascii="Times New Roman" w:hAnsi="Times New Roman" w:cs="Times New Roman"/>
                <w:color w:val="000000" w:themeColor="text1"/>
                <w:sz w:val="24"/>
                <w:szCs w:val="24"/>
                <w:shd w:val="clear" w:color="auto" w:fill="FFFFFF"/>
              </w:rPr>
              <w:t xml:space="preserve">Об’єм (обсяг) фактичних втрат та виробничо-технологічних витрат природного газу за підсумками місяця та календарного року визначається Оператором ГРМ відповідно до глави 1 розділу XІI цього Кодексу та розраховується як різниця між об’ємом (обсягом) надходження природного газу, до ГРМ у відповідний період і об’ємом (обсягом) природного газу який розподілений між підключеними до/через ГРМ споживачами та переданий в суміжні ГРМ протягом </w:t>
            </w:r>
            <w:r w:rsidRPr="00C169D5">
              <w:rPr>
                <w:rFonts w:ascii="Times New Roman" w:hAnsi="Times New Roman" w:cs="Times New Roman"/>
                <w:color w:val="000000" w:themeColor="text1"/>
                <w:sz w:val="24"/>
                <w:szCs w:val="24"/>
                <w:shd w:val="clear" w:color="auto" w:fill="FFFFFF"/>
              </w:rPr>
              <w:lastRenderedPageBreak/>
              <w:t>зазначеного періоду.</w:t>
            </w:r>
          </w:p>
          <w:p w:rsidR="00150AAF" w:rsidRPr="00F51FBD" w:rsidRDefault="00150AAF" w:rsidP="00380C11">
            <w:pPr>
              <w:ind w:firstLine="709"/>
              <w:jc w:val="both"/>
              <w:rPr>
                <w:rFonts w:ascii="Times New Roman" w:hAnsi="Times New Roman" w:cs="Times New Roman"/>
                <w:i/>
                <w:color w:val="000000" w:themeColor="text1"/>
                <w:sz w:val="24"/>
                <w:szCs w:val="24"/>
              </w:rPr>
            </w:pPr>
            <w:r w:rsidRPr="00F51FBD">
              <w:rPr>
                <w:rFonts w:ascii="Times New Roman" w:hAnsi="Times New Roman" w:cs="Times New Roman"/>
                <w:i/>
                <w:color w:val="000000" w:themeColor="text1"/>
                <w:sz w:val="24"/>
                <w:szCs w:val="24"/>
                <w:shd w:val="clear" w:color="auto" w:fill="FFFFFF"/>
              </w:rPr>
              <w:t>Оператор ГРМ для забезпечення власної господарської діяльності (в тому числі для фізичного балансування ГРМ, власних виробничо-технічних потреб та для покриття фактичних втрат і виробничо-технологічних витрат природного газу в ГРМ) закуповує природний газ у власника природного газу (в тому числі ГДП, ВБГ, оптового продавця, постачальника) на загальних підставах та ринкових умовах.</w:t>
            </w:r>
          </w:p>
        </w:tc>
        <w:tc>
          <w:tcPr>
            <w:tcW w:w="7518" w:type="dxa"/>
          </w:tcPr>
          <w:p w:rsidR="00150AAF" w:rsidRDefault="00150AAF" w:rsidP="00380C11">
            <w:pPr>
              <w:shd w:val="clear" w:color="auto" w:fill="FFFFFF"/>
              <w:ind w:firstLine="709"/>
              <w:jc w:val="both"/>
              <w:textAlignment w:val="baseline"/>
              <w:rPr>
                <w:rFonts w:ascii="Times New Roman" w:hAnsi="Times New Roman" w:cs="Times New Roman"/>
                <w:color w:val="000000" w:themeColor="text1"/>
                <w:sz w:val="24"/>
                <w:szCs w:val="24"/>
                <w:shd w:val="clear" w:color="auto" w:fill="FFFFFF"/>
              </w:rPr>
            </w:pPr>
            <w:r w:rsidRPr="00C169D5">
              <w:rPr>
                <w:rFonts w:ascii="Times New Roman" w:hAnsi="Times New Roman" w:cs="Times New Roman"/>
                <w:color w:val="000000" w:themeColor="text1"/>
                <w:sz w:val="24"/>
                <w:szCs w:val="24"/>
                <w:shd w:val="clear" w:color="auto" w:fill="FFFFFF"/>
              </w:rPr>
              <w:lastRenderedPageBreak/>
              <w:t xml:space="preserve">4. </w:t>
            </w:r>
            <w:r>
              <w:rPr>
                <w:rFonts w:ascii="Times New Roman" w:hAnsi="Times New Roman" w:cs="Times New Roman"/>
                <w:color w:val="000000" w:themeColor="text1"/>
                <w:sz w:val="24"/>
                <w:szCs w:val="24"/>
                <w:shd w:val="clear" w:color="auto" w:fill="FFFFFF"/>
              </w:rPr>
              <w:t>…</w:t>
            </w:r>
          </w:p>
          <w:p w:rsidR="00150AAF" w:rsidRDefault="00150AAF" w:rsidP="00380C11">
            <w:pPr>
              <w:shd w:val="clear" w:color="auto" w:fill="FFFFFF"/>
              <w:ind w:firstLine="709"/>
              <w:jc w:val="both"/>
              <w:textAlignment w:val="baseline"/>
              <w:rPr>
                <w:rFonts w:ascii="Times New Roman" w:hAnsi="Times New Roman" w:cs="Times New Roman"/>
                <w:color w:val="000000" w:themeColor="text1"/>
                <w:sz w:val="24"/>
                <w:szCs w:val="24"/>
                <w:shd w:val="clear" w:color="auto" w:fill="FFFFFF"/>
              </w:rPr>
            </w:pPr>
          </w:p>
          <w:p w:rsidR="00694B43" w:rsidRDefault="00150AAF" w:rsidP="00380C11">
            <w:pPr>
              <w:ind w:firstLine="709"/>
              <w:jc w:val="both"/>
              <w:rPr>
                <w:rFonts w:ascii="Times New Roman" w:hAnsi="Times New Roman" w:cs="Times New Roman"/>
                <w:color w:val="000000"/>
                <w:sz w:val="24"/>
                <w:szCs w:val="24"/>
                <w:shd w:val="clear" w:color="auto" w:fill="FFFFFF"/>
              </w:rPr>
            </w:pPr>
            <w:r w:rsidRPr="00DB585C">
              <w:rPr>
                <w:rFonts w:ascii="Times New Roman" w:hAnsi="Times New Roman" w:cs="Times New Roman"/>
                <w:color w:val="000000"/>
                <w:sz w:val="24"/>
                <w:szCs w:val="24"/>
                <w:shd w:val="clear" w:color="auto" w:fill="FFFFFF"/>
              </w:rPr>
              <w:t>Об’єм (обсяг) фактичних втрат та виробничо-технологічних витрат природного газу за підсумками місяця та календарного року визначається Оператором ГРМ відповідно до глави 1 розділу XІI цього Кодексу та розраховується як різниця між об’ємом (обсягом) надходження природного газу, до ГРМ у відповідний період і об’ємом (обсягом) природного газу який розподілений між підключеними до/через ГРМ споживачами</w:t>
            </w:r>
            <w:r w:rsidRPr="00DB585C">
              <w:rPr>
                <w:rFonts w:ascii="Times New Roman" w:hAnsi="Times New Roman" w:cs="Times New Roman"/>
                <w:b/>
                <w:color w:val="000000"/>
                <w:sz w:val="24"/>
                <w:szCs w:val="24"/>
                <w:shd w:val="clear" w:color="auto" w:fill="FFFFFF"/>
              </w:rPr>
              <w:t xml:space="preserve">, </w:t>
            </w:r>
            <w:r w:rsidRPr="00DB585C">
              <w:rPr>
                <w:rFonts w:ascii="Times New Roman" w:hAnsi="Times New Roman" w:cs="Times New Roman"/>
                <w:color w:val="000000"/>
                <w:sz w:val="24"/>
                <w:szCs w:val="24"/>
                <w:shd w:val="clear" w:color="auto" w:fill="FFFFFF"/>
              </w:rPr>
              <w:t xml:space="preserve">та переданий в суміжні ГРМ протягом </w:t>
            </w:r>
            <w:r w:rsidRPr="00DB585C">
              <w:rPr>
                <w:rFonts w:ascii="Times New Roman" w:hAnsi="Times New Roman" w:cs="Times New Roman"/>
                <w:color w:val="000000"/>
                <w:sz w:val="24"/>
                <w:szCs w:val="24"/>
                <w:shd w:val="clear" w:color="auto" w:fill="FFFFFF"/>
              </w:rPr>
              <w:lastRenderedPageBreak/>
              <w:t xml:space="preserve">зазначеного періоду. </w:t>
            </w:r>
            <w:bookmarkStart w:id="7" w:name="_Hlk120119619"/>
          </w:p>
          <w:p w:rsidR="00150AAF" w:rsidRPr="00207046" w:rsidRDefault="00150AAF" w:rsidP="00380C11">
            <w:pPr>
              <w:ind w:firstLine="709"/>
              <w:jc w:val="both"/>
              <w:rPr>
                <w:rFonts w:ascii="Times New Roman" w:hAnsi="Times New Roman" w:cs="Times New Roman"/>
                <w:b/>
                <w:color w:val="000000"/>
                <w:sz w:val="24"/>
                <w:szCs w:val="24"/>
                <w:shd w:val="clear" w:color="auto" w:fill="FFFFFF"/>
              </w:rPr>
            </w:pPr>
            <w:r w:rsidRPr="00DB585C">
              <w:rPr>
                <w:rFonts w:ascii="Times New Roman" w:hAnsi="Times New Roman" w:cs="Times New Roman"/>
                <w:b/>
                <w:color w:val="000000"/>
                <w:sz w:val="24"/>
                <w:szCs w:val="24"/>
                <w:shd w:val="clear" w:color="auto" w:fill="FFFFFF"/>
              </w:rPr>
              <w:t xml:space="preserve">Оператор ГРМ для </w:t>
            </w:r>
            <w:r w:rsidR="00207046" w:rsidRPr="00207046">
              <w:rPr>
                <w:rFonts w:ascii="Times New Roman" w:hAnsi="Times New Roman" w:cs="Times New Roman"/>
                <w:b/>
                <w:color w:val="000000"/>
                <w:sz w:val="24"/>
                <w:szCs w:val="24"/>
                <w:shd w:val="clear" w:color="auto" w:fill="FFFFFF"/>
              </w:rPr>
              <w:t>покриття об’ємів (обсягів) втрат та виробничо-технологічних витрат природного газу</w:t>
            </w:r>
            <w:r w:rsidR="00207046">
              <w:rPr>
                <w:rFonts w:ascii="Times New Roman" w:hAnsi="Times New Roman" w:cs="Times New Roman"/>
                <w:b/>
                <w:color w:val="000000"/>
                <w:sz w:val="24"/>
                <w:szCs w:val="24"/>
                <w:shd w:val="clear" w:color="auto" w:fill="FFFFFF"/>
              </w:rPr>
              <w:t xml:space="preserve"> </w:t>
            </w:r>
            <w:bookmarkStart w:id="8" w:name="_Hlk120119633"/>
            <w:bookmarkEnd w:id="7"/>
            <w:r w:rsidRPr="00DB585C">
              <w:rPr>
                <w:rFonts w:ascii="Times New Roman" w:hAnsi="Times New Roman" w:cs="Times New Roman"/>
                <w:b/>
                <w:color w:val="000000"/>
                <w:sz w:val="24"/>
                <w:szCs w:val="24"/>
                <w:shd w:val="clear" w:color="auto" w:fill="FFFFFF"/>
              </w:rPr>
              <w:t>зобов’язаний мати укладений договір на постачання природного газу з постачальником, крім випадку закупівлі природного газу 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 При цьому, Оператор ГРМ не обмежений в праві здійснювати закупівлю природного газу у власника природного газу (в тому числі ГДП, ВБГ, оптового продавця) на загальних підставах та ринкових умовах.</w:t>
            </w:r>
            <w:r w:rsidRPr="00DB585C">
              <w:rPr>
                <w:b/>
                <w:color w:val="000000"/>
                <w:sz w:val="20"/>
                <w:szCs w:val="20"/>
                <w:shd w:val="clear" w:color="auto" w:fill="FFFFFF"/>
              </w:rPr>
              <w:t xml:space="preserve"> </w:t>
            </w:r>
            <w:bookmarkEnd w:id="8"/>
          </w:p>
        </w:tc>
      </w:tr>
      <w:tr w:rsidR="00150AAF" w:rsidTr="00E03B4F">
        <w:trPr>
          <w:trHeight w:val="508"/>
        </w:trPr>
        <w:tc>
          <w:tcPr>
            <w:tcW w:w="7508" w:type="dxa"/>
          </w:tcPr>
          <w:p w:rsidR="00150AAF" w:rsidRPr="00DB585C" w:rsidRDefault="00150AAF" w:rsidP="00380C11">
            <w:pPr>
              <w:shd w:val="clear" w:color="auto" w:fill="FFFFFF"/>
              <w:jc w:val="center"/>
              <w:textAlignment w:val="baseline"/>
              <w:rPr>
                <w:rFonts w:ascii="Times New Roman" w:hAnsi="Times New Roman" w:cs="Times New Roman"/>
                <w:b/>
                <w:color w:val="000000"/>
                <w:sz w:val="24"/>
                <w:szCs w:val="20"/>
                <w:shd w:val="clear" w:color="auto" w:fill="FFFFFF"/>
              </w:rPr>
            </w:pPr>
            <w:r w:rsidRPr="00DB585C">
              <w:rPr>
                <w:rFonts w:ascii="Times New Roman" w:hAnsi="Times New Roman" w:cs="Times New Roman"/>
                <w:b/>
                <w:color w:val="000000"/>
                <w:sz w:val="24"/>
                <w:szCs w:val="20"/>
                <w:shd w:val="clear" w:color="auto" w:fill="FFFFFF"/>
              </w:rPr>
              <w:lastRenderedPageBreak/>
              <w:t>VI. Комерційні умови доступу до газорозподільної системи для отримання/передачі природного газу</w:t>
            </w:r>
          </w:p>
          <w:p w:rsidR="00150AAF" w:rsidRPr="00C169D5" w:rsidRDefault="00150AAF" w:rsidP="00380C11">
            <w:pPr>
              <w:shd w:val="clear" w:color="auto" w:fill="FFFFFF"/>
              <w:jc w:val="center"/>
              <w:textAlignment w:val="baseline"/>
              <w:rPr>
                <w:rFonts w:ascii="Times New Roman" w:hAnsi="Times New Roman" w:cs="Times New Roman"/>
                <w:color w:val="000000" w:themeColor="text1"/>
                <w:sz w:val="24"/>
                <w:szCs w:val="24"/>
                <w:shd w:val="clear" w:color="auto" w:fill="FFFFFF"/>
              </w:rPr>
            </w:pPr>
            <w:r w:rsidRPr="00DB585C">
              <w:rPr>
                <w:rFonts w:ascii="Times New Roman" w:hAnsi="Times New Roman" w:cs="Times New Roman"/>
                <w:b/>
                <w:color w:val="000000"/>
                <w:sz w:val="24"/>
                <w:szCs w:val="20"/>
                <w:shd w:val="clear" w:color="auto" w:fill="FFFFFF"/>
              </w:rPr>
              <w:t>5. Порядок фактичного розподілу (споживання) природного газу</w:t>
            </w:r>
          </w:p>
        </w:tc>
        <w:tc>
          <w:tcPr>
            <w:tcW w:w="7518" w:type="dxa"/>
          </w:tcPr>
          <w:p w:rsidR="00150AAF" w:rsidRPr="00DB585C" w:rsidRDefault="00150AAF" w:rsidP="00380C11">
            <w:pPr>
              <w:shd w:val="clear" w:color="auto" w:fill="FFFFFF"/>
              <w:jc w:val="center"/>
              <w:textAlignment w:val="baseline"/>
              <w:rPr>
                <w:rFonts w:ascii="Times New Roman" w:hAnsi="Times New Roman" w:cs="Times New Roman"/>
                <w:b/>
                <w:color w:val="000000"/>
                <w:sz w:val="24"/>
                <w:szCs w:val="20"/>
                <w:shd w:val="clear" w:color="auto" w:fill="FFFFFF"/>
              </w:rPr>
            </w:pPr>
            <w:r w:rsidRPr="00DB585C">
              <w:rPr>
                <w:rFonts w:ascii="Times New Roman" w:hAnsi="Times New Roman" w:cs="Times New Roman"/>
                <w:b/>
                <w:color w:val="000000"/>
                <w:sz w:val="24"/>
                <w:szCs w:val="20"/>
                <w:shd w:val="clear" w:color="auto" w:fill="FFFFFF"/>
              </w:rPr>
              <w:t>VI. Комерційні умови доступу до газорозподільної системи для отримання/передачі природного газу</w:t>
            </w:r>
          </w:p>
          <w:p w:rsidR="00150AAF" w:rsidRPr="00C169D5" w:rsidRDefault="00150AAF" w:rsidP="00380C11">
            <w:pPr>
              <w:shd w:val="clear" w:color="auto" w:fill="FFFFFF"/>
              <w:jc w:val="both"/>
              <w:textAlignment w:val="baseline"/>
              <w:rPr>
                <w:rFonts w:ascii="Times New Roman" w:hAnsi="Times New Roman" w:cs="Times New Roman"/>
                <w:color w:val="000000" w:themeColor="text1"/>
                <w:sz w:val="24"/>
                <w:szCs w:val="24"/>
                <w:shd w:val="clear" w:color="auto" w:fill="FFFFFF"/>
              </w:rPr>
            </w:pPr>
            <w:r w:rsidRPr="00DB585C">
              <w:rPr>
                <w:rFonts w:ascii="Times New Roman" w:hAnsi="Times New Roman" w:cs="Times New Roman"/>
                <w:b/>
                <w:color w:val="000000"/>
                <w:sz w:val="24"/>
                <w:szCs w:val="20"/>
                <w:shd w:val="clear" w:color="auto" w:fill="FFFFFF"/>
              </w:rPr>
              <w:t>5. Порядок фактичного розподілу (споживання) природного газу</w:t>
            </w:r>
          </w:p>
        </w:tc>
      </w:tr>
      <w:tr w:rsidR="00150AAF" w:rsidTr="00E03B4F">
        <w:trPr>
          <w:trHeight w:val="508"/>
        </w:trPr>
        <w:tc>
          <w:tcPr>
            <w:tcW w:w="7508" w:type="dxa"/>
          </w:tcPr>
          <w:p w:rsidR="00150AAF" w:rsidRPr="00DB585C" w:rsidRDefault="00150AAF" w:rsidP="00380C11">
            <w:pPr>
              <w:shd w:val="clear" w:color="auto" w:fill="FFFFFF"/>
              <w:ind w:firstLine="709"/>
              <w:jc w:val="both"/>
              <w:textAlignment w:val="baseline"/>
              <w:rPr>
                <w:rFonts w:ascii="Times New Roman" w:hAnsi="Times New Roman" w:cs="Times New Roman"/>
                <w:color w:val="000000" w:themeColor="text1"/>
                <w:sz w:val="24"/>
                <w:szCs w:val="24"/>
                <w:shd w:val="clear" w:color="auto" w:fill="FFFFFF"/>
              </w:rPr>
            </w:pPr>
            <w:r w:rsidRPr="00DB585C">
              <w:rPr>
                <w:rFonts w:ascii="Times New Roman" w:hAnsi="Times New Roman" w:cs="Times New Roman"/>
                <w:color w:val="000000"/>
                <w:sz w:val="24"/>
                <w:szCs w:val="20"/>
                <w:shd w:val="clear" w:color="auto" w:fill="FFFFFF"/>
              </w:rPr>
              <w:t>3. За відсутності у споживача діючого постачальника (якщо споживач не включений до Реєстру споживачів будь-якого постачальника) у відповідному розрахунковому періоді споживач не має права здійснювати відбір/споживання природного газу з газорозподільної системи та має подати до Оператора ГРМ письмову заяву про припинення розподілу природного газу на його об’єкт.</w:t>
            </w:r>
          </w:p>
        </w:tc>
        <w:tc>
          <w:tcPr>
            <w:tcW w:w="7518" w:type="dxa"/>
          </w:tcPr>
          <w:p w:rsidR="00150AAF" w:rsidRDefault="00150AAF" w:rsidP="00380C11">
            <w:pPr>
              <w:shd w:val="clear" w:color="auto" w:fill="FFFFFF"/>
              <w:ind w:firstLine="709"/>
              <w:jc w:val="both"/>
              <w:textAlignment w:val="baseline"/>
              <w:rPr>
                <w:rFonts w:ascii="Times New Roman" w:hAnsi="Times New Roman" w:cs="Times New Roman"/>
                <w:color w:val="000000"/>
                <w:sz w:val="24"/>
                <w:szCs w:val="20"/>
                <w:shd w:val="clear" w:color="auto" w:fill="FFFFFF"/>
              </w:rPr>
            </w:pPr>
            <w:r w:rsidRPr="00DB585C">
              <w:rPr>
                <w:rFonts w:ascii="Times New Roman" w:hAnsi="Times New Roman" w:cs="Times New Roman"/>
                <w:color w:val="000000"/>
                <w:sz w:val="24"/>
                <w:szCs w:val="20"/>
                <w:shd w:val="clear" w:color="auto" w:fill="FFFFFF"/>
              </w:rPr>
              <w:t xml:space="preserve">3. </w:t>
            </w:r>
            <w:bookmarkStart w:id="9" w:name="_Hlk120119898"/>
            <w:r w:rsidRPr="00DB585C">
              <w:rPr>
                <w:rFonts w:ascii="Times New Roman" w:hAnsi="Times New Roman" w:cs="Times New Roman"/>
                <w:color w:val="000000"/>
                <w:sz w:val="24"/>
                <w:szCs w:val="20"/>
                <w:shd w:val="clear" w:color="auto" w:fill="FFFFFF"/>
              </w:rPr>
              <w:t xml:space="preserve">За відсутності у споживача діючого постачальника (якщо споживач не включений до Реєстру споживачів будь-якого постачальника) у відповідному розрахунковому періоді </w:t>
            </w:r>
            <w:r w:rsidRPr="00DB585C">
              <w:rPr>
                <w:rFonts w:ascii="Times New Roman" w:hAnsi="Times New Roman" w:cs="Times New Roman"/>
                <w:b/>
                <w:color w:val="000000"/>
                <w:sz w:val="24"/>
                <w:szCs w:val="20"/>
                <w:shd w:val="clear" w:color="auto" w:fill="FFFFFF"/>
              </w:rPr>
              <w:t>та після закінчення строку, встановленого законодавством для припинення (обмеження) розподілу (транспортування) природного газу споживачам,</w:t>
            </w:r>
            <w:r w:rsidRPr="00DB585C">
              <w:rPr>
                <w:rFonts w:ascii="Times New Roman" w:hAnsi="Times New Roman" w:cs="Times New Roman"/>
                <w:color w:val="000000"/>
                <w:sz w:val="24"/>
                <w:szCs w:val="20"/>
                <w:shd w:val="clear" w:color="auto" w:fill="FFFFFF"/>
              </w:rPr>
              <w:t xml:space="preserve"> споживач не має права здійснювати відбір/споживання природного газу з газорозподільної системи</w:t>
            </w:r>
            <w:bookmarkEnd w:id="9"/>
            <w:r w:rsidRPr="00DB585C">
              <w:rPr>
                <w:rFonts w:ascii="Times New Roman" w:hAnsi="Times New Roman" w:cs="Times New Roman"/>
                <w:color w:val="000000"/>
                <w:sz w:val="24"/>
                <w:szCs w:val="20"/>
                <w:shd w:val="clear" w:color="auto" w:fill="FFFFFF"/>
              </w:rPr>
              <w:t>.</w:t>
            </w:r>
          </w:p>
          <w:p w:rsidR="00150AAF" w:rsidRPr="00DB585C" w:rsidRDefault="00150AAF" w:rsidP="00380C11">
            <w:pPr>
              <w:shd w:val="clear" w:color="auto" w:fill="FFFFFF"/>
              <w:jc w:val="both"/>
              <w:textAlignment w:val="baseline"/>
              <w:rPr>
                <w:rFonts w:ascii="Times New Roman" w:hAnsi="Times New Roman" w:cs="Times New Roman"/>
                <w:b/>
                <w:color w:val="000000"/>
                <w:sz w:val="24"/>
                <w:szCs w:val="24"/>
                <w:shd w:val="clear" w:color="auto" w:fill="FFFFFF"/>
              </w:rPr>
            </w:pPr>
            <w:bookmarkStart w:id="10" w:name="_Hlk120119928"/>
            <w:r w:rsidRPr="00B91338">
              <w:rPr>
                <w:rFonts w:ascii="Times New Roman" w:hAnsi="Times New Roman" w:cs="Times New Roman"/>
                <w:b/>
                <w:color w:val="000000"/>
                <w:sz w:val="24"/>
                <w:szCs w:val="24"/>
                <w:shd w:val="clear" w:color="auto" w:fill="FFFFFF"/>
              </w:rPr>
              <w:t>Якщо споживач здійснює відбір/споживання природного газу у випадках визначених абзацом першим цього пункту, такий</w:t>
            </w:r>
            <w:r w:rsidRPr="00DB585C">
              <w:rPr>
                <w:rFonts w:ascii="Times New Roman" w:hAnsi="Times New Roman" w:cs="Times New Roman"/>
                <w:b/>
                <w:color w:val="000000"/>
                <w:sz w:val="24"/>
                <w:szCs w:val="24"/>
                <w:shd w:val="clear" w:color="auto" w:fill="FFFFFF"/>
              </w:rPr>
              <w:t xml:space="preserve"> споживач зобов’язаний оплатити вартість відбору</w:t>
            </w:r>
            <w:r>
              <w:rPr>
                <w:rFonts w:ascii="Times New Roman" w:hAnsi="Times New Roman" w:cs="Times New Roman"/>
                <w:b/>
                <w:color w:val="000000"/>
                <w:sz w:val="24"/>
                <w:szCs w:val="24"/>
                <w:shd w:val="clear" w:color="auto" w:fill="FFFFFF"/>
              </w:rPr>
              <w:t xml:space="preserve"> природного газу</w:t>
            </w:r>
            <w:r w:rsidRPr="00DB585C">
              <w:rPr>
                <w:rFonts w:ascii="Times New Roman" w:hAnsi="Times New Roman" w:cs="Times New Roman"/>
                <w:b/>
                <w:color w:val="000000"/>
                <w:sz w:val="24"/>
                <w:szCs w:val="24"/>
                <w:shd w:val="clear" w:color="auto" w:fill="FFFFFF"/>
              </w:rPr>
              <w:t>, що розраховується за формулою</w:t>
            </w:r>
          </w:p>
          <w:p w:rsidR="00150AAF" w:rsidRPr="00DB585C" w:rsidRDefault="00150AAF" w:rsidP="00380C11">
            <w:pPr>
              <w:shd w:val="clear" w:color="auto" w:fill="FFFFFF" w:themeFill="background1"/>
              <w:tabs>
                <w:tab w:val="left" w:pos="9815"/>
              </w:tabs>
              <w:jc w:val="center"/>
              <w:textAlignment w:val="baseline"/>
              <w:rPr>
                <w:rFonts w:ascii="Times New Roman" w:eastAsia="Calibri" w:hAnsi="Times New Roman" w:cs="Times New Roman"/>
                <w:b/>
                <w:bCs/>
                <w:color w:val="000000" w:themeColor="text1"/>
                <w:sz w:val="24"/>
                <w:szCs w:val="24"/>
                <w:lang w:eastAsia="uk-UA"/>
              </w:rPr>
            </w:pPr>
            <w:r w:rsidRPr="00DB585C">
              <w:rPr>
                <w:rFonts w:ascii="Times New Roman" w:hAnsi="Times New Roman" w:cs="Times New Roman"/>
                <w:b/>
                <w:color w:val="000000" w:themeColor="text1"/>
                <w:sz w:val="24"/>
                <w:szCs w:val="24"/>
              </w:rPr>
              <w:t>ПНВ = (</w:t>
            </w:r>
            <w:r w:rsidRPr="00DB585C">
              <w:rPr>
                <w:rFonts w:ascii="Times New Roman" w:eastAsia="Calibri" w:hAnsi="Times New Roman" w:cs="Times New Roman"/>
                <w:b/>
                <w:color w:val="000000" w:themeColor="text1"/>
                <w:position w:val="-28"/>
                <w:sz w:val="24"/>
                <w:szCs w:val="24"/>
                <w:lang w:eastAsia="uk-UA"/>
              </w:rPr>
              <w:object w:dxaOrig="460" w:dyaOrig="680">
                <v:shape id="_x0000_i1027" type="#_x0000_t75" style="width:22.5pt;height:34.5pt" o:ole="">
                  <v:imagedata r:id="rId11" o:title=""/>
                </v:shape>
                <o:OLEObject Type="Embed" ProgID="Equation.3" ShapeID="_x0000_i1027" DrawAspect="Content" ObjectID="_1731236964" r:id="rId14"/>
              </w:object>
            </w:r>
            <w:r w:rsidRPr="00DB585C">
              <w:rPr>
                <w:rFonts w:ascii="Times New Roman" w:hAnsi="Times New Roman" w:cs="Times New Roman"/>
                <w:b/>
                <w:color w:val="000000" w:themeColor="text1"/>
                <w:sz w:val="24"/>
                <w:szCs w:val="24"/>
              </w:rPr>
              <w:t>ОНВ * МЦ * 1,1) + (</w:t>
            </w:r>
            <w:r w:rsidRPr="00DB585C">
              <w:rPr>
                <w:rFonts w:ascii="Times New Roman" w:eastAsia="Calibri" w:hAnsi="Times New Roman" w:cs="Times New Roman"/>
                <w:b/>
                <w:color w:val="000000" w:themeColor="text1"/>
                <w:position w:val="-28"/>
                <w:sz w:val="24"/>
                <w:szCs w:val="24"/>
                <w:lang w:eastAsia="uk-UA"/>
              </w:rPr>
              <w:object w:dxaOrig="460" w:dyaOrig="680">
                <v:shape id="_x0000_i1028" type="#_x0000_t75" style="width:22.5pt;height:34.5pt" o:ole="">
                  <v:imagedata r:id="rId11" o:title=""/>
                </v:shape>
                <o:OLEObject Type="Embed" ProgID="Equation.3" ShapeID="_x0000_i1028" DrawAspect="Content" ObjectID="_1731236965" r:id="rId15"/>
              </w:object>
            </w:r>
            <w:proofErr w:type="spellStart"/>
            <w:r w:rsidRPr="00DB585C">
              <w:rPr>
                <w:rFonts w:ascii="Times New Roman" w:eastAsia="Calibri" w:hAnsi="Times New Roman" w:cs="Times New Roman"/>
                <w:b/>
                <w:color w:val="000000" w:themeColor="text1"/>
                <w:sz w:val="24"/>
                <w:szCs w:val="24"/>
                <w:lang w:eastAsia="uk-UA"/>
              </w:rPr>
              <w:t>С</w:t>
            </w:r>
            <w:r w:rsidRPr="00DB585C">
              <w:rPr>
                <w:rFonts w:ascii="Times New Roman" w:eastAsia="Calibri" w:hAnsi="Times New Roman" w:cs="Times New Roman"/>
                <w:b/>
                <w:bCs/>
                <w:color w:val="000000" w:themeColor="text1"/>
                <w:sz w:val="24"/>
                <w:szCs w:val="24"/>
                <w:vertAlign w:val="superscript"/>
                <w:lang w:eastAsia="uk-UA"/>
              </w:rPr>
              <w:t>і</w:t>
            </w:r>
            <w:r w:rsidRPr="00DB585C">
              <w:rPr>
                <w:rFonts w:ascii="Times New Roman" w:eastAsia="Calibri" w:hAnsi="Times New Roman" w:cs="Times New Roman"/>
                <w:b/>
                <w:bCs/>
                <w:color w:val="000000" w:themeColor="text1"/>
                <w:sz w:val="24"/>
                <w:szCs w:val="24"/>
                <w:vertAlign w:val="subscript"/>
                <w:lang w:eastAsia="uk-UA"/>
              </w:rPr>
              <w:t>вих</w:t>
            </w:r>
            <w:proofErr w:type="spellEnd"/>
            <w:r w:rsidRPr="00DB585C">
              <w:rPr>
                <w:rFonts w:ascii="Times New Roman" w:eastAsia="Calibri" w:hAnsi="Times New Roman" w:cs="Times New Roman"/>
                <w:b/>
                <w:bCs/>
                <w:color w:val="000000" w:themeColor="text1"/>
                <w:sz w:val="24"/>
                <w:szCs w:val="24"/>
                <w:vertAlign w:val="subscript"/>
                <w:lang w:eastAsia="uk-UA"/>
              </w:rPr>
              <w:t xml:space="preserve"> факт</w:t>
            </w:r>
            <w:r w:rsidRPr="00DB585C">
              <w:rPr>
                <w:rFonts w:ascii="Times New Roman" w:hAnsi="Times New Roman" w:cs="Times New Roman"/>
                <w:b/>
                <w:color w:val="000000" w:themeColor="text1"/>
                <w:sz w:val="24"/>
                <w:szCs w:val="24"/>
              </w:rPr>
              <w:t xml:space="preserve"> * </w:t>
            </w:r>
            <w:proofErr w:type="spellStart"/>
            <w:r w:rsidRPr="00DB585C">
              <w:rPr>
                <w:rFonts w:ascii="Times New Roman" w:eastAsia="Calibri" w:hAnsi="Times New Roman" w:cs="Times New Roman"/>
                <w:b/>
                <w:color w:val="000000" w:themeColor="text1"/>
                <w:sz w:val="24"/>
                <w:szCs w:val="24"/>
                <w:lang w:eastAsia="uk-UA"/>
              </w:rPr>
              <w:t>Т</w:t>
            </w:r>
            <w:r w:rsidRPr="00DB585C">
              <w:rPr>
                <w:rFonts w:ascii="Times New Roman" w:eastAsia="Calibri" w:hAnsi="Times New Roman" w:cs="Times New Roman"/>
                <w:b/>
                <w:bCs/>
                <w:color w:val="000000" w:themeColor="text1"/>
                <w:sz w:val="24"/>
                <w:szCs w:val="24"/>
                <w:vertAlign w:val="superscript"/>
                <w:lang w:eastAsia="uk-UA"/>
              </w:rPr>
              <w:t>і</w:t>
            </w:r>
            <w:r w:rsidRPr="00DB585C">
              <w:rPr>
                <w:rFonts w:ascii="Times New Roman" w:eastAsia="Calibri" w:hAnsi="Times New Roman" w:cs="Times New Roman"/>
                <w:b/>
                <w:bCs/>
                <w:color w:val="000000" w:themeColor="text1"/>
                <w:sz w:val="24"/>
                <w:szCs w:val="24"/>
                <w:vertAlign w:val="subscript"/>
                <w:lang w:eastAsia="uk-UA"/>
              </w:rPr>
              <w:t>вих</w:t>
            </w:r>
            <w:proofErr w:type="spellEnd"/>
            <w:r w:rsidRPr="00DB585C">
              <w:rPr>
                <w:rFonts w:ascii="Times New Roman" w:eastAsia="Calibri" w:hAnsi="Times New Roman" w:cs="Times New Roman"/>
                <w:b/>
                <w:bCs/>
                <w:color w:val="000000" w:themeColor="text1"/>
                <w:sz w:val="24"/>
                <w:szCs w:val="24"/>
                <w:vertAlign w:val="subscript"/>
                <w:lang w:eastAsia="uk-UA"/>
              </w:rPr>
              <w:t xml:space="preserve"> </w:t>
            </w:r>
            <w:r w:rsidRPr="00DB585C">
              <w:rPr>
                <w:rFonts w:ascii="Times New Roman" w:hAnsi="Times New Roman" w:cs="Times New Roman"/>
                <w:b/>
                <w:color w:val="000000" w:themeColor="text1"/>
                <w:sz w:val="24"/>
                <w:szCs w:val="24"/>
              </w:rPr>
              <w:t>* 1,1</w:t>
            </w:r>
            <w:r w:rsidRPr="00DB585C">
              <w:rPr>
                <w:rFonts w:ascii="Times New Roman" w:eastAsia="Calibri" w:hAnsi="Times New Roman" w:cs="Times New Roman"/>
                <w:b/>
                <w:bCs/>
                <w:color w:val="000000" w:themeColor="text1"/>
                <w:sz w:val="24"/>
                <w:szCs w:val="24"/>
                <w:lang w:eastAsia="uk-UA"/>
              </w:rPr>
              <w:t>)</w:t>
            </w:r>
          </w:p>
          <w:p w:rsidR="00150AAF" w:rsidRPr="00DB585C" w:rsidRDefault="00150AAF" w:rsidP="00380C11">
            <w:pPr>
              <w:shd w:val="clear" w:color="auto" w:fill="FFFFFF" w:themeFill="background1"/>
              <w:tabs>
                <w:tab w:val="left" w:pos="9815"/>
              </w:tabs>
              <w:jc w:val="both"/>
              <w:textAlignment w:val="baseline"/>
              <w:rPr>
                <w:rFonts w:ascii="Times New Roman" w:hAnsi="Times New Roman" w:cs="Times New Roman"/>
                <w:b/>
                <w:color w:val="000000" w:themeColor="text1"/>
                <w:sz w:val="24"/>
                <w:szCs w:val="24"/>
              </w:rPr>
            </w:pPr>
            <w:r w:rsidRPr="00DB585C">
              <w:rPr>
                <w:rFonts w:ascii="Times New Roman" w:hAnsi="Times New Roman" w:cs="Times New Roman"/>
                <w:b/>
                <w:color w:val="000000" w:themeColor="text1"/>
                <w:sz w:val="24"/>
                <w:szCs w:val="24"/>
              </w:rPr>
              <w:t>де:</w:t>
            </w:r>
          </w:p>
          <w:tbl>
            <w:tblPr>
              <w:tblStyle w:val="a3"/>
              <w:tblW w:w="5244" w:type="dxa"/>
              <w:tblInd w:w="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9"/>
              <w:gridCol w:w="3935"/>
            </w:tblGrid>
            <w:tr w:rsidR="00150AAF" w:rsidRPr="00DB585C" w:rsidTr="00C63056">
              <w:tc>
                <w:tcPr>
                  <w:tcW w:w="1309" w:type="dxa"/>
                </w:tcPr>
                <w:p w:rsidR="00150AAF" w:rsidRPr="00DB585C" w:rsidRDefault="00150AAF" w:rsidP="00380C11">
                  <w:pPr>
                    <w:tabs>
                      <w:tab w:val="left" w:pos="9815"/>
                    </w:tabs>
                    <w:jc w:val="both"/>
                    <w:textAlignment w:val="baseline"/>
                    <w:rPr>
                      <w:rFonts w:ascii="Times New Roman" w:hAnsi="Times New Roman" w:cs="Times New Roman"/>
                      <w:b/>
                      <w:color w:val="000000" w:themeColor="text1"/>
                      <w:sz w:val="24"/>
                      <w:szCs w:val="24"/>
                    </w:rPr>
                  </w:pPr>
                  <w:r w:rsidRPr="00DB585C">
                    <w:rPr>
                      <w:rFonts w:ascii="Times New Roman" w:hAnsi="Times New Roman" w:cs="Times New Roman"/>
                      <w:b/>
                      <w:color w:val="000000" w:themeColor="text1"/>
                      <w:sz w:val="24"/>
                      <w:szCs w:val="24"/>
                    </w:rPr>
                    <w:t>ПНВ</w:t>
                  </w:r>
                </w:p>
              </w:tc>
              <w:tc>
                <w:tcPr>
                  <w:tcW w:w="3935" w:type="dxa"/>
                </w:tcPr>
                <w:p w:rsidR="00150AAF" w:rsidRPr="00DB585C" w:rsidRDefault="00150AAF" w:rsidP="00380C11">
                  <w:pPr>
                    <w:tabs>
                      <w:tab w:val="left" w:pos="9815"/>
                    </w:tabs>
                    <w:ind w:hanging="142"/>
                    <w:jc w:val="both"/>
                    <w:textAlignment w:val="baseline"/>
                    <w:rPr>
                      <w:rFonts w:ascii="Times New Roman" w:hAnsi="Times New Roman" w:cs="Times New Roman"/>
                      <w:b/>
                      <w:color w:val="000000" w:themeColor="text1"/>
                      <w:sz w:val="24"/>
                      <w:szCs w:val="24"/>
                    </w:rPr>
                  </w:pPr>
                  <w:r w:rsidRPr="00DB585C">
                    <w:rPr>
                      <w:rFonts w:ascii="Times New Roman" w:hAnsi="Times New Roman" w:cs="Times New Roman"/>
                      <w:b/>
                      <w:color w:val="000000" w:themeColor="text1"/>
                      <w:sz w:val="24"/>
                      <w:szCs w:val="24"/>
                    </w:rPr>
                    <w:t>- плата за несанкціонований відбір</w:t>
                  </w:r>
                </w:p>
              </w:tc>
            </w:tr>
            <w:tr w:rsidR="00150AAF" w:rsidRPr="00DB585C" w:rsidTr="00C63056">
              <w:tc>
                <w:tcPr>
                  <w:tcW w:w="1309" w:type="dxa"/>
                </w:tcPr>
                <w:p w:rsidR="00150AAF" w:rsidRPr="00DB585C" w:rsidRDefault="00150AAF" w:rsidP="00380C11">
                  <w:pPr>
                    <w:tabs>
                      <w:tab w:val="left" w:pos="9815"/>
                    </w:tabs>
                    <w:jc w:val="both"/>
                    <w:textAlignment w:val="baseline"/>
                    <w:rPr>
                      <w:rFonts w:ascii="Times New Roman" w:hAnsi="Times New Roman" w:cs="Times New Roman"/>
                      <w:b/>
                      <w:color w:val="000000" w:themeColor="text1"/>
                      <w:sz w:val="24"/>
                      <w:szCs w:val="24"/>
                    </w:rPr>
                  </w:pPr>
                  <w:r w:rsidRPr="00DB585C">
                    <w:rPr>
                      <w:rFonts w:ascii="Times New Roman" w:hAnsi="Times New Roman" w:cs="Times New Roman"/>
                      <w:b/>
                      <w:color w:val="000000" w:themeColor="text1"/>
                      <w:sz w:val="24"/>
                      <w:szCs w:val="24"/>
                    </w:rPr>
                    <w:t>n</w:t>
                  </w:r>
                </w:p>
              </w:tc>
              <w:tc>
                <w:tcPr>
                  <w:tcW w:w="3935" w:type="dxa"/>
                </w:tcPr>
                <w:p w:rsidR="00150AAF" w:rsidRPr="00DB585C" w:rsidRDefault="00150AAF" w:rsidP="00380C11">
                  <w:pPr>
                    <w:tabs>
                      <w:tab w:val="left" w:pos="9815"/>
                    </w:tabs>
                    <w:ind w:hanging="142"/>
                    <w:jc w:val="both"/>
                    <w:textAlignment w:val="baseline"/>
                    <w:rPr>
                      <w:rFonts w:ascii="Times New Roman" w:hAnsi="Times New Roman" w:cs="Times New Roman"/>
                      <w:b/>
                      <w:color w:val="000000" w:themeColor="text1"/>
                      <w:sz w:val="24"/>
                      <w:szCs w:val="24"/>
                    </w:rPr>
                  </w:pPr>
                  <w:r w:rsidRPr="00DB585C">
                    <w:rPr>
                      <w:rFonts w:ascii="Times New Roman" w:hAnsi="Times New Roman" w:cs="Times New Roman"/>
                      <w:b/>
                      <w:color w:val="000000" w:themeColor="text1"/>
                      <w:sz w:val="24"/>
                      <w:szCs w:val="24"/>
                    </w:rPr>
                    <w:t>- кількість діб несанкціонованого відбору;</w:t>
                  </w:r>
                </w:p>
              </w:tc>
            </w:tr>
            <w:tr w:rsidR="00150AAF" w:rsidRPr="00DB585C" w:rsidTr="00C63056">
              <w:tc>
                <w:tcPr>
                  <w:tcW w:w="1309" w:type="dxa"/>
                </w:tcPr>
                <w:p w:rsidR="00150AAF" w:rsidRPr="00DB585C" w:rsidRDefault="00150AAF" w:rsidP="00380C11">
                  <w:pPr>
                    <w:tabs>
                      <w:tab w:val="left" w:pos="9815"/>
                    </w:tabs>
                    <w:jc w:val="both"/>
                    <w:textAlignment w:val="baseline"/>
                    <w:rPr>
                      <w:rFonts w:ascii="Times New Roman" w:hAnsi="Times New Roman" w:cs="Times New Roman"/>
                      <w:b/>
                      <w:color w:val="000000" w:themeColor="text1"/>
                      <w:sz w:val="24"/>
                      <w:szCs w:val="24"/>
                    </w:rPr>
                  </w:pPr>
                  <w:r w:rsidRPr="00DB585C">
                    <w:rPr>
                      <w:rFonts w:ascii="Times New Roman" w:hAnsi="Times New Roman" w:cs="Times New Roman"/>
                      <w:b/>
                      <w:color w:val="000000" w:themeColor="text1"/>
                      <w:sz w:val="24"/>
                      <w:szCs w:val="24"/>
                    </w:rPr>
                    <w:t>ОНВ</w:t>
                  </w:r>
                </w:p>
              </w:tc>
              <w:tc>
                <w:tcPr>
                  <w:tcW w:w="3935" w:type="dxa"/>
                </w:tcPr>
                <w:p w:rsidR="00150AAF" w:rsidRPr="00DB585C" w:rsidRDefault="00150AAF" w:rsidP="00380C11">
                  <w:pPr>
                    <w:tabs>
                      <w:tab w:val="left" w:pos="9815"/>
                    </w:tabs>
                    <w:ind w:hanging="142"/>
                    <w:jc w:val="both"/>
                    <w:textAlignment w:val="baseline"/>
                    <w:rPr>
                      <w:rFonts w:ascii="Times New Roman" w:hAnsi="Times New Roman" w:cs="Times New Roman"/>
                      <w:b/>
                      <w:color w:val="000000" w:themeColor="text1"/>
                      <w:sz w:val="24"/>
                      <w:szCs w:val="24"/>
                    </w:rPr>
                  </w:pPr>
                  <w:r w:rsidRPr="00DB585C">
                    <w:rPr>
                      <w:rFonts w:ascii="Times New Roman" w:hAnsi="Times New Roman" w:cs="Times New Roman"/>
                      <w:b/>
                      <w:color w:val="000000" w:themeColor="text1"/>
                      <w:sz w:val="24"/>
                      <w:szCs w:val="24"/>
                    </w:rPr>
                    <w:t>- добовий обсяг несанкціонованого відбору, тис. куб. м;</w:t>
                  </w:r>
                </w:p>
              </w:tc>
            </w:tr>
            <w:tr w:rsidR="00150AAF" w:rsidRPr="00DB585C" w:rsidTr="00C63056">
              <w:tc>
                <w:tcPr>
                  <w:tcW w:w="1309" w:type="dxa"/>
                </w:tcPr>
                <w:p w:rsidR="00150AAF" w:rsidRPr="00DB585C" w:rsidRDefault="00150AAF" w:rsidP="00380C11">
                  <w:pPr>
                    <w:tabs>
                      <w:tab w:val="left" w:pos="9815"/>
                    </w:tabs>
                    <w:jc w:val="both"/>
                    <w:textAlignment w:val="baseline"/>
                    <w:rPr>
                      <w:rFonts w:ascii="Times New Roman" w:hAnsi="Times New Roman" w:cs="Times New Roman"/>
                      <w:b/>
                      <w:color w:val="000000" w:themeColor="text1"/>
                      <w:sz w:val="24"/>
                      <w:szCs w:val="24"/>
                    </w:rPr>
                  </w:pPr>
                  <w:r w:rsidRPr="00DB585C">
                    <w:rPr>
                      <w:rFonts w:ascii="Times New Roman" w:hAnsi="Times New Roman" w:cs="Times New Roman"/>
                      <w:b/>
                      <w:color w:val="000000" w:themeColor="text1"/>
                      <w:sz w:val="24"/>
                      <w:szCs w:val="24"/>
                    </w:rPr>
                    <w:t>МЦ</w:t>
                  </w:r>
                </w:p>
              </w:tc>
              <w:tc>
                <w:tcPr>
                  <w:tcW w:w="3935" w:type="dxa"/>
                </w:tcPr>
                <w:p w:rsidR="00150AAF" w:rsidRPr="00DB585C" w:rsidRDefault="00150AAF" w:rsidP="00380C11">
                  <w:pPr>
                    <w:tabs>
                      <w:tab w:val="left" w:pos="9815"/>
                    </w:tabs>
                    <w:ind w:hanging="142"/>
                    <w:jc w:val="both"/>
                    <w:textAlignment w:val="baseline"/>
                    <w:rPr>
                      <w:rFonts w:ascii="Times New Roman" w:hAnsi="Times New Roman" w:cs="Times New Roman"/>
                      <w:b/>
                      <w:color w:val="000000" w:themeColor="text1"/>
                      <w:sz w:val="24"/>
                      <w:szCs w:val="24"/>
                    </w:rPr>
                  </w:pPr>
                  <w:r w:rsidRPr="00DB585C">
                    <w:rPr>
                      <w:rFonts w:ascii="Times New Roman" w:hAnsi="Times New Roman" w:cs="Times New Roman"/>
                      <w:b/>
                      <w:color w:val="000000" w:themeColor="text1"/>
                      <w:sz w:val="24"/>
                      <w:szCs w:val="24"/>
                    </w:rPr>
                    <w:t xml:space="preserve">- маржинальна ціна придбання природного газу для відповідної </w:t>
                  </w:r>
                  <w:r w:rsidRPr="00DB585C">
                    <w:rPr>
                      <w:rFonts w:ascii="Times New Roman" w:hAnsi="Times New Roman" w:cs="Times New Roman"/>
                      <w:b/>
                      <w:color w:val="000000" w:themeColor="text1"/>
                      <w:sz w:val="24"/>
                      <w:szCs w:val="24"/>
                    </w:rPr>
                    <w:lastRenderedPageBreak/>
                    <w:t>газової доби, визначена відповідно до Кодексу ГТС, грн. за 1000 куб.м.;</w:t>
                  </w:r>
                </w:p>
              </w:tc>
            </w:tr>
            <w:tr w:rsidR="00150AAF" w:rsidRPr="00DB585C" w:rsidTr="00C63056">
              <w:tc>
                <w:tcPr>
                  <w:tcW w:w="1309" w:type="dxa"/>
                </w:tcPr>
                <w:p w:rsidR="00150AAF" w:rsidRPr="00DB585C" w:rsidRDefault="00150AAF" w:rsidP="00380C11">
                  <w:pPr>
                    <w:tabs>
                      <w:tab w:val="left" w:pos="9815"/>
                    </w:tabs>
                    <w:jc w:val="both"/>
                    <w:textAlignment w:val="baseline"/>
                    <w:rPr>
                      <w:rFonts w:ascii="Times New Roman" w:hAnsi="Times New Roman" w:cs="Times New Roman"/>
                      <w:b/>
                      <w:color w:val="000000" w:themeColor="text1"/>
                      <w:sz w:val="24"/>
                      <w:szCs w:val="24"/>
                    </w:rPr>
                  </w:pPr>
                  <w:r w:rsidRPr="00DB585C">
                    <w:rPr>
                      <w:rFonts w:ascii="Times New Roman" w:eastAsia="Calibri" w:hAnsi="Times New Roman" w:cs="Times New Roman"/>
                      <w:b/>
                      <w:color w:val="000000" w:themeColor="text1"/>
                      <w:sz w:val="24"/>
                      <w:szCs w:val="24"/>
                      <w:lang w:eastAsia="uk-UA"/>
                    </w:rPr>
                    <w:lastRenderedPageBreak/>
                    <w:t>С</w:t>
                  </w:r>
                  <w:r w:rsidRPr="00DB585C">
                    <w:rPr>
                      <w:rFonts w:ascii="Times New Roman" w:eastAsia="Calibri" w:hAnsi="Times New Roman" w:cs="Times New Roman"/>
                      <w:b/>
                      <w:bCs/>
                      <w:color w:val="000000" w:themeColor="text1"/>
                      <w:sz w:val="24"/>
                      <w:szCs w:val="24"/>
                      <w:vertAlign w:val="superscript"/>
                      <w:lang w:eastAsia="uk-UA"/>
                    </w:rPr>
                    <w:t>і</w:t>
                  </w:r>
                  <w:r w:rsidRPr="00DB585C">
                    <w:rPr>
                      <w:rFonts w:ascii="Times New Roman" w:eastAsia="Calibri" w:hAnsi="Times New Roman" w:cs="Times New Roman"/>
                      <w:b/>
                      <w:bCs/>
                      <w:color w:val="000000" w:themeColor="text1"/>
                      <w:sz w:val="24"/>
                      <w:szCs w:val="24"/>
                      <w:vertAlign w:val="subscript"/>
                      <w:lang w:eastAsia="uk-UA"/>
                    </w:rPr>
                    <w:t>вих факт</w:t>
                  </w:r>
                </w:p>
              </w:tc>
              <w:tc>
                <w:tcPr>
                  <w:tcW w:w="3935" w:type="dxa"/>
                </w:tcPr>
                <w:p w:rsidR="00150AAF" w:rsidRPr="00DB585C" w:rsidRDefault="00150AAF" w:rsidP="00380C11">
                  <w:pPr>
                    <w:tabs>
                      <w:tab w:val="left" w:pos="9815"/>
                    </w:tabs>
                    <w:ind w:hanging="142"/>
                    <w:jc w:val="both"/>
                    <w:textAlignment w:val="baseline"/>
                    <w:rPr>
                      <w:rFonts w:ascii="Times New Roman" w:hAnsi="Times New Roman" w:cs="Times New Roman"/>
                      <w:b/>
                      <w:color w:val="000000" w:themeColor="text1"/>
                      <w:sz w:val="24"/>
                      <w:szCs w:val="24"/>
                    </w:rPr>
                  </w:pPr>
                  <w:r w:rsidRPr="00DB585C">
                    <w:rPr>
                      <w:rFonts w:ascii="Times New Roman" w:hAnsi="Times New Roman" w:cs="Times New Roman"/>
                      <w:b/>
                      <w:color w:val="000000" w:themeColor="text1"/>
                      <w:sz w:val="24"/>
                      <w:szCs w:val="24"/>
                    </w:rPr>
                    <w:t>- фактично використана потужність газотранспортної системи у точці виходу до газорозподільної системи, до якої приєднаний споживач, тис. куб. м/добу;</w:t>
                  </w:r>
                </w:p>
              </w:tc>
            </w:tr>
            <w:tr w:rsidR="00150AAF" w:rsidRPr="00DB585C" w:rsidTr="00C63056">
              <w:tc>
                <w:tcPr>
                  <w:tcW w:w="1309" w:type="dxa"/>
                </w:tcPr>
                <w:p w:rsidR="00150AAF" w:rsidRPr="00DB585C" w:rsidRDefault="00150AAF" w:rsidP="00380C11">
                  <w:pPr>
                    <w:tabs>
                      <w:tab w:val="left" w:pos="9815"/>
                    </w:tabs>
                    <w:jc w:val="both"/>
                    <w:textAlignment w:val="baseline"/>
                    <w:rPr>
                      <w:rFonts w:ascii="Times New Roman" w:hAnsi="Times New Roman" w:cs="Times New Roman"/>
                      <w:b/>
                      <w:color w:val="000000" w:themeColor="text1"/>
                      <w:sz w:val="24"/>
                      <w:szCs w:val="24"/>
                    </w:rPr>
                  </w:pPr>
                  <w:r w:rsidRPr="00DB585C">
                    <w:rPr>
                      <w:rFonts w:ascii="Times New Roman" w:eastAsia="Calibri" w:hAnsi="Times New Roman" w:cs="Times New Roman"/>
                      <w:b/>
                      <w:color w:val="000000" w:themeColor="text1"/>
                      <w:sz w:val="24"/>
                      <w:szCs w:val="24"/>
                      <w:lang w:eastAsia="uk-UA"/>
                    </w:rPr>
                    <w:t>Т</w:t>
                  </w:r>
                  <w:r w:rsidRPr="00DB585C">
                    <w:rPr>
                      <w:rFonts w:ascii="Times New Roman" w:eastAsia="Calibri" w:hAnsi="Times New Roman" w:cs="Times New Roman"/>
                      <w:b/>
                      <w:bCs/>
                      <w:color w:val="000000" w:themeColor="text1"/>
                      <w:sz w:val="24"/>
                      <w:szCs w:val="24"/>
                      <w:vertAlign w:val="superscript"/>
                      <w:lang w:eastAsia="uk-UA"/>
                    </w:rPr>
                    <w:t>і</w:t>
                  </w:r>
                  <w:r w:rsidRPr="00DB585C">
                    <w:rPr>
                      <w:rFonts w:ascii="Times New Roman" w:eastAsia="Calibri" w:hAnsi="Times New Roman" w:cs="Times New Roman"/>
                      <w:b/>
                      <w:bCs/>
                      <w:color w:val="000000" w:themeColor="text1"/>
                      <w:sz w:val="24"/>
                      <w:szCs w:val="24"/>
                      <w:vertAlign w:val="subscript"/>
                      <w:lang w:eastAsia="uk-UA"/>
                    </w:rPr>
                    <w:t>вих</w:t>
                  </w:r>
                </w:p>
              </w:tc>
              <w:tc>
                <w:tcPr>
                  <w:tcW w:w="3935" w:type="dxa"/>
                </w:tcPr>
                <w:p w:rsidR="00150AAF" w:rsidRPr="00DB585C" w:rsidRDefault="00150AAF" w:rsidP="00380C11">
                  <w:pPr>
                    <w:tabs>
                      <w:tab w:val="left" w:pos="9815"/>
                    </w:tabs>
                    <w:ind w:hanging="142"/>
                    <w:jc w:val="both"/>
                    <w:textAlignment w:val="baseline"/>
                    <w:rPr>
                      <w:rFonts w:ascii="Times New Roman" w:hAnsi="Times New Roman" w:cs="Times New Roman"/>
                      <w:b/>
                      <w:color w:val="000000" w:themeColor="text1"/>
                      <w:sz w:val="24"/>
                      <w:szCs w:val="24"/>
                    </w:rPr>
                  </w:pPr>
                  <w:r w:rsidRPr="00DB585C">
                    <w:rPr>
                      <w:rFonts w:ascii="Times New Roman" w:hAnsi="Times New Roman" w:cs="Times New Roman"/>
                      <w:b/>
                      <w:color w:val="000000" w:themeColor="text1"/>
                      <w:sz w:val="24"/>
                      <w:szCs w:val="24"/>
                    </w:rPr>
                    <w:t>- тариф на транспортування природного газу у точці виходу до газорозподільної системи, до якої приєднаний споживач, грн за 1000 куб. м на добу.</w:t>
                  </w:r>
                </w:p>
              </w:tc>
            </w:tr>
            <w:bookmarkEnd w:id="10"/>
          </w:tbl>
          <w:p w:rsidR="00150AAF" w:rsidRPr="00DB585C" w:rsidRDefault="00150AAF" w:rsidP="00380C11">
            <w:pPr>
              <w:shd w:val="clear" w:color="auto" w:fill="FFFFFF"/>
              <w:ind w:firstLine="709"/>
              <w:jc w:val="both"/>
              <w:textAlignment w:val="baseline"/>
              <w:rPr>
                <w:rFonts w:ascii="Times New Roman" w:hAnsi="Times New Roman" w:cs="Times New Roman"/>
                <w:color w:val="000000" w:themeColor="text1"/>
                <w:sz w:val="24"/>
                <w:szCs w:val="24"/>
                <w:shd w:val="clear" w:color="auto" w:fill="FFFFFF"/>
              </w:rPr>
            </w:pPr>
          </w:p>
        </w:tc>
      </w:tr>
      <w:tr w:rsidR="00150AAF" w:rsidTr="00E03B4F">
        <w:trPr>
          <w:trHeight w:val="508"/>
        </w:trPr>
        <w:tc>
          <w:tcPr>
            <w:tcW w:w="7508" w:type="dxa"/>
          </w:tcPr>
          <w:p w:rsidR="00150AAF" w:rsidRPr="00380C11" w:rsidRDefault="00150AAF" w:rsidP="00380C11">
            <w:pPr>
              <w:pStyle w:val="rvps2"/>
              <w:shd w:val="clear" w:color="auto" w:fill="FFFFFF"/>
              <w:spacing w:before="0" w:beforeAutospacing="0" w:after="0" w:afterAutospacing="0"/>
              <w:ind w:firstLine="450"/>
              <w:jc w:val="both"/>
              <w:rPr>
                <w:color w:val="000000" w:themeColor="text1"/>
              </w:rPr>
            </w:pPr>
            <w:r w:rsidRPr="00380C11">
              <w:rPr>
                <w:color w:val="000000" w:themeColor="text1"/>
              </w:rPr>
              <w:lastRenderedPageBreak/>
              <w:t>4. Якщо за результатами споживання природного газу у період відсутності споживача в Реєстрі споживачів будь-якого постачальника (несанкціонований відбір природного газу) Оператор ГТС при забезпеченні заходів балансування за підсумками газового місяця за процедурою, визначеною </w:t>
            </w:r>
            <w:hyperlink r:id="rId16" w:anchor="n18" w:tgtFrame="_blank" w:history="1">
              <w:r w:rsidRPr="00380C11">
                <w:rPr>
                  <w:rStyle w:val="a9"/>
                  <w:color w:val="000000" w:themeColor="text1"/>
                </w:rPr>
                <w:t>Кодексом ГТС</w:t>
              </w:r>
            </w:hyperlink>
            <w:r w:rsidRPr="00380C11">
              <w:rPr>
                <w:color w:val="000000" w:themeColor="text1"/>
              </w:rPr>
              <w:t>, віднесе такі обсяги (неврегульований небаланс) на Оператора ГРМ, тоді споживач має компенсувати Оператору ГРМ вартість таких обсягів, що розраховується за формулою</w:t>
            </w:r>
          </w:p>
          <w:p w:rsidR="00150AAF" w:rsidRPr="00380C11" w:rsidRDefault="00150AAF" w:rsidP="00380C11">
            <w:pPr>
              <w:pStyle w:val="rvps12"/>
              <w:shd w:val="clear" w:color="auto" w:fill="FFFFFF"/>
              <w:spacing w:before="0" w:beforeAutospacing="0" w:after="0" w:afterAutospacing="0"/>
              <w:jc w:val="center"/>
              <w:rPr>
                <w:color w:val="000000" w:themeColor="text1"/>
              </w:rPr>
            </w:pPr>
            <w:bookmarkStart w:id="11" w:name="n1942"/>
            <w:bookmarkEnd w:id="11"/>
            <w:r w:rsidRPr="00380C11">
              <w:rPr>
                <w:color w:val="000000" w:themeColor="text1"/>
              </w:rPr>
              <w:t>В = V</w:t>
            </w:r>
            <w:r w:rsidRPr="00380C11">
              <w:rPr>
                <w:rStyle w:val="rvts40"/>
                <w:b/>
                <w:bCs/>
                <w:color w:val="000000" w:themeColor="text1"/>
                <w:vertAlign w:val="subscript"/>
              </w:rPr>
              <w:t>ф</w:t>
            </w:r>
            <w:r w:rsidRPr="00380C11">
              <w:rPr>
                <w:color w:val="000000" w:themeColor="text1"/>
              </w:rPr>
              <w:t> </w:t>
            </w:r>
            <w:r w:rsidRPr="00380C11">
              <w:rPr>
                <w:rStyle w:val="rvts80"/>
                <w:b/>
                <w:bCs/>
                <w:color w:val="000000" w:themeColor="text1"/>
              </w:rPr>
              <w:t>×</w:t>
            </w:r>
            <w:r w:rsidRPr="00380C11">
              <w:rPr>
                <w:color w:val="000000" w:themeColor="text1"/>
              </w:rPr>
              <w:t> Ц </w:t>
            </w:r>
            <w:r w:rsidRPr="00380C11">
              <w:rPr>
                <w:rStyle w:val="rvts80"/>
                <w:b/>
                <w:bCs/>
                <w:color w:val="000000" w:themeColor="text1"/>
              </w:rPr>
              <w:t>×</w:t>
            </w:r>
            <w:r w:rsidRPr="00380C11">
              <w:rPr>
                <w:color w:val="000000" w:themeColor="text1"/>
              </w:rPr>
              <w:t> К,</w:t>
            </w:r>
          </w:p>
          <w:tbl>
            <w:tblPr>
              <w:tblW w:w="5000" w:type="pct"/>
              <w:jc w:val="center"/>
              <w:tblCellMar>
                <w:left w:w="0" w:type="dxa"/>
                <w:right w:w="0" w:type="dxa"/>
              </w:tblCellMar>
              <w:tblLook w:val="04A0" w:firstRow="1" w:lastRow="0" w:firstColumn="1" w:lastColumn="0" w:noHBand="0" w:noVBand="1"/>
            </w:tblPr>
            <w:tblGrid>
              <w:gridCol w:w="472"/>
              <w:gridCol w:w="419"/>
              <w:gridCol w:w="466"/>
              <w:gridCol w:w="5929"/>
            </w:tblGrid>
            <w:tr w:rsidR="00150AAF" w:rsidRPr="00380C11" w:rsidTr="00E03B4F">
              <w:trPr>
                <w:jc w:val="center"/>
              </w:trPr>
              <w:tc>
                <w:tcPr>
                  <w:tcW w:w="585" w:type="dxa"/>
                  <w:tcBorders>
                    <w:top w:val="single" w:sz="2" w:space="0" w:color="auto"/>
                    <w:left w:val="single" w:sz="2" w:space="0" w:color="auto"/>
                    <w:bottom w:val="single" w:sz="2" w:space="0" w:color="auto"/>
                    <w:right w:val="single" w:sz="2" w:space="0" w:color="auto"/>
                  </w:tcBorders>
                  <w:hideMark/>
                </w:tcPr>
                <w:p w:rsidR="00150AAF" w:rsidRPr="00380C11" w:rsidRDefault="00150AAF" w:rsidP="00380C11">
                  <w:pPr>
                    <w:pStyle w:val="rvps11"/>
                    <w:spacing w:before="0" w:beforeAutospacing="0" w:after="0" w:afterAutospacing="0"/>
                    <w:jc w:val="right"/>
                    <w:rPr>
                      <w:color w:val="000000" w:themeColor="text1"/>
                    </w:rPr>
                  </w:pPr>
                  <w:bookmarkStart w:id="12" w:name="n1944"/>
                  <w:bookmarkEnd w:id="12"/>
                  <w:r w:rsidRPr="00380C11">
                    <w:rPr>
                      <w:color w:val="000000" w:themeColor="text1"/>
                    </w:rPr>
                    <w:t>де</w:t>
                  </w:r>
                </w:p>
              </w:tc>
              <w:tc>
                <w:tcPr>
                  <w:tcW w:w="480" w:type="dxa"/>
                  <w:tcBorders>
                    <w:top w:val="single" w:sz="2" w:space="0" w:color="auto"/>
                    <w:left w:val="single" w:sz="2" w:space="0" w:color="auto"/>
                    <w:bottom w:val="single" w:sz="2" w:space="0" w:color="auto"/>
                    <w:right w:val="single" w:sz="2" w:space="0" w:color="auto"/>
                  </w:tcBorders>
                  <w:hideMark/>
                </w:tcPr>
                <w:p w:rsidR="00150AAF" w:rsidRPr="00380C11" w:rsidRDefault="00150AAF" w:rsidP="00380C11">
                  <w:pPr>
                    <w:pStyle w:val="rvps12"/>
                    <w:spacing w:before="0" w:beforeAutospacing="0" w:after="0" w:afterAutospacing="0"/>
                    <w:jc w:val="center"/>
                    <w:rPr>
                      <w:color w:val="000000" w:themeColor="text1"/>
                    </w:rPr>
                  </w:pPr>
                  <w:r w:rsidRPr="00380C11">
                    <w:rPr>
                      <w:color w:val="000000" w:themeColor="text1"/>
                    </w:rPr>
                    <w:t>В</w:t>
                  </w:r>
                </w:p>
              </w:tc>
              <w:tc>
                <w:tcPr>
                  <w:tcW w:w="645" w:type="dxa"/>
                  <w:tcBorders>
                    <w:top w:val="single" w:sz="2" w:space="0" w:color="auto"/>
                    <w:left w:val="single" w:sz="2" w:space="0" w:color="auto"/>
                    <w:bottom w:val="single" w:sz="2" w:space="0" w:color="auto"/>
                    <w:right w:val="single" w:sz="2" w:space="0" w:color="auto"/>
                  </w:tcBorders>
                  <w:hideMark/>
                </w:tcPr>
                <w:p w:rsidR="00150AAF" w:rsidRPr="00380C11" w:rsidRDefault="00150AAF" w:rsidP="00380C11">
                  <w:pPr>
                    <w:pStyle w:val="rvps12"/>
                    <w:spacing w:before="0" w:beforeAutospacing="0" w:after="0" w:afterAutospacing="0"/>
                    <w:jc w:val="center"/>
                    <w:rPr>
                      <w:color w:val="000000" w:themeColor="text1"/>
                    </w:rPr>
                  </w:pPr>
                  <w:r w:rsidRPr="00380C11">
                    <w:rPr>
                      <w:color w:val="000000" w:themeColor="text1"/>
                    </w:rPr>
                    <w:t>-</w:t>
                  </w:r>
                </w:p>
              </w:tc>
              <w:tc>
                <w:tcPr>
                  <w:tcW w:w="7980" w:type="dxa"/>
                  <w:tcBorders>
                    <w:top w:val="single" w:sz="2" w:space="0" w:color="auto"/>
                    <w:left w:val="single" w:sz="2" w:space="0" w:color="auto"/>
                    <w:bottom w:val="single" w:sz="2" w:space="0" w:color="auto"/>
                    <w:right w:val="single" w:sz="2" w:space="0" w:color="auto"/>
                  </w:tcBorders>
                  <w:hideMark/>
                </w:tcPr>
                <w:p w:rsidR="00150AAF" w:rsidRPr="00380C11" w:rsidRDefault="00150AAF" w:rsidP="00380C11">
                  <w:pPr>
                    <w:pStyle w:val="rvps14"/>
                    <w:spacing w:before="0" w:beforeAutospacing="0" w:after="0" w:afterAutospacing="0"/>
                    <w:rPr>
                      <w:color w:val="000000" w:themeColor="text1"/>
                    </w:rPr>
                  </w:pPr>
                  <w:r w:rsidRPr="00380C11">
                    <w:rPr>
                      <w:color w:val="000000" w:themeColor="text1"/>
                    </w:rPr>
                    <w:t>вартість природного газу, яка компенсується Оператору ГРМ;</w:t>
                  </w:r>
                </w:p>
              </w:tc>
            </w:tr>
            <w:tr w:rsidR="00150AAF" w:rsidRPr="00380C11" w:rsidTr="00E03B4F">
              <w:trPr>
                <w:jc w:val="center"/>
              </w:trPr>
              <w:tc>
                <w:tcPr>
                  <w:tcW w:w="585" w:type="dxa"/>
                  <w:tcBorders>
                    <w:top w:val="single" w:sz="2" w:space="0" w:color="auto"/>
                    <w:left w:val="single" w:sz="2" w:space="0" w:color="auto"/>
                    <w:bottom w:val="single" w:sz="2" w:space="0" w:color="auto"/>
                    <w:right w:val="single" w:sz="2" w:space="0" w:color="auto"/>
                  </w:tcBorders>
                  <w:hideMark/>
                </w:tcPr>
                <w:p w:rsidR="00150AAF" w:rsidRPr="00380C11" w:rsidRDefault="00150AAF" w:rsidP="00380C11">
                  <w:pPr>
                    <w:spacing w:after="0"/>
                    <w:rPr>
                      <w:rFonts w:ascii="Times New Roman" w:hAnsi="Times New Roman" w:cs="Times New Roman"/>
                      <w:color w:val="000000" w:themeColor="text1"/>
                      <w:sz w:val="24"/>
                      <w:szCs w:val="24"/>
                    </w:rPr>
                  </w:pPr>
                </w:p>
              </w:tc>
              <w:tc>
                <w:tcPr>
                  <w:tcW w:w="480" w:type="dxa"/>
                  <w:tcBorders>
                    <w:top w:val="single" w:sz="2" w:space="0" w:color="auto"/>
                    <w:left w:val="single" w:sz="2" w:space="0" w:color="auto"/>
                    <w:bottom w:val="single" w:sz="2" w:space="0" w:color="auto"/>
                    <w:right w:val="single" w:sz="2" w:space="0" w:color="auto"/>
                  </w:tcBorders>
                  <w:hideMark/>
                </w:tcPr>
                <w:p w:rsidR="00150AAF" w:rsidRPr="00380C11" w:rsidRDefault="00150AAF" w:rsidP="00380C11">
                  <w:pPr>
                    <w:pStyle w:val="rvps12"/>
                    <w:spacing w:before="0" w:beforeAutospacing="0" w:after="0" w:afterAutospacing="0"/>
                    <w:jc w:val="center"/>
                    <w:rPr>
                      <w:color w:val="000000" w:themeColor="text1"/>
                    </w:rPr>
                  </w:pPr>
                  <w:r w:rsidRPr="00380C11">
                    <w:rPr>
                      <w:color w:val="000000" w:themeColor="text1"/>
                    </w:rPr>
                    <w:t>V</w:t>
                  </w:r>
                  <w:r w:rsidRPr="00380C11">
                    <w:rPr>
                      <w:rStyle w:val="rvts40"/>
                      <w:b/>
                      <w:bCs/>
                      <w:color w:val="000000" w:themeColor="text1"/>
                      <w:vertAlign w:val="subscript"/>
                    </w:rPr>
                    <w:t>ф</w:t>
                  </w:r>
                </w:p>
              </w:tc>
              <w:tc>
                <w:tcPr>
                  <w:tcW w:w="645" w:type="dxa"/>
                  <w:tcBorders>
                    <w:top w:val="single" w:sz="2" w:space="0" w:color="auto"/>
                    <w:left w:val="single" w:sz="2" w:space="0" w:color="auto"/>
                    <w:bottom w:val="single" w:sz="2" w:space="0" w:color="auto"/>
                    <w:right w:val="single" w:sz="2" w:space="0" w:color="auto"/>
                  </w:tcBorders>
                  <w:hideMark/>
                </w:tcPr>
                <w:p w:rsidR="00150AAF" w:rsidRPr="00380C11" w:rsidRDefault="00150AAF" w:rsidP="00380C11">
                  <w:pPr>
                    <w:pStyle w:val="rvps12"/>
                    <w:spacing w:before="0" w:beforeAutospacing="0" w:after="0" w:afterAutospacing="0"/>
                    <w:jc w:val="center"/>
                    <w:rPr>
                      <w:color w:val="000000" w:themeColor="text1"/>
                    </w:rPr>
                  </w:pPr>
                  <w:r w:rsidRPr="00380C11">
                    <w:rPr>
                      <w:color w:val="000000" w:themeColor="text1"/>
                    </w:rPr>
                    <w:t>-</w:t>
                  </w:r>
                </w:p>
              </w:tc>
              <w:tc>
                <w:tcPr>
                  <w:tcW w:w="7980" w:type="dxa"/>
                  <w:tcBorders>
                    <w:top w:val="single" w:sz="2" w:space="0" w:color="auto"/>
                    <w:left w:val="single" w:sz="2" w:space="0" w:color="auto"/>
                    <w:bottom w:val="single" w:sz="2" w:space="0" w:color="auto"/>
                    <w:right w:val="single" w:sz="2" w:space="0" w:color="auto"/>
                  </w:tcBorders>
                  <w:hideMark/>
                </w:tcPr>
                <w:p w:rsidR="00150AAF" w:rsidRPr="00380C11" w:rsidRDefault="00150AAF" w:rsidP="00380C11">
                  <w:pPr>
                    <w:pStyle w:val="rvps14"/>
                    <w:spacing w:before="0" w:beforeAutospacing="0" w:after="0" w:afterAutospacing="0"/>
                    <w:rPr>
                      <w:color w:val="000000" w:themeColor="text1"/>
                    </w:rPr>
                  </w:pPr>
                  <w:r w:rsidRPr="00380C11">
                    <w:rPr>
                      <w:color w:val="000000" w:themeColor="text1"/>
                    </w:rPr>
                    <w:t>об’єм (обсяг) природного газу, фактично спожитий споживачем за період відсутності споживача в Реєстрі споживачів будь-якого постачальника;</w:t>
                  </w:r>
                </w:p>
              </w:tc>
            </w:tr>
            <w:tr w:rsidR="00150AAF" w:rsidRPr="00380C11" w:rsidTr="00E03B4F">
              <w:trPr>
                <w:jc w:val="center"/>
              </w:trPr>
              <w:tc>
                <w:tcPr>
                  <w:tcW w:w="585" w:type="dxa"/>
                  <w:tcBorders>
                    <w:top w:val="single" w:sz="2" w:space="0" w:color="auto"/>
                    <w:left w:val="single" w:sz="2" w:space="0" w:color="auto"/>
                    <w:bottom w:val="single" w:sz="2" w:space="0" w:color="auto"/>
                    <w:right w:val="single" w:sz="2" w:space="0" w:color="auto"/>
                  </w:tcBorders>
                  <w:hideMark/>
                </w:tcPr>
                <w:p w:rsidR="00150AAF" w:rsidRPr="00380C11" w:rsidRDefault="00150AAF" w:rsidP="00380C11">
                  <w:pPr>
                    <w:spacing w:after="0"/>
                    <w:rPr>
                      <w:rFonts w:ascii="Times New Roman" w:hAnsi="Times New Roman" w:cs="Times New Roman"/>
                      <w:color w:val="000000" w:themeColor="text1"/>
                      <w:sz w:val="24"/>
                      <w:szCs w:val="24"/>
                    </w:rPr>
                  </w:pPr>
                </w:p>
              </w:tc>
              <w:tc>
                <w:tcPr>
                  <w:tcW w:w="480" w:type="dxa"/>
                  <w:tcBorders>
                    <w:top w:val="single" w:sz="2" w:space="0" w:color="auto"/>
                    <w:left w:val="single" w:sz="2" w:space="0" w:color="auto"/>
                    <w:bottom w:val="single" w:sz="2" w:space="0" w:color="auto"/>
                    <w:right w:val="single" w:sz="2" w:space="0" w:color="auto"/>
                  </w:tcBorders>
                  <w:hideMark/>
                </w:tcPr>
                <w:p w:rsidR="00150AAF" w:rsidRPr="00380C11" w:rsidRDefault="00150AAF" w:rsidP="00380C11">
                  <w:pPr>
                    <w:pStyle w:val="rvps12"/>
                    <w:spacing w:before="0" w:beforeAutospacing="0" w:after="0" w:afterAutospacing="0"/>
                    <w:jc w:val="center"/>
                    <w:rPr>
                      <w:color w:val="000000" w:themeColor="text1"/>
                    </w:rPr>
                  </w:pPr>
                  <w:r w:rsidRPr="00380C11">
                    <w:rPr>
                      <w:color w:val="000000" w:themeColor="text1"/>
                    </w:rPr>
                    <w:t>Ц</w:t>
                  </w:r>
                </w:p>
              </w:tc>
              <w:tc>
                <w:tcPr>
                  <w:tcW w:w="645" w:type="dxa"/>
                  <w:tcBorders>
                    <w:top w:val="single" w:sz="2" w:space="0" w:color="auto"/>
                    <w:left w:val="single" w:sz="2" w:space="0" w:color="auto"/>
                    <w:bottom w:val="single" w:sz="2" w:space="0" w:color="auto"/>
                    <w:right w:val="single" w:sz="2" w:space="0" w:color="auto"/>
                  </w:tcBorders>
                  <w:hideMark/>
                </w:tcPr>
                <w:p w:rsidR="00150AAF" w:rsidRPr="00380C11" w:rsidRDefault="00150AAF" w:rsidP="00380C11">
                  <w:pPr>
                    <w:pStyle w:val="rvps12"/>
                    <w:spacing w:before="0" w:beforeAutospacing="0" w:after="0" w:afterAutospacing="0"/>
                    <w:jc w:val="center"/>
                    <w:rPr>
                      <w:color w:val="000000" w:themeColor="text1"/>
                    </w:rPr>
                  </w:pPr>
                  <w:r w:rsidRPr="00380C11">
                    <w:rPr>
                      <w:color w:val="000000" w:themeColor="text1"/>
                    </w:rPr>
                    <w:t>-</w:t>
                  </w:r>
                </w:p>
              </w:tc>
              <w:tc>
                <w:tcPr>
                  <w:tcW w:w="7980" w:type="dxa"/>
                  <w:tcBorders>
                    <w:top w:val="single" w:sz="2" w:space="0" w:color="auto"/>
                    <w:left w:val="single" w:sz="2" w:space="0" w:color="auto"/>
                    <w:bottom w:val="single" w:sz="2" w:space="0" w:color="auto"/>
                    <w:right w:val="single" w:sz="2" w:space="0" w:color="auto"/>
                  </w:tcBorders>
                  <w:hideMark/>
                </w:tcPr>
                <w:p w:rsidR="00150AAF" w:rsidRPr="00380C11" w:rsidRDefault="00150AAF" w:rsidP="00380C11">
                  <w:pPr>
                    <w:pStyle w:val="rvps14"/>
                    <w:spacing w:before="0" w:beforeAutospacing="0" w:after="0" w:afterAutospacing="0"/>
                    <w:rPr>
                      <w:color w:val="000000" w:themeColor="text1"/>
                    </w:rPr>
                  </w:pPr>
                  <w:r w:rsidRPr="00380C11">
                    <w:rPr>
                      <w:color w:val="000000" w:themeColor="text1"/>
                    </w:rPr>
                    <w:t>ціна природного газу, використаного Оператором ГРМ для покриття втрат і виробничо-технологічних витрат природного газу в ГРМ у відповідний період. Оператор ГРМ щомісячно публікує на своєму вебсайті інформацію про таку ціну та період її дії;</w:t>
                  </w:r>
                </w:p>
              </w:tc>
            </w:tr>
            <w:tr w:rsidR="00150AAF" w:rsidRPr="00380C11" w:rsidTr="00E03B4F">
              <w:trPr>
                <w:jc w:val="center"/>
              </w:trPr>
              <w:tc>
                <w:tcPr>
                  <w:tcW w:w="9690" w:type="dxa"/>
                  <w:gridSpan w:val="4"/>
                  <w:tcBorders>
                    <w:top w:val="single" w:sz="2" w:space="0" w:color="auto"/>
                    <w:left w:val="single" w:sz="2" w:space="0" w:color="auto"/>
                    <w:bottom w:val="single" w:sz="2" w:space="0" w:color="auto"/>
                    <w:right w:val="single" w:sz="2" w:space="0" w:color="auto"/>
                  </w:tcBorders>
                  <w:hideMark/>
                </w:tcPr>
                <w:p w:rsidR="00150AAF" w:rsidRPr="00380C11" w:rsidRDefault="00150AAF" w:rsidP="00380C11">
                  <w:pPr>
                    <w:pStyle w:val="rvps2"/>
                    <w:spacing w:before="0" w:beforeAutospacing="0" w:after="0" w:afterAutospacing="0"/>
                    <w:jc w:val="both"/>
                    <w:rPr>
                      <w:color w:val="000000" w:themeColor="text1"/>
                    </w:rPr>
                  </w:pPr>
                </w:p>
              </w:tc>
            </w:tr>
            <w:tr w:rsidR="00150AAF" w:rsidRPr="00380C11" w:rsidTr="00E03B4F">
              <w:trPr>
                <w:trHeight w:val="570"/>
                <w:jc w:val="center"/>
              </w:trPr>
              <w:tc>
                <w:tcPr>
                  <w:tcW w:w="585" w:type="dxa"/>
                  <w:tcBorders>
                    <w:top w:val="single" w:sz="2" w:space="0" w:color="auto"/>
                    <w:left w:val="single" w:sz="2" w:space="0" w:color="auto"/>
                    <w:bottom w:val="single" w:sz="2" w:space="0" w:color="auto"/>
                    <w:right w:val="single" w:sz="2" w:space="0" w:color="auto"/>
                  </w:tcBorders>
                  <w:hideMark/>
                </w:tcPr>
                <w:p w:rsidR="00150AAF" w:rsidRPr="00380C11" w:rsidRDefault="00150AAF" w:rsidP="00380C11">
                  <w:pPr>
                    <w:spacing w:after="0"/>
                    <w:rPr>
                      <w:rFonts w:ascii="Times New Roman" w:hAnsi="Times New Roman" w:cs="Times New Roman"/>
                      <w:color w:val="000000" w:themeColor="text1"/>
                      <w:sz w:val="24"/>
                      <w:szCs w:val="24"/>
                    </w:rPr>
                  </w:pPr>
                </w:p>
              </w:tc>
              <w:tc>
                <w:tcPr>
                  <w:tcW w:w="480" w:type="dxa"/>
                  <w:tcBorders>
                    <w:top w:val="single" w:sz="2" w:space="0" w:color="auto"/>
                    <w:left w:val="single" w:sz="2" w:space="0" w:color="auto"/>
                    <w:bottom w:val="single" w:sz="2" w:space="0" w:color="auto"/>
                    <w:right w:val="single" w:sz="2" w:space="0" w:color="auto"/>
                  </w:tcBorders>
                  <w:hideMark/>
                </w:tcPr>
                <w:p w:rsidR="00150AAF" w:rsidRPr="00380C11" w:rsidRDefault="00150AAF" w:rsidP="00380C11">
                  <w:pPr>
                    <w:pStyle w:val="rvps12"/>
                    <w:spacing w:before="0" w:beforeAutospacing="0" w:after="0" w:afterAutospacing="0"/>
                    <w:jc w:val="center"/>
                    <w:rPr>
                      <w:color w:val="000000" w:themeColor="text1"/>
                    </w:rPr>
                  </w:pPr>
                  <w:r w:rsidRPr="00380C11">
                    <w:rPr>
                      <w:color w:val="000000" w:themeColor="text1"/>
                    </w:rPr>
                    <w:t>К</w:t>
                  </w:r>
                </w:p>
              </w:tc>
              <w:tc>
                <w:tcPr>
                  <w:tcW w:w="645" w:type="dxa"/>
                  <w:tcBorders>
                    <w:top w:val="single" w:sz="2" w:space="0" w:color="auto"/>
                    <w:left w:val="single" w:sz="2" w:space="0" w:color="auto"/>
                    <w:bottom w:val="single" w:sz="2" w:space="0" w:color="auto"/>
                    <w:right w:val="single" w:sz="2" w:space="0" w:color="auto"/>
                  </w:tcBorders>
                  <w:hideMark/>
                </w:tcPr>
                <w:p w:rsidR="00150AAF" w:rsidRPr="00380C11" w:rsidRDefault="00150AAF" w:rsidP="00380C11">
                  <w:pPr>
                    <w:pStyle w:val="rvps12"/>
                    <w:spacing w:before="0" w:beforeAutospacing="0" w:after="0" w:afterAutospacing="0"/>
                    <w:jc w:val="center"/>
                    <w:rPr>
                      <w:color w:val="000000" w:themeColor="text1"/>
                    </w:rPr>
                  </w:pPr>
                  <w:r w:rsidRPr="00380C11">
                    <w:rPr>
                      <w:color w:val="000000" w:themeColor="text1"/>
                    </w:rPr>
                    <w:t>-</w:t>
                  </w:r>
                </w:p>
              </w:tc>
              <w:tc>
                <w:tcPr>
                  <w:tcW w:w="7980" w:type="dxa"/>
                  <w:tcBorders>
                    <w:top w:val="single" w:sz="2" w:space="0" w:color="auto"/>
                    <w:left w:val="single" w:sz="2" w:space="0" w:color="auto"/>
                    <w:bottom w:val="single" w:sz="2" w:space="0" w:color="auto"/>
                    <w:right w:val="single" w:sz="2" w:space="0" w:color="auto"/>
                  </w:tcBorders>
                  <w:hideMark/>
                </w:tcPr>
                <w:p w:rsidR="00150AAF" w:rsidRPr="00380C11" w:rsidRDefault="00150AAF" w:rsidP="00380C11">
                  <w:pPr>
                    <w:pStyle w:val="rvps14"/>
                    <w:spacing w:before="0" w:beforeAutospacing="0" w:after="0" w:afterAutospacing="0"/>
                    <w:rPr>
                      <w:color w:val="000000" w:themeColor="text1"/>
                    </w:rPr>
                  </w:pPr>
                  <w:r w:rsidRPr="00380C11">
                    <w:rPr>
                      <w:color w:val="000000" w:themeColor="text1"/>
                    </w:rPr>
                    <w:t>коефіцієнт компенсації, який визначається на рівні 1,5.</w:t>
                  </w:r>
                </w:p>
              </w:tc>
            </w:tr>
          </w:tbl>
          <w:p w:rsidR="00150AAF" w:rsidRPr="00DB585C" w:rsidRDefault="00150AAF" w:rsidP="00380C11">
            <w:pPr>
              <w:spacing w:line="20" w:lineRule="atLeast"/>
              <w:ind w:firstLine="709"/>
              <w:jc w:val="both"/>
              <w:rPr>
                <w:rFonts w:ascii="Times New Roman" w:hAnsi="Times New Roman" w:cs="Times New Roman"/>
                <w:b/>
                <w:sz w:val="24"/>
                <w:szCs w:val="24"/>
              </w:rPr>
            </w:pPr>
            <w:bookmarkStart w:id="13" w:name="n1946"/>
            <w:bookmarkEnd w:id="13"/>
            <w:r w:rsidRPr="00380C11">
              <w:rPr>
                <w:rFonts w:ascii="Times New Roman" w:hAnsi="Times New Roman" w:cs="Times New Roman"/>
                <w:color w:val="000000" w:themeColor="text1"/>
                <w:sz w:val="24"/>
                <w:szCs w:val="24"/>
              </w:rPr>
              <w:lastRenderedPageBreak/>
              <w:t>При цьому якщо неврегульований небаланс станеться внаслідок відмови в доступі до об’єкта споживача для здійснення Оператором ГРМ припинення розподілу природного газу або внаслідок невиконання споживачем письмової вимоги Оператора ГРМ самостійно припинити (обмежити) споживання природного газу, коефіцієнт компенсації має становити 2.</w:t>
            </w:r>
          </w:p>
        </w:tc>
        <w:tc>
          <w:tcPr>
            <w:tcW w:w="7518" w:type="dxa"/>
          </w:tcPr>
          <w:p w:rsidR="00380C11" w:rsidRPr="00380C11" w:rsidRDefault="00380C11" w:rsidP="00380C11">
            <w:pPr>
              <w:pStyle w:val="rvps2"/>
              <w:shd w:val="clear" w:color="auto" w:fill="FFFFFF"/>
              <w:spacing w:before="0" w:beforeAutospacing="0" w:after="0" w:afterAutospacing="0"/>
              <w:ind w:firstLine="450"/>
              <w:jc w:val="both"/>
              <w:rPr>
                <w:strike/>
                <w:color w:val="000000" w:themeColor="text1"/>
              </w:rPr>
            </w:pPr>
            <w:r w:rsidRPr="00380C11">
              <w:rPr>
                <w:strike/>
                <w:color w:val="000000" w:themeColor="text1"/>
              </w:rPr>
              <w:lastRenderedPageBreak/>
              <w:t>4. Якщо за результатами споживання природного газу у період відсутності споживача в Реєстрі споживачів будь-якого постачальника (несанкціонований відбір природного газу) Оператор ГТС при забезпеченні заходів балансування за підсумками газового місяця за процедурою, визначеною </w:t>
            </w:r>
            <w:hyperlink r:id="rId17" w:anchor="n18" w:tgtFrame="_blank" w:history="1">
              <w:r w:rsidRPr="00380C11">
                <w:rPr>
                  <w:rStyle w:val="a9"/>
                  <w:strike/>
                  <w:color w:val="000000" w:themeColor="text1"/>
                </w:rPr>
                <w:t>Кодексом ГТС</w:t>
              </w:r>
            </w:hyperlink>
            <w:r w:rsidRPr="00380C11">
              <w:rPr>
                <w:strike/>
                <w:color w:val="000000" w:themeColor="text1"/>
              </w:rPr>
              <w:t>, віднесе такі обсяги (неврегульований небаланс) на Оператора ГРМ, тоді споживач має компенсувати Оператору ГРМ вартість таких обсягів, що розраховується за формулою</w:t>
            </w:r>
          </w:p>
          <w:p w:rsidR="00380C11" w:rsidRPr="00380C11" w:rsidRDefault="00380C11" w:rsidP="00380C11">
            <w:pPr>
              <w:pStyle w:val="rvps12"/>
              <w:shd w:val="clear" w:color="auto" w:fill="FFFFFF"/>
              <w:spacing w:before="0" w:beforeAutospacing="0" w:after="0" w:afterAutospacing="0"/>
              <w:jc w:val="center"/>
              <w:rPr>
                <w:strike/>
                <w:color w:val="000000" w:themeColor="text1"/>
              </w:rPr>
            </w:pPr>
            <w:r w:rsidRPr="00380C11">
              <w:rPr>
                <w:strike/>
                <w:color w:val="000000" w:themeColor="text1"/>
              </w:rPr>
              <w:t xml:space="preserve">В = </w:t>
            </w:r>
            <w:proofErr w:type="spellStart"/>
            <w:r w:rsidRPr="00380C11">
              <w:rPr>
                <w:strike/>
                <w:color w:val="000000" w:themeColor="text1"/>
              </w:rPr>
              <w:t>V</w:t>
            </w:r>
            <w:r w:rsidRPr="00380C11">
              <w:rPr>
                <w:rStyle w:val="rvts40"/>
                <w:b/>
                <w:bCs/>
                <w:strike/>
                <w:color w:val="000000" w:themeColor="text1"/>
                <w:vertAlign w:val="subscript"/>
              </w:rPr>
              <w:t>ф</w:t>
            </w:r>
            <w:proofErr w:type="spellEnd"/>
            <w:r w:rsidRPr="00380C11">
              <w:rPr>
                <w:strike/>
                <w:color w:val="000000" w:themeColor="text1"/>
              </w:rPr>
              <w:t> </w:t>
            </w:r>
            <w:r w:rsidRPr="00380C11">
              <w:rPr>
                <w:rStyle w:val="rvts80"/>
                <w:b/>
                <w:bCs/>
                <w:strike/>
                <w:color w:val="000000" w:themeColor="text1"/>
              </w:rPr>
              <w:t>×</w:t>
            </w:r>
            <w:r w:rsidRPr="00380C11">
              <w:rPr>
                <w:strike/>
                <w:color w:val="000000" w:themeColor="text1"/>
              </w:rPr>
              <w:t> Ц </w:t>
            </w:r>
            <w:r w:rsidRPr="00380C11">
              <w:rPr>
                <w:rStyle w:val="rvts80"/>
                <w:b/>
                <w:bCs/>
                <w:strike/>
                <w:color w:val="000000" w:themeColor="text1"/>
              </w:rPr>
              <w:t>×</w:t>
            </w:r>
            <w:r w:rsidRPr="00380C11">
              <w:rPr>
                <w:strike/>
                <w:color w:val="000000" w:themeColor="text1"/>
              </w:rPr>
              <w:t> К,</w:t>
            </w:r>
          </w:p>
          <w:tbl>
            <w:tblPr>
              <w:tblW w:w="5000" w:type="pct"/>
              <w:jc w:val="center"/>
              <w:tblCellMar>
                <w:left w:w="0" w:type="dxa"/>
                <w:right w:w="0" w:type="dxa"/>
              </w:tblCellMar>
              <w:tblLook w:val="04A0" w:firstRow="1" w:lastRow="0" w:firstColumn="1" w:lastColumn="0" w:noHBand="0" w:noVBand="1"/>
            </w:tblPr>
            <w:tblGrid>
              <w:gridCol w:w="474"/>
              <w:gridCol w:w="419"/>
              <w:gridCol w:w="466"/>
              <w:gridCol w:w="5937"/>
            </w:tblGrid>
            <w:tr w:rsidR="00380C11" w:rsidRPr="00380C11" w:rsidTr="00984D64">
              <w:trPr>
                <w:jc w:val="center"/>
              </w:trPr>
              <w:tc>
                <w:tcPr>
                  <w:tcW w:w="585" w:type="dxa"/>
                  <w:tcBorders>
                    <w:top w:val="single" w:sz="2" w:space="0" w:color="auto"/>
                    <w:left w:val="single" w:sz="2" w:space="0" w:color="auto"/>
                    <w:bottom w:val="single" w:sz="2" w:space="0" w:color="auto"/>
                    <w:right w:val="single" w:sz="2" w:space="0" w:color="auto"/>
                  </w:tcBorders>
                  <w:hideMark/>
                </w:tcPr>
                <w:p w:rsidR="00380C11" w:rsidRPr="00380C11" w:rsidRDefault="00380C11" w:rsidP="00984D64">
                  <w:pPr>
                    <w:pStyle w:val="rvps11"/>
                    <w:spacing w:before="0" w:beforeAutospacing="0" w:after="0" w:afterAutospacing="0"/>
                    <w:jc w:val="right"/>
                    <w:rPr>
                      <w:strike/>
                      <w:color w:val="000000" w:themeColor="text1"/>
                    </w:rPr>
                  </w:pPr>
                  <w:r w:rsidRPr="00380C11">
                    <w:rPr>
                      <w:strike/>
                      <w:color w:val="000000" w:themeColor="text1"/>
                    </w:rPr>
                    <w:t>де</w:t>
                  </w:r>
                </w:p>
              </w:tc>
              <w:tc>
                <w:tcPr>
                  <w:tcW w:w="480" w:type="dxa"/>
                  <w:tcBorders>
                    <w:top w:val="single" w:sz="2" w:space="0" w:color="auto"/>
                    <w:left w:val="single" w:sz="2" w:space="0" w:color="auto"/>
                    <w:bottom w:val="single" w:sz="2" w:space="0" w:color="auto"/>
                    <w:right w:val="single" w:sz="2" w:space="0" w:color="auto"/>
                  </w:tcBorders>
                  <w:hideMark/>
                </w:tcPr>
                <w:p w:rsidR="00380C11" w:rsidRPr="00380C11" w:rsidRDefault="00380C11" w:rsidP="00984D64">
                  <w:pPr>
                    <w:pStyle w:val="rvps12"/>
                    <w:spacing w:before="0" w:beforeAutospacing="0" w:after="0" w:afterAutospacing="0"/>
                    <w:jc w:val="center"/>
                    <w:rPr>
                      <w:strike/>
                      <w:color w:val="000000" w:themeColor="text1"/>
                    </w:rPr>
                  </w:pPr>
                  <w:r w:rsidRPr="00380C11">
                    <w:rPr>
                      <w:strike/>
                      <w:color w:val="000000" w:themeColor="text1"/>
                    </w:rPr>
                    <w:t>В</w:t>
                  </w:r>
                </w:p>
              </w:tc>
              <w:tc>
                <w:tcPr>
                  <w:tcW w:w="645" w:type="dxa"/>
                  <w:tcBorders>
                    <w:top w:val="single" w:sz="2" w:space="0" w:color="auto"/>
                    <w:left w:val="single" w:sz="2" w:space="0" w:color="auto"/>
                    <w:bottom w:val="single" w:sz="2" w:space="0" w:color="auto"/>
                    <w:right w:val="single" w:sz="2" w:space="0" w:color="auto"/>
                  </w:tcBorders>
                  <w:hideMark/>
                </w:tcPr>
                <w:p w:rsidR="00380C11" w:rsidRPr="00380C11" w:rsidRDefault="00380C11" w:rsidP="00984D64">
                  <w:pPr>
                    <w:pStyle w:val="rvps12"/>
                    <w:spacing w:before="0" w:beforeAutospacing="0" w:after="0" w:afterAutospacing="0"/>
                    <w:jc w:val="center"/>
                    <w:rPr>
                      <w:strike/>
                      <w:color w:val="000000" w:themeColor="text1"/>
                    </w:rPr>
                  </w:pPr>
                  <w:r w:rsidRPr="00380C11">
                    <w:rPr>
                      <w:strike/>
                      <w:color w:val="000000" w:themeColor="text1"/>
                    </w:rPr>
                    <w:t>-</w:t>
                  </w:r>
                </w:p>
              </w:tc>
              <w:tc>
                <w:tcPr>
                  <w:tcW w:w="7980" w:type="dxa"/>
                  <w:tcBorders>
                    <w:top w:val="single" w:sz="2" w:space="0" w:color="auto"/>
                    <w:left w:val="single" w:sz="2" w:space="0" w:color="auto"/>
                    <w:bottom w:val="single" w:sz="2" w:space="0" w:color="auto"/>
                    <w:right w:val="single" w:sz="2" w:space="0" w:color="auto"/>
                  </w:tcBorders>
                  <w:hideMark/>
                </w:tcPr>
                <w:p w:rsidR="00380C11" w:rsidRPr="00380C11" w:rsidRDefault="00380C11" w:rsidP="00984D64">
                  <w:pPr>
                    <w:pStyle w:val="rvps14"/>
                    <w:spacing w:before="0" w:beforeAutospacing="0" w:after="0" w:afterAutospacing="0"/>
                    <w:rPr>
                      <w:strike/>
                      <w:color w:val="000000" w:themeColor="text1"/>
                    </w:rPr>
                  </w:pPr>
                  <w:r w:rsidRPr="00380C11">
                    <w:rPr>
                      <w:strike/>
                      <w:color w:val="000000" w:themeColor="text1"/>
                    </w:rPr>
                    <w:t>вартість природного газу, яка компенсується Оператору ГРМ;</w:t>
                  </w:r>
                </w:p>
              </w:tc>
            </w:tr>
            <w:tr w:rsidR="00380C11" w:rsidRPr="00380C11" w:rsidTr="00984D64">
              <w:trPr>
                <w:jc w:val="center"/>
              </w:trPr>
              <w:tc>
                <w:tcPr>
                  <w:tcW w:w="585" w:type="dxa"/>
                  <w:tcBorders>
                    <w:top w:val="single" w:sz="2" w:space="0" w:color="auto"/>
                    <w:left w:val="single" w:sz="2" w:space="0" w:color="auto"/>
                    <w:bottom w:val="single" w:sz="2" w:space="0" w:color="auto"/>
                    <w:right w:val="single" w:sz="2" w:space="0" w:color="auto"/>
                  </w:tcBorders>
                  <w:hideMark/>
                </w:tcPr>
                <w:p w:rsidR="00380C11" w:rsidRPr="00380C11" w:rsidRDefault="00380C11" w:rsidP="00984D64">
                  <w:pPr>
                    <w:spacing w:after="0"/>
                    <w:rPr>
                      <w:rFonts w:ascii="Times New Roman" w:hAnsi="Times New Roman" w:cs="Times New Roman"/>
                      <w:strike/>
                      <w:color w:val="000000" w:themeColor="text1"/>
                      <w:sz w:val="24"/>
                      <w:szCs w:val="24"/>
                    </w:rPr>
                  </w:pPr>
                </w:p>
              </w:tc>
              <w:tc>
                <w:tcPr>
                  <w:tcW w:w="480" w:type="dxa"/>
                  <w:tcBorders>
                    <w:top w:val="single" w:sz="2" w:space="0" w:color="auto"/>
                    <w:left w:val="single" w:sz="2" w:space="0" w:color="auto"/>
                    <w:bottom w:val="single" w:sz="2" w:space="0" w:color="auto"/>
                    <w:right w:val="single" w:sz="2" w:space="0" w:color="auto"/>
                  </w:tcBorders>
                  <w:hideMark/>
                </w:tcPr>
                <w:p w:rsidR="00380C11" w:rsidRPr="00380C11" w:rsidRDefault="00380C11" w:rsidP="00984D64">
                  <w:pPr>
                    <w:pStyle w:val="rvps12"/>
                    <w:spacing w:before="0" w:beforeAutospacing="0" w:after="0" w:afterAutospacing="0"/>
                    <w:jc w:val="center"/>
                    <w:rPr>
                      <w:strike/>
                      <w:color w:val="000000" w:themeColor="text1"/>
                    </w:rPr>
                  </w:pPr>
                  <w:proofErr w:type="spellStart"/>
                  <w:r w:rsidRPr="00380C11">
                    <w:rPr>
                      <w:strike/>
                      <w:color w:val="000000" w:themeColor="text1"/>
                    </w:rPr>
                    <w:t>V</w:t>
                  </w:r>
                  <w:r w:rsidRPr="00380C11">
                    <w:rPr>
                      <w:rStyle w:val="rvts40"/>
                      <w:b/>
                      <w:bCs/>
                      <w:strike/>
                      <w:color w:val="000000" w:themeColor="text1"/>
                      <w:vertAlign w:val="subscript"/>
                    </w:rPr>
                    <w:t>ф</w:t>
                  </w:r>
                  <w:proofErr w:type="spellEnd"/>
                </w:p>
              </w:tc>
              <w:tc>
                <w:tcPr>
                  <w:tcW w:w="645" w:type="dxa"/>
                  <w:tcBorders>
                    <w:top w:val="single" w:sz="2" w:space="0" w:color="auto"/>
                    <w:left w:val="single" w:sz="2" w:space="0" w:color="auto"/>
                    <w:bottom w:val="single" w:sz="2" w:space="0" w:color="auto"/>
                    <w:right w:val="single" w:sz="2" w:space="0" w:color="auto"/>
                  </w:tcBorders>
                  <w:hideMark/>
                </w:tcPr>
                <w:p w:rsidR="00380C11" w:rsidRPr="00380C11" w:rsidRDefault="00380C11" w:rsidP="00984D64">
                  <w:pPr>
                    <w:pStyle w:val="rvps12"/>
                    <w:spacing w:before="0" w:beforeAutospacing="0" w:after="0" w:afterAutospacing="0"/>
                    <w:jc w:val="center"/>
                    <w:rPr>
                      <w:strike/>
                      <w:color w:val="000000" w:themeColor="text1"/>
                    </w:rPr>
                  </w:pPr>
                  <w:r w:rsidRPr="00380C11">
                    <w:rPr>
                      <w:strike/>
                      <w:color w:val="000000" w:themeColor="text1"/>
                    </w:rPr>
                    <w:t>-</w:t>
                  </w:r>
                </w:p>
              </w:tc>
              <w:tc>
                <w:tcPr>
                  <w:tcW w:w="7980" w:type="dxa"/>
                  <w:tcBorders>
                    <w:top w:val="single" w:sz="2" w:space="0" w:color="auto"/>
                    <w:left w:val="single" w:sz="2" w:space="0" w:color="auto"/>
                    <w:bottom w:val="single" w:sz="2" w:space="0" w:color="auto"/>
                    <w:right w:val="single" w:sz="2" w:space="0" w:color="auto"/>
                  </w:tcBorders>
                  <w:hideMark/>
                </w:tcPr>
                <w:p w:rsidR="00380C11" w:rsidRPr="00380C11" w:rsidRDefault="00380C11" w:rsidP="00984D64">
                  <w:pPr>
                    <w:pStyle w:val="rvps14"/>
                    <w:spacing w:before="0" w:beforeAutospacing="0" w:after="0" w:afterAutospacing="0"/>
                    <w:rPr>
                      <w:strike/>
                      <w:color w:val="000000" w:themeColor="text1"/>
                    </w:rPr>
                  </w:pPr>
                  <w:r w:rsidRPr="00380C11">
                    <w:rPr>
                      <w:strike/>
                      <w:color w:val="000000" w:themeColor="text1"/>
                    </w:rPr>
                    <w:t>об’єм (обсяг) природного газу, фактично спожитий споживачем за період відсутності споживача в Реєстрі споживачів будь-якого постачальника;</w:t>
                  </w:r>
                </w:p>
              </w:tc>
            </w:tr>
            <w:tr w:rsidR="00380C11" w:rsidRPr="00380C11" w:rsidTr="00984D64">
              <w:trPr>
                <w:jc w:val="center"/>
              </w:trPr>
              <w:tc>
                <w:tcPr>
                  <w:tcW w:w="585" w:type="dxa"/>
                  <w:tcBorders>
                    <w:top w:val="single" w:sz="2" w:space="0" w:color="auto"/>
                    <w:left w:val="single" w:sz="2" w:space="0" w:color="auto"/>
                    <w:bottom w:val="single" w:sz="2" w:space="0" w:color="auto"/>
                    <w:right w:val="single" w:sz="2" w:space="0" w:color="auto"/>
                  </w:tcBorders>
                  <w:hideMark/>
                </w:tcPr>
                <w:p w:rsidR="00380C11" w:rsidRPr="00380C11" w:rsidRDefault="00380C11" w:rsidP="00984D64">
                  <w:pPr>
                    <w:spacing w:after="0"/>
                    <w:rPr>
                      <w:rFonts w:ascii="Times New Roman" w:hAnsi="Times New Roman" w:cs="Times New Roman"/>
                      <w:strike/>
                      <w:color w:val="000000" w:themeColor="text1"/>
                      <w:sz w:val="24"/>
                      <w:szCs w:val="24"/>
                    </w:rPr>
                  </w:pPr>
                </w:p>
              </w:tc>
              <w:tc>
                <w:tcPr>
                  <w:tcW w:w="480" w:type="dxa"/>
                  <w:tcBorders>
                    <w:top w:val="single" w:sz="2" w:space="0" w:color="auto"/>
                    <w:left w:val="single" w:sz="2" w:space="0" w:color="auto"/>
                    <w:bottom w:val="single" w:sz="2" w:space="0" w:color="auto"/>
                    <w:right w:val="single" w:sz="2" w:space="0" w:color="auto"/>
                  </w:tcBorders>
                  <w:hideMark/>
                </w:tcPr>
                <w:p w:rsidR="00380C11" w:rsidRPr="00380C11" w:rsidRDefault="00380C11" w:rsidP="00984D64">
                  <w:pPr>
                    <w:pStyle w:val="rvps12"/>
                    <w:spacing w:before="0" w:beforeAutospacing="0" w:after="0" w:afterAutospacing="0"/>
                    <w:jc w:val="center"/>
                    <w:rPr>
                      <w:strike/>
                      <w:color w:val="000000" w:themeColor="text1"/>
                    </w:rPr>
                  </w:pPr>
                  <w:r w:rsidRPr="00380C11">
                    <w:rPr>
                      <w:strike/>
                      <w:color w:val="000000" w:themeColor="text1"/>
                    </w:rPr>
                    <w:t>Ц</w:t>
                  </w:r>
                </w:p>
              </w:tc>
              <w:tc>
                <w:tcPr>
                  <w:tcW w:w="645" w:type="dxa"/>
                  <w:tcBorders>
                    <w:top w:val="single" w:sz="2" w:space="0" w:color="auto"/>
                    <w:left w:val="single" w:sz="2" w:space="0" w:color="auto"/>
                    <w:bottom w:val="single" w:sz="2" w:space="0" w:color="auto"/>
                    <w:right w:val="single" w:sz="2" w:space="0" w:color="auto"/>
                  </w:tcBorders>
                  <w:hideMark/>
                </w:tcPr>
                <w:p w:rsidR="00380C11" w:rsidRPr="00380C11" w:rsidRDefault="00380C11" w:rsidP="00984D64">
                  <w:pPr>
                    <w:pStyle w:val="rvps12"/>
                    <w:spacing w:before="0" w:beforeAutospacing="0" w:after="0" w:afterAutospacing="0"/>
                    <w:jc w:val="center"/>
                    <w:rPr>
                      <w:strike/>
                      <w:color w:val="000000" w:themeColor="text1"/>
                    </w:rPr>
                  </w:pPr>
                  <w:r w:rsidRPr="00380C11">
                    <w:rPr>
                      <w:strike/>
                      <w:color w:val="000000" w:themeColor="text1"/>
                    </w:rPr>
                    <w:t>-</w:t>
                  </w:r>
                </w:p>
              </w:tc>
              <w:tc>
                <w:tcPr>
                  <w:tcW w:w="7980" w:type="dxa"/>
                  <w:tcBorders>
                    <w:top w:val="single" w:sz="2" w:space="0" w:color="auto"/>
                    <w:left w:val="single" w:sz="2" w:space="0" w:color="auto"/>
                    <w:bottom w:val="single" w:sz="2" w:space="0" w:color="auto"/>
                    <w:right w:val="single" w:sz="2" w:space="0" w:color="auto"/>
                  </w:tcBorders>
                  <w:hideMark/>
                </w:tcPr>
                <w:p w:rsidR="00380C11" w:rsidRPr="00380C11" w:rsidRDefault="00380C11" w:rsidP="00984D64">
                  <w:pPr>
                    <w:pStyle w:val="rvps14"/>
                    <w:spacing w:before="0" w:beforeAutospacing="0" w:after="0" w:afterAutospacing="0"/>
                    <w:rPr>
                      <w:strike/>
                      <w:color w:val="000000" w:themeColor="text1"/>
                    </w:rPr>
                  </w:pPr>
                  <w:r w:rsidRPr="00380C11">
                    <w:rPr>
                      <w:strike/>
                      <w:color w:val="000000" w:themeColor="text1"/>
                    </w:rPr>
                    <w:t xml:space="preserve">ціна природного газу, використаного Оператором ГРМ для покриття втрат і виробничо-технологічних витрат природного газу в ГРМ у відповідний період. Оператор ГРМ щомісячно публікує на своєму </w:t>
                  </w:r>
                  <w:proofErr w:type="spellStart"/>
                  <w:r w:rsidRPr="00380C11">
                    <w:rPr>
                      <w:strike/>
                      <w:color w:val="000000" w:themeColor="text1"/>
                    </w:rPr>
                    <w:t>вебсайті</w:t>
                  </w:r>
                  <w:proofErr w:type="spellEnd"/>
                  <w:r w:rsidRPr="00380C11">
                    <w:rPr>
                      <w:strike/>
                      <w:color w:val="000000" w:themeColor="text1"/>
                    </w:rPr>
                    <w:t xml:space="preserve"> інформацію про таку ціну та період її дії;</w:t>
                  </w:r>
                </w:p>
              </w:tc>
            </w:tr>
            <w:tr w:rsidR="00380C11" w:rsidRPr="00380C11" w:rsidTr="00984D64">
              <w:trPr>
                <w:jc w:val="center"/>
              </w:trPr>
              <w:tc>
                <w:tcPr>
                  <w:tcW w:w="9690" w:type="dxa"/>
                  <w:gridSpan w:val="4"/>
                  <w:tcBorders>
                    <w:top w:val="single" w:sz="2" w:space="0" w:color="auto"/>
                    <w:left w:val="single" w:sz="2" w:space="0" w:color="auto"/>
                    <w:bottom w:val="single" w:sz="2" w:space="0" w:color="auto"/>
                    <w:right w:val="single" w:sz="2" w:space="0" w:color="auto"/>
                  </w:tcBorders>
                  <w:hideMark/>
                </w:tcPr>
                <w:p w:rsidR="00380C11" w:rsidRPr="00380C11" w:rsidRDefault="00380C11" w:rsidP="00984D64">
                  <w:pPr>
                    <w:pStyle w:val="rvps2"/>
                    <w:spacing w:before="0" w:beforeAutospacing="0" w:after="0" w:afterAutospacing="0"/>
                    <w:jc w:val="both"/>
                    <w:rPr>
                      <w:strike/>
                      <w:color w:val="000000" w:themeColor="text1"/>
                    </w:rPr>
                  </w:pPr>
                </w:p>
              </w:tc>
            </w:tr>
            <w:tr w:rsidR="00380C11" w:rsidRPr="00380C11" w:rsidTr="00984D64">
              <w:trPr>
                <w:trHeight w:val="570"/>
                <w:jc w:val="center"/>
              </w:trPr>
              <w:tc>
                <w:tcPr>
                  <w:tcW w:w="585" w:type="dxa"/>
                  <w:tcBorders>
                    <w:top w:val="single" w:sz="2" w:space="0" w:color="auto"/>
                    <w:left w:val="single" w:sz="2" w:space="0" w:color="auto"/>
                    <w:bottom w:val="single" w:sz="2" w:space="0" w:color="auto"/>
                    <w:right w:val="single" w:sz="2" w:space="0" w:color="auto"/>
                  </w:tcBorders>
                  <w:hideMark/>
                </w:tcPr>
                <w:p w:rsidR="00380C11" w:rsidRPr="00380C11" w:rsidRDefault="00380C11" w:rsidP="00984D64">
                  <w:pPr>
                    <w:spacing w:after="0"/>
                    <w:rPr>
                      <w:rFonts w:ascii="Times New Roman" w:hAnsi="Times New Roman" w:cs="Times New Roman"/>
                      <w:strike/>
                      <w:color w:val="000000" w:themeColor="text1"/>
                      <w:sz w:val="24"/>
                      <w:szCs w:val="24"/>
                    </w:rPr>
                  </w:pPr>
                </w:p>
              </w:tc>
              <w:tc>
                <w:tcPr>
                  <w:tcW w:w="480" w:type="dxa"/>
                  <w:tcBorders>
                    <w:top w:val="single" w:sz="2" w:space="0" w:color="auto"/>
                    <w:left w:val="single" w:sz="2" w:space="0" w:color="auto"/>
                    <w:bottom w:val="single" w:sz="2" w:space="0" w:color="auto"/>
                    <w:right w:val="single" w:sz="2" w:space="0" w:color="auto"/>
                  </w:tcBorders>
                  <w:hideMark/>
                </w:tcPr>
                <w:p w:rsidR="00380C11" w:rsidRPr="00380C11" w:rsidRDefault="00380C11" w:rsidP="00984D64">
                  <w:pPr>
                    <w:pStyle w:val="rvps12"/>
                    <w:spacing w:before="0" w:beforeAutospacing="0" w:after="0" w:afterAutospacing="0"/>
                    <w:jc w:val="center"/>
                    <w:rPr>
                      <w:strike/>
                      <w:color w:val="000000" w:themeColor="text1"/>
                    </w:rPr>
                  </w:pPr>
                  <w:r w:rsidRPr="00380C11">
                    <w:rPr>
                      <w:strike/>
                      <w:color w:val="000000" w:themeColor="text1"/>
                    </w:rPr>
                    <w:t>К</w:t>
                  </w:r>
                </w:p>
              </w:tc>
              <w:tc>
                <w:tcPr>
                  <w:tcW w:w="645" w:type="dxa"/>
                  <w:tcBorders>
                    <w:top w:val="single" w:sz="2" w:space="0" w:color="auto"/>
                    <w:left w:val="single" w:sz="2" w:space="0" w:color="auto"/>
                    <w:bottom w:val="single" w:sz="2" w:space="0" w:color="auto"/>
                    <w:right w:val="single" w:sz="2" w:space="0" w:color="auto"/>
                  </w:tcBorders>
                  <w:hideMark/>
                </w:tcPr>
                <w:p w:rsidR="00380C11" w:rsidRPr="00380C11" w:rsidRDefault="00380C11" w:rsidP="00984D64">
                  <w:pPr>
                    <w:pStyle w:val="rvps12"/>
                    <w:spacing w:before="0" w:beforeAutospacing="0" w:after="0" w:afterAutospacing="0"/>
                    <w:jc w:val="center"/>
                    <w:rPr>
                      <w:strike/>
                      <w:color w:val="000000" w:themeColor="text1"/>
                    </w:rPr>
                  </w:pPr>
                  <w:r w:rsidRPr="00380C11">
                    <w:rPr>
                      <w:strike/>
                      <w:color w:val="000000" w:themeColor="text1"/>
                    </w:rPr>
                    <w:t>-</w:t>
                  </w:r>
                </w:p>
              </w:tc>
              <w:tc>
                <w:tcPr>
                  <w:tcW w:w="7980" w:type="dxa"/>
                  <w:tcBorders>
                    <w:top w:val="single" w:sz="2" w:space="0" w:color="auto"/>
                    <w:left w:val="single" w:sz="2" w:space="0" w:color="auto"/>
                    <w:bottom w:val="single" w:sz="2" w:space="0" w:color="auto"/>
                    <w:right w:val="single" w:sz="2" w:space="0" w:color="auto"/>
                  </w:tcBorders>
                  <w:hideMark/>
                </w:tcPr>
                <w:p w:rsidR="00380C11" w:rsidRPr="00380C11" w:rsidRDefault="00380C11" w:rsidP="00984D64">
                  <w:pPr>
                    <w:pStyle w:val="rvps14"/>
                    <w:spacing w:before="0" w:beforeAutospacing="0" w:after="0" w:afterAutospacing="0"/>
                    <w:rPr>
                      <w:strike/>
                      <w:color w:val="000000" w:themeColor="text1"/>
                    </w:rPr>
                  </w:pPr>
                  <w:r w:rsidRPr="00380C11">
                    <w:rPr>
                      <w:strike/>
                      <w:color w:val="000000" w:themeColor="text1"/>
                    </w:rPr>
                    <w:t>коефіцієнт компенсації, який визначається на рівні 1,5.</w:t>
                  </w:r>
                </w:p>
              </w:tc>
            </w:tr>
          </w:tbl>
          <w:p w:rsidR="00150AAF" w:rsidRPr="00DB585C" w:rsidRDefault="00380C11" w:rsidP="00380C11">
            <w:pPr>
              <w:spacing w:line="20" w:lineRule="atLeast"/>
              <w:ind w:firstLine="709"/>
              <w:jc w:val="both"/>
              <w:rPr>
                <w:rFonts w:ascii="Times New Roman" w:hAnsi="Times New Roman" w:cs="Times New Roman"/>
                <w:b/>
                <w:sz w:val="24"/>
                <w:szCs w:val="24"/>
              </w:rPr>
            </w:pPr>
            <w:r w:rsidRPr="00380C11">
              <w:rPr>
                <w:rFonts w:ascii="Times New Roman" w:hAnsi="Times New Roman" w:cs="Times New Roman"/>
                <w:strike/>
                <w:color w:val="000000" w:themeColor="text1"/>
                <w:sz w:val="24"/>
                <w:szCs w:val="24"/>
              </w:rPr>
              <w:lastRenderedPageBreak/>
              <w:t>При цьому якщо неврегульований небаланс станеться внаслідок відмови в доступі до об’єкта споживача для здійснення Оператором ГРМ припинення розподілу природного газу або внаслідок невиконання споживачем письмової вимоги Оператора ГРМ самостійно припинити (обмежити) споживання природного газу, коефіцієнт компенсації має становити 2.</w:t>
            </w:r>
          </w:p>
        </w:tc>
      </w:tr>
      <w:tr w:rsidR="00150AAF" w:rsidTr="00E03B4F">
        <w:trPr>
          <w:trHeight w:val="508"/>
        </w:trPr>
        <w:tc>
          <w:tcPr>
            <w:tcW w:w="7508" w:type="dxa"/>
          </w:tcPr>
          <w:p w:rsidR="00150AAF" w:rsidRPr="00380C11" w:rsidRDefault="00150AAF" w:rsidP="00380C11">
            <w:pPr>
              <w:shd w:val="clear" w:color="auto" w:fill="FFFFFF"/>
              <w:tabs>
                <w:tab w:val="left" w:pos="646"/>
              </w:tabs>
              <w:jc w:val="center"/>
              <w:textAlignment w:val="baseline"/>
              <w:rPr>
                <w:rFonts w:ascii="Times New Roman" w:hAnsi="Times New Roman" w:cs="Times New Roman"/>
                <w:b/>
                <w:color w:val="000000"/>
                <w:sz w:val="24"/>
                <w:szCs w:val="20"/>
                <w:shd w:val="clear" w:color="auto" w:fill="FFFFFF"/>
              </w:rPr>
            </w:pPr>
            <w:r w:rsidRPr="00D710EB">
              <w:rPr>
                <w:rFonts w:ascii="Times New Roman" w:hAnsi="Times New Roman" w:cs="Times New Roman"/>
                <w:b/>
                <w:color w:val="000000"/>
                <w:sz w:val="24"/>
                <w:szCs w:val="20"/>
                <w:shd w:val="clear" w:color="auto" w:fill="FFFFFF"/>
              </w:rPr>
              <w:lastRenderedPageBreak/>
              <w:t>XI. Порядок перерахунку (донарахування) або зміни режиму нарахування об’ємів природного газу у разі виявлення порушень вимог цього Кодексу</w:t>
            </w:r>
          </w:p>
        </w:tc>
        <w:tc>
          <w:tcPr>
            <w:tcW w:w="7518" w:type="dxa"/>
          </w:tcPr>
          <w:p w:rsidR="00150AAF" w:rsidRPr="00380C11" w:rsidRDefault="00150AAF" w:rsidP="00380C11">
            <w:pPr>
              <w:shd w:val="clear" w:color="auto" w:fill="FFFFFF"/>
              <w:tabs>
                <w:tab w:val="left" w:pos="646"/>
              </w:tabs>
              <w:jc w:val="center"/>
              <w:textAlignment w:val="baseline"/>
              <w:rPr>
                <w:rFonts w:ascii="Times New Roman" w:hAnsi="Times New Roman" w:cs="Times New Roman"/>
                <w:b/>
                <w:color w:val="000000"/>
                <w:sz w:val="24"/>
                <w:szCs w:val="20"/>
                <w:shd w:val="clear" w:color="auto" w:fill="FFFFFF"/>
              </w:rPr>
            </w:pPr>
            <w:r w:rsidRPr="00D710EB">
              <w:rPr>
                <w:rFonts w:ascii="Times New Roman" w:hAnsi="Times New Roman" w:cs="Times New Roman"/>
                <w:b/>
                <w:color w:val="000000"/>
                <w:sz w:val="24"/>
                <w:szCs w:val="20"/>
                <w:shd w:val="clear" w:color="auto" w:fill="FFFFFF"/>
              </w:rPr>
              <w:t>XI. Порядок перерахунку (донарахування) або зміни режиму нарахування об’ємів природного газу у разі виявлення порушень вимог цього Кодексу</w:t>
            </w:r>
          </w:p>
        </w:tc>
      </w:tr>
      <w:tr w:rsidR="00150AAF" w:rsidTr="00E03B4F">
        <w:trPr>
          <w:trHeight w:val="508"/>
        </w:trPr>
        <w:tc>
          <w:tcPr>
            <w:tcW w:w="7508" w:type="dxa"/>
          </w:tcPr>
          <w:p w:rsidR="00150AAF" w:rsidRPr="00E72645" w:rsidRDefault="00150AAF" w:rsidP="00380C11">
            <w:pPr>
              <w:shd w:val="clear" w:color="auto" w:fill="FFFFFF"/>
              <w:ind w:firstLine="709"/>
              <w:jc w:val="both"/>
              <w:textAlignment w:val="baseline"/>
              <w:rPr>
                <w:rFonts w:ascii="Times New Roman" w:hAnsi="Times New Roman" w:cs="Times New Roman"/>
                <w:b/>
                <w:color w:val="000000"/>
                <w:sz w:val="24"/>
                <w:szCs w:val="20"/>
                <w:shd w:val="clear" w:color="auto" w:fill="FFFFFF"/>
              </w:rPr>
            </w:pPr>
            <w:r w:rsidRPr="00E72645">
              <w:rPr>
                <w:rFonts w:ascii="Times New Roman" w:hAnsi="Times New Roman" w:cs="Times New Roman"/>
                <w:b/>
                <w:color w:val="000000"/>
                <w:sz w:val="24"/>
                <w:szCs w:val="20"/>
                <w:shd w:val="clear" w:color="auto" w:fill="FFFFFF"/>
              </w:rPr>
              <w:t>2. Види порушень, внаслідок яких здійснюється перерахунок (донарахування) об’ємів природного газу або зміна їх режиму нарахування</w:t>
            </w:r>
          </w:p>
        </w:tc>
        <w:tc>
          <w:tcPr>
            <w:tcW w:w="7518" w:type="dxa"/>
          </w:tcPr>
          <w:p w:rsidR="00150AAF" w:rsidRPr="003F175A" w:rsidRDefault="00150AAF" w:rsidP="00380C11">
            <w:pPr>
              <w:shd w:val="clear" w:color="auto" w:fill="FFFFFF"/>
              <w:ind w:firstLine="709"/>
              <w:jc w:val="both"/>
              <w:textAlignment w:val="baseline"/>
              <w:rPr>
                <w:rFonts w:ascii="Times New Roman" w:hAnsi="Times New Roman" w:cs="Times New Roman"/>
                <w:b/>
                <w:color w:val="000000"/>
                <w:sz w:val="24"/>
                <w:szCs w:val="20"/>
                <w:shd w:val="clear" w:color="auto" w:fill="FFFFFF"/>
              </w:rPr>
            </w:pPr>
            <w:r w:rsidRPr="003F175A">
              <w:rPr>
                <w:rFonts w:ascii="Times New Roman" w:hAnsi="Times New Roman" w:cs="Times New Roman"/>
                <w:b/>
                <w:color w:val="000000"/>
                <w:sz w:val="24"/>
                <w:szCs w:val="20"/>
                <w:shd w:val="clear" w:color="auto" w:fill="FFFFFF"/>
              </w:rPr>
              <w:t>2. Види порушень, внаслідок яких здійснюється перерахунок (донарахування) об’ємів природного газу або зміна їх режиму нарахування</w:t>
            </w:r>
          </w:p>
        </w:tc>
      </w:tr>
      <w:tr w:rsidR="00150AAF" w:rsidTr="00E03B4F">
        <w:trPr>
          <w:trHeight w:val="508"/>
        </w:trPr>
        <w:tc>
          <w:tcPr>
            <w:tcW w:w="7508" w:type="dxa"/>
          </w:tcPr>
          <w:p w:rsidR="00150AAF" w:rsidRPr="00D710EB" w:rsidRDefault="00150AAF" w:rsidP="00380C11">
            <w:pPr>
              <w:shd w:val="clear" w:color="auto" w:fill="FFFFFF"/>
              <w:ind w:firstLine="709"/>
              <w:jc w:val="both"/>
              <w:textAlignment w:val="baseline"/>
              <w:rPr>
                <w:rFonts w:ascii="Times New Roman" w:hAnsi="Times New Roman" w:cs="Times New Roman"/>
                <w:color w:val="000000"/>
                <w:sz w:val="24"/>
                <w:szCs w:val="20"/>
                <w:shd w:val="clear" w:color="auto" w:fill="FFFFFF"/>
              </w:rPr>
            </w:pPr>
            <w:r w:rsidRPr="00D710EB">
              <w:rPr>
                <w:rFonts w:ascii="Times New Roman" w:hAnsi="Times New Roman" w:cs="Times New Roman"/>
                <w:color w:val="000000"/>
                <w:sz w:val="24"/>
                <w:szCs w:val="20"/>
                <w:shd w:val="clear" w:color="auto" w:fill="FFFFFF"/>
              </w:rPr>
              <w:t>1. До порушень споживача та несанкціонованого споживача, які кваліфікуються як несанкціонований відбір природного газу з ГРМ (</w:t>
            </w:r>
            <w:r w:rsidRPr="0041734A">
              <w:rPr>
                <w:rFonts w:ascii="Times New Roman" w:hAnsi="Times New Roman" w:cs="Times New Roman"/>
                <w:i/>
                <w:color w:val="000000"/>
                <w:sz w:val="24"/>
                <w:szCs w:val="20"/>
                <w:shd w:val="clear" w:color="auto" w:fill="FFFFFF"/>
              </w:rPr>
              <w:t>крадіжка газу</w:t>
            </w:r>
            <w:r w:rsidRPr="00D710EB">
              <w:rPr>
                <w:rFonts w:ascii="Times New Roman" w:hAnsi="Times New Roman" w:cs="Times New Roman"/>
                <w:color w:val="000000"/>
                <w:sz w:val="24"/>
                <w:szCs w:val="20"/>
                <w:shd w:val="clear" w:color="auto" w:fill="FFFFFF"/>
              </w:rPr>
              <w:t>) та внаслідок яких щодо них здійснюється нарахування необлікованих об’ємів (обсягів) природного газу, належать:</w:t>
            </w:r>
          </w:p>
          <w:p w:rsidR="00150AAF" w:rsidRPr="00D710EB" w:rsidRDefault="00150AAF" w:rsidP="00C90F06">
            <w:pPr>
              <w:shd w:val="clear" w:color="auto" w:fill="FFFFFF"/>
              <w:ind w:firstLine="709"/>
              <w:jc w:val="both"/>
              <w:textAlignment w:val="baseline"/>
              <w:rPr>
                <w:rFonts w:ascii="Times New Roman" w:hAnsi="Times New Roman" w:cs="Times New Roman"/>
                <w:color w:val="000000"/>
                <w:sz w:val="24"/>
                <w:szCs w:val="20"/>
                <w:shd w:val="clear" w:color="auto" w:fill="FFFFFF"/>
              </w:rPr>
            </w:pPr>
            <w:r>
              <w:rPr>
                <w:rFonts w:ascii="Times New Roman" w:hAnsi="Times New Roman" w:cs="Times New Roman"/>
                <w:color w:val="000000"/>
                <w:sz w:val="24"/>
                <w:szCs w:val="20"/>
                <w:shd w:val="clear" w:color="auto" w:fill="FFFFFF"/>
              </w:rPr>
              <w:t>…</w:t>
            </w:r>
          </w:p>
        </w:tc>
        <w:tc>
          <w:tcPr>
            <w:tcW w:w="7518" w:type="dxa"/>
          </w:tcPr>
          <w:p w:rsidR="00150AAF" w:rsidRDefault="00150AAF" w:rsidP="00380C11">
            <w:pPr>
              <w:shd w:val="clear" w:color="auto" w:fill="FFFFFF"/>
              <w:ind w:firstLine="709"/>
              <w:jc w:val="both"/>
              <w:textAlignment w:val="baseline"/>
              <w:rPr>
                <w:rFonts w:ascii="Times New Roman" w:hAnsi="Times New Roman" w:cs="Times New Roman"/>
                <w:color w:val="000000"/>
                <w:sz w:val="24"/>
                <w:szCs w:val="20"/>
                <w:shd w:val="clear" w:color="auto" w:fill="FFFFFF"/>
              </w:rPr>
            </w:pPr>
            <w:r w:rsidRPr="00D710EB">
              <w:rPr>
                <w:rFonts w:ascii="Times New Roman" w:hAnsi="Times New Roman" w:cs="Times New Roman"/>
                <w:color w:val="000000"/>
                <w:sz w:val="24"/>
                <w:szCs w:val="20"/>
                <w:shd w:val="clear" w:color="auto" w:fill="FFFFFF"/>
              </w:rPr>
              <w:t xml:space="preserve">1. До порушень споживача та несанкціонованого споживача, які кваліфікуються як несанкціонований відбір природного газу з ГРМ </w:t>
            </w:r>
            <w:r w:rsidRPr="00D710EB">
              <w:rPr>
                <w:rFonts w:ascii="Times New Roman" w:hAnsi="Times New Roman" w:cs="Times New Roman"/>
                <w:b/>
                <w:strike/>
                <w:color w:val="000000"/>
                <w:sz w:val="24"/>
                <w:szCs w:val="20"/>
                <w:shd w:val="clear" w:color="auto" w:fill="FFFFFF"/>
              </w:rPr>
              <w:t>(крадіжка газу)</w:t>
            </w:r>
            <w:r w:rsidRPr="00D710EB">
              <w:rPr>
                <w:rFonts w:ascii="Times New Roman" w:hAnsi="Times New Roman" w:cs="Times New Roman"/>
                <w:color w:val="000000"/>
                <w:sz w:val="24"/>
                <w:szCs w:val="20"/>
                <w:shd w:val="clear" w:color="auto" w:fill="FFFFFF"/>
              </w:rPr>
              <w:t xml:space="preserve"> та внаслідок яких щодо них здійснюється нарахування необлікованих об’ємів (обсягів) природного газу, належать:</w:t>
            </w:r>
          </w:p>
          <w:p w:rsidR="00150AAF" w:rsidRPr="00C90F06" w:rsidRDefault="00150AAF" w:rsidP="00C90F06">
            <w:pPr>
              <w:shd w:val="clear" w:color="auto" w:fill="FFFFFF"/>
              <w:ind w:firstLine="709"/>
              <w:jc w:val="both"/>
              <w:textAlignment w:val="baseline"/>
              <w:rPr>
                <w:rFonts w:ascii="Times New Roman" w:hAnsi="Times New Roman" w:cs="Times New Roman"/>
                <w:color w:val="000000"/>
                <w:sz w:val="24"/>
                <w:szCs w:val="20"/>
                <w:shd w:val="clear" w:color="auto" w:fill="FFFFFF"/>
              </w:rPr>
            </w:pPr>
            <w:r>
              <w:rPr>
                <w:rFonts w:ascii="Times New Roman" w:hAnsi="Times New Roman" w:cs="Times New Roman"/>
                <w:color w:val="000000"/>
                <w:sz w:val="24"/>
                <w:szCs w:val="20"/>
                <w:shd w:val="clear" w:color="auto" w:fill="FFFFFF"/>
              </w:rPr>
              <w:t>…</w:t>
            </w:r>
          </w:p>
        </w:tc>
      </w:tr>
      <w:tr w:rsidR="00150AAF" w:rsidTr="00E03B4F">
        <w:trPr>
          <w:trHeight w:val="508"/>
        </w:trPr>
        <w:tc>
          <w:tcPr>
            <w:tcW w:w="7508" w:type="dxa"/>
          </w:tcPr>
          <w:p w:rsidR="00150AAF" w:rsidRPr="003F175A" w:rsidRDefault="00150AAF" w:rsidP="00380C11">
            <w:pPr>
              <w:spacing w:line="20" w:lineRule="atLeast"/>
              <w:jc w:val="center"/>
              <w:rPr>
                <w:rFonts w:ascii="Times New Roman" w:hAnsi="Times New Roman" w:cs="Times New Roman"/>
                <w:b/>
                <w:sz w:val="24"/>
                <w:szCs w:val="24"/>
              </w:rPr>
            </w:pPr>
            <w:r w:rsidRPr="003F175A">
              <w:rPr>
                <w:rFonts w:ascii="Times New Roman" w:hAnsi="Times New Roman" w:cs="Times New Roman"/>
                <w:b/>
                <w:color w:val="000000"/>
                <w:sz w:val="24"/>
                <w:szCs w:val="24"/>
                <w:shd w:val="clear" w:color="auto" w:fill="FFFFFF"/>
              </w:rPr>
              <w:t>5. Порядок оформлення акта про порушення</w:t>
            </w:r>
          </w:p>
        </w:tc>
        <w:tc>
          <w:tcPr>
            <w:tcW w:w="7518" w:type="dxa"/>
          </w:tcPr>
          <w:p w:rsidR="00150AAF" w:rsidRPr="003F175A" w:rsidRDefault="00150AAF" w:rsidP="00380C11">
            <w:pPr>
              <w:spacing w:line="20" w:lineRule="atLeast"/>
              <w:jc w:val="center"/>
              <w:rPr>
                <w:rFonts w:ascii="Times New Roman" w:hAnsi="Times New Roman" w:cs="Times New Roman"/>
                <w:b/>
                <w:sz w:val="24"/>
                <w:szCs w:val="24"/>
              </w:rPr>
            </w:pPr>
            <w:r w:rsidRPr="003F175A">
              <w:rPr>
                <w:rFonts w:ascii="Times New Roman" w:hAnsi="Times New Roman" w:cs="Times New Roman"/>
                <w:b/>
                <w:color w:val="000000"/>
                <w:sz w:val="24"/>
                <w:szCs w:val="24"/>
                <w:shd w:val="clear" w:color="auto" w:fill="FFFFFF"/>
              </w:rPr>
              <w:t>5. Порядок оформлення акта про порушення</w:t>
            </w:r>
          </w:p>
        </w:tc>
      </w:tr>
      <w:tr w:rsidR="00150AAF" w:rsidTr="00E03B4F">
        <w:trPr>
          <w:trHeight w:val="508"/>
        </w:trPr>
        <w:tc>
          <w:tcPr>
            <w:tcW w:w="7508" w:type="dxa"/>
          </w:tcPr>
          <w:p w:rsidR="00150AAF" w:rsidRPr="003F175A" w:rsidRDefault="00150AAF" w:rsidP="00380C11">
            <w:pPr>
              <w:shd w:val="clear" w:color="auto" w:fill="FFFFFF"/>
              <w:ind w:firstLine="709"/>
              <w:jc w:val="both"/>
              <w:textAlignment w:val="baseline"/>
              <w:rPr>
                <w:rFonts w:ascii="Times New Roman" w:hAnsi="Times New Roman" w:cs="Times New Roman"/>
                <w:color w:val="000000"/>
                <w:sz w:val="24"/>
                <w:szCs w:val="24"/>
                <w:shd w:val="clear" w:color="auto" w:fill="FFFFFF"/>
              </w:rPr>
            </w:pPr>
            <w:r w:rsidRPr="003F175A">
              <w:rPr>
                <w:rFonts w:ascii="Times New Roman" w:hAnsi="Times New Roman" w:cs="Times New Roman"/>
                <w:color w:val="000000"/>
                <w:sz w:val="24"/>
                <w:szCs w:val="24"/>
                <w:shd w:val="clear" w:color="auto" w:fill="FFFFFF"/>
              </w:rPr>
              <w:t>11. За результатами розгляду акта про порушення на засіданні комісії може бути прийнято рішення про його задоволення (повністю або частково), або необхідність додаткового обстеження чи перевірки, або додаткових пояснень тощо, або скасування акта про порушення.</w:t>
            </w:r>
          </w:p>
          <w:p w:rsidR="00150AAF" w:rsidRPr="003F175A" w:rsidRDefault="00150AAF" w:rsidP="00380C11">
            <w:pPr>
              <w:shd w:val="clear" w:color="auto" w:fill="FFFFFF"/>
              <w:ind w:firstLine="709"/>
              <w:jc w:val="both"/>
              <w:textAlignment w:val="baseline"/>
              <w:rPr>
                <w:rFonts w:ascii="Times New Roman" w:hAnsi="Times New Roman" w:cs="Times New Roman"/>
                <w:color w:val="000000"/>
                <w:sz w:val="24"/>
                <w:szCs w:val="24"/>
                <w:shd w:val="clear" w:color="auto" w:fill="FFFFFF"/>
              </w:rPr>
            </w:pPr>
            <w:r w:rsidRPr="003F175A">
              <w:rPr>
                <w:rFonts w:ascii="Times New Roman" w:hAnsi="Times New Roman" w:cs="Times New Roman"/>
                <w:color w:val="000000"/>
                <w:sz w:val="24"/>
                <w:szCs w:val="24"/>
                <w:shd w:val="clear" w:color="auto" w:fill="FFFFFF"/>
              </w:rPr>
              <w:t>При задоволенні комісією акта про порушення складається акт-розрахунок необлікованого (донарахованого) об’єму та обсягу природного газу і його вартості.</w:t>
            </w:r>
          </w:p>
          <w:p w:rsidR="00150AAF" w:rsidRPr="003F175A" w:rsidRDefault="00150AAF" w:rsidP="00380C11">
            <w:pPr>
              <w:shd w:val="clear" w:color="auto" w:fill="FFFFFF"/>
              <w:ind w:firstLine="709"/>
              <w:jc w:val="both"/>
              <w:textAlignment w:val="baseline"/>
              <w:rPr>
                <w:rFonts w:ascii="Times New Roman" w:hAnsi="Times New Roman" w:cs="Times New Roman"/>
                <w:color w:val="000000"/>
                <w:sz w:val="24"/>
                <w:szCs w:val="24"/>
                <w:shd w:val="clear" w:color="auto" w:fill="FFFFFF"/>
              </w:rPr>
            </w:pPr>
            <w:r w:rsidRPr="003F175A">
              <w:rPr>
                <w:rFonts w:ascii="Times New Roman" w:hAnsi="Times New Roman" w:cs="Times New Roman"/>
                <w:color w:val="000000"/>
                <w:sz w:val="24"/>
                <w:szCs w:val="24"/>
                <w:shd w:val="clear" w:color="auto" w:fill="FFFFFF"/>
              </w:rPr>
              <w:t>При складанні акта-розрахунку враховується таке:</w:t>
            </w:r>
          </w:p>
          <w:p w:rsidR="00150AAF" w:rsidRPr="00380C11" w:rsidRDefault="00150AAF" w:rsidP="00380C11">
            <w:pPr>
              <w:shd w:val="clear" w:color="auto" w:fill="FFFFFF"/>
              <w:ind w:firstLine="709"/>
              <w:jc w:val="both"/>
              <w:textAlignment w:val="baseline"/>
              <w:rPr>
                <w:rFonts w:ascii="Times New Roman" w:hAnsi="Times New Roman" w:cs="Times New Roman"/>
                <w:i/>
                <w:color w:val="000000"/>
                <w:sz w:val="24"/>
                <w:szCs w:val="24"/>
                <w:shd w:val="clear" w:color="auto" w:fill="FFFFFF"/>
              </w:rPr>
            </w:pPr>
            <w:r w:rsidRPr="00380C11">
              <w:rPr>
                <w:rFonts w:ascii="Times New Roman" w:hAnsi="Times New Roman" w:cs="Times New Roman"/>
                <w:i/>
                <w:color w:val="000000"/>
                <w:sz w:val="24"/>
                <w:szCs w:val="24"/>
                <w:shd w:val="clear" w:color="auto" w:fill="FFFFFF"/>
              </w:rPr>
              <w:t xml:space="preserve">1) розрахований відповідно до вимог цього розділу необлікований (донарахований) об’єм природного газу, що припадає на період до 01 числа місяця, в якому прийнято рішення комісії щодо задоволення акта про порушення (тобто до закритого балансового періоду), не потребує коригування (включення до) закритих періодів, а його вартість в повному обсязі має бути компенсована споживачем (несанкціонованим споживачем) Оператору ГРМ. При цьому вартість природного газу визначається за цінами закупівлі </w:t>
            </w:r>
            <w:r w:rsidRPr="00380C11">
              <w:rPr>
                <w:rFonts w:ascii="Times New Roman" w:hAnsi="Times New Roman" w:cs="Times New Roman"/>
                <w:i/>
                <w:color w:val="000000"/>
                <w:sz w:val="24"/>
                <w:szCs w:val="24"/>
                <w:shd w:val="clear" w:color="auto" w:fill="FFFFFF"/>
              </w:rPr>
              <w:lastRenderedPageBreak/>
              <w:t>природного газу Оператором ГРМ протягом періоду необлікованого природного газу;</w:t>
            </w:r>
          </w:p>
          <w:p w:rsidR="00150AAF" w:rsidRPr="00380C11" w:rsidRDefault="00150AAF" w:rsidP="00380C11">
            <w:pPr>
              <w:shd w:val="clear" w:color="auto" w:fill="FFFFFF"/>
              <w:ind w:firstLine="709"/>
              <w:jc w:val="both"/>
              <w:textAlignment w:val="baseline"/>
              <w:rPr>
                <w:rFonts w:ascii="Times New Roman" w:hAnsi="Times New Roman" w:cs="Times New Roman"/>
                <w:i/>
                <w:color w:val="000000"/>
                <w:sz w:val="24"/>
                <w:szCs w:val="24"/>
                <w:shd w:val="clear" w:color="auto" w:fill="FFFFFF"/>
              </w:rPr>
            </w:pPr>
            <w:r w:rsidRPr="00380C11">
              <w:rPr>
                <w:rFonts w:ascii="Times New Roman" w:hAnsi="Times New Roman" w:cs="Times New Roman"/>
                <w:i/>
                <w:color w:val="000000"/>
                <w:sz w:val="24"/>
                <w:szCs w:val="24"/>
                <w:shd w:val="clear" w:color="auto" w:fill="FFFFFF"/>
              </w:rPr>
              <w:t>2) розрахований відповідно до вимог цього розділу необлікований (донарахований) об’єм природного газу, що припадає на період після 01-го числа місяця, в якому прийнято рішення комісії щодо задоволення акта про порушення, включається в баланс поточного календарного місяця за загальними правилами і вважається об’ємом постачання природного газу споживачу його діючим постачальником. Виключенням є об’єм природного газу, нарахований несанкціонованому споживачу та споживачу, у якого відсутній постачальник, вартість якого має бути компенсована Оператору ГРМ за цінами закупівлі ним природного газу в поточному календарному місяці;</w:t>
            </w:r>
          </w:p>
          <w:p w:rsidR="00150AAF" w:rsidRPr="003F175A" w:rsidRDefault="00330D46" w:rsidP="00380C11">
            <w:pPr>
              <w:shd w:val="clear" w:color="auto" w:fill="FFFFFF"/>
              <w:ind w:firstLine="709"/>
              <w:jc w:val="both"/>
              <w:textAlignment w:val="baseline"/>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w:t>
            </w:r>
          </w:p>
        </w:tc>
        <w:tc>
          <w:tcPr>
            <w:tcW w:w="7518" w:type="dxa"/>
          </w:tcPr>
          <w:p w:rsidR="00150AAF" w:rsidRPr="003F175A" w:rsidRDefault="00150AAF" w:rsidP="00380C11">
            <w:pPr>
              <w:shd w:val="clear" w:color="auto" w:fill="FFFFFF"/>
              <w:ind w:firstLine="709"/>
              <w:jc w:val="both"/>
              <w:textAlignment w:val="baseline"/>
              <w:rPr>
                <w:rFonts w:ascii="Times New Roman" w:hAnsi="Times New Roman" w:cs="Times New Roman"/>
                <w:color w:val="000000"/>
                <w:sz w:val="24"/>
                <w:szCs w:val="24"/>
                <w:shd w:val="clear" w:color="auto" w:fill="FFFFFF"/>
              </w:rPr>
            </w:pPr>
            <w:r w:rsidRPr="003F175A">
              <w:rPr>
                <w:rFonts w:ascii="Times New Roman" w:hAnsi="Times New Roman" w:cs="Times New Roman"/>
                <w:color w:val="000000"/>
                <w:sz w:val="24"/>
                <w:szCs w:val="24"/>
                <w:shd w:val="clear" w:color="auto" w:fill="FFFFFF"/>
              </w:rPr>
              <w:lastRenderedPageBreak/>
              <w:t>11. За результатами розгляду акта про порушення на засіданні комісії може бути прийнято рішення про його задоволення (повністю або частково), або необхідність додаткового обстеження чи перевірки, або додаткових пояснень тощо, або скасування акта про порушення.</w:t>
            </w:r>
          </w:p>
          <w:p w:rsidR="00150AAF" w:rsidRPr="003F175A" w:rsidRDefault="00150AAF" w:rsidP="00380C11">
            <w:pPr>
              <w:shd w:val="clear" w:color="auto" w:fill="FFFFFF"/>
              <w:ind w:firstLine="709"/>
              <w:jc w:val="both"/>
              <w:textAlignment w:val="baseline"/>
              <w:rPr>
                <w:rFonts w:ascii="Times New Roman" w:hAnsi="Times New Roman" w:cs="Times New Roman"/>
                <w:color w:val="000000"/>
                <w:sz w:val="24"/>
                <w:szCs w:val="24"/>
                <w:shd w:val="clear" w:color="auto" w:fill="FFFFFF"/>
              </w:rPr>
            </w:pPr>
            <w:r w:rsidRPr="003F175A">
              <w:rPr>
                <w:rFonts w:ascii="Times New Roman" w:hAnsi="Times New Roman" w:cs="Times New Roman"/>
                <w:color w:val="000000"/>
                <w:sz w:val="24"/>
                <w:szCs w:val="24"/>
                <w:shd w:val="clear" w:color="auto" w:fill="FFFFFF"/>
              </w:rPr>
              <w:t>При задоволенні комісією акта про порушення складається акт-розрахунок необлікованого (донарахованого) об’єму та обсягу природного газу і його вартості.</w:t>
            </w:r>
          </w:p>
          <w:p w:rsidR="00150AAF" w:rsidRPr="003F175A" w:rsidRDefault="00150AAF" w:rsidP="00380C11">
            <w:pPr>
              <w:shd w:val="clear" w:color="auto" w:fill="FFFFFF"/>
              <w:ind w:firstLine="709"/>
              <w:jc w:val="both"/>
              <w:textAlignment w:val="baseline"/>
              <w:rPr>
                <w:rFonts w:ascii="Times New Roman" w:hAnsi="Times New Roman" w:cs="Times New Roman"/>
                <w:color w:val="000000"/>
                <w:sz w:val="24"/>
                <w:szCs w:val="24"/>
                <w:shd w:val="clear" w:color="auto" w:fill="FFFFFF"/>
              </w:rPr>
            </w:pPr>
            <w:r w:rsidRPr="003F175A">
              <w:rPr>
                <w:rFonts w:ascii="Times New Roman" w:hAnsi="Times New Roman" w:cs="Times New Roman"/>
                <w:color w:val="000000"/>
                <w:sz w:val="24"/>
                <w:szCs w:val="24"/>
                <w:shd w:val="clear" w:color="auto" w:fill="FFFFFF"/>
              </w:rPr>
              <w:t>При складанні акта-розрахунку враховується таке:</w:t>
            </w:r>
          </w:p>
          <w:p w:rsidR="0095062D" w:rsidRPr="00146E32" w:rsidRDefault="00150AAF" w:rsidP="00380C11">
            <w:pPr>
              <w:shd w:val="clear" w:color="auto" w:fill="FFFFFF"/>
              <w:ind w:firstLine="709"/>
              <w:jc w:val="both"/>
              <w:textAlignment w:val="baseline"/>
              <w:rPr>
                <w:rFonts w:ascii="Times New Roman" w:hAnsi="Times New Roman" w:cs="Times New Roman"/>
                <w:b/>
                <w:color w:val="000000"/>
                <w:sz w:val="24"/>
                <w:szCs w:val="24"/>
                <w:shd w:val="clear" w:color="auto" w:fill="FFFFFF"/>
              </w:rPr>
            </w:pPr>
            <w:r w:rsidRPr="00146E32">
              <w:rPr>
                <w:rFonts w:ascii="Times New Roman" w:hAnsi="Times New Roman" w:cs="Times New Roman"/>
                <w:b/>
                <w:color w:val="000000"/>
                <w:sz w:val="24"/>
                <w:szCs w:val="24"/>
                <w:shd w:val="clear" w:color="auto" w:fill="FFFFFF"/>
              </w:rPr>
              <w:t>1) розрахований відповідно до вимог цього розділу необлікований (донарахований) об’єм природного газу, що припадає на період до 01 числа місяця, в якому прийнято рішення комісії щодо задоволення акта про порушення (тобто до закритого балансового періоду), не потребує коригування (включення до) закритих періодів, а його вартість в повному обсязі має бути оплачена споживачем (несанкціонованим споживачем) Оператору ГРМ. При цьому вартість природного газу визначається</w:t>
            </w:r>
            <w:r w:rsidR="0095062D" w:rsidRPr="00146E32">
              <w:rPr>
                <w:rFonts w:ascii="Times New Roman" w:hAnsi="Times New Roman" w:cs="Times New Roman"/>
                <w:b/>
                <w:color w:val="000000"/>
                <w:sz w:val="24"/>
                <w:szCs w:val="24"/>
                <w:shd w:val="clear" w:color="auto" w:fill="FFFFFF"/>
              </w:rPr>
              <w:t xml:space="preserve"> </w:t>
            </w:r>
            <w:r w:rsidR="0095062D" w:rsidRPr="00146E32">
              <w:rPr>
                <w:rFonts w:ascii="Times New Roman" w:hAnsi="Times New Roman" w:cs="Times New Roman"/>
                <w:b/>
                <w:color w:val="000000"/>
                <w:sz w:val="24"/>
                <w:szCs w:val="24"/>
                <w:shd w:val="clear" w:color="auto" w:fill="FFFFFF"/>
              </w:rPr>
              <w:lastRenderedPageBreak/>
              <w:t>Оператором ГРМ:</w:t>
            </w:r>
          </w:p>
          <w:p w:rsidR="0095062D" w:rsidRPr="00146E32" w:rsidRDefault="0095062D" w:rsidP="00380C11">
            <w:pPr>
              <w:shd w:val="clear" w:color="auto" w:fill="FFFFFF"/>
              <w:ind w:firstLine="709"/>
              <w:jc w:val="both"/>
              <w:textAlignment w:val="baseline"/>
              <w:rPr>
                <w:rFonts w:ascii="Times New Roman" w:hAnsi="Times New Roman" w:cs="Times New Roman"/>
                <w:b/>
                <w:color w:val="000000"/>
                <w:sz w:val="24"/>
                <w:szCs w:val="24"/>
                <w:shd w:val="clear" w:color="auto" w:fill="FFFFFF"/>
              </w:rPr>
            </w:pPr>
            <w:r w:rsidRPr="00146E32">
              <w:rPr>
                <w:rFonts w:ascii="Times New Roman" w:hAnsi="Times New Roman" w:cs="Times New Roman"/>
                <w:b/>
                <w:color w:val="000000"/>
                <w:sz w:val="24"/>
                <w:szCs w:val="24"/>
                <w:shd w:val="clear" w:color="auto" w:fill="FFFFFF"/>
              </w:rPr>
              <w:t xml:space="preserve">для побутових споживачів – </w:t>
            </w:r>
            <w:r w:rsidR="00AF7F91" w:rsidRPr="00146E32">
              <w:rPr>
                <w:rFonts w:ascii="Times New Roman" w:hAnsi="Times New Roman" w:cs="Times New Roman"/>
                <w:b/>
                <w:color w:val="000000"/>
                <w:sz w:val="24"/>
                <w:szCs w:val="24"/>
                <w:shd w:val="clear" w:color="auto" w:fill="FFFFFF"/>
              </w:rPr>
              <w:t xml:space="preserve">за цінами закупівлі природного газу Оператором ГРМ для покриття </w:t>
            </w:r>
            <w:r w:rsidR="004916EC" w:rsidRPr="00146E32">
              <w:rPr>
                <w:rFonts w:ascii="Times New Roman" w:hAnsi="Times New Roman" w:cs="Times New Roman"/>
                <w:b/>
                <w:color w:val="000000"/>
                <w:sz w:val="24"/>
                <w:szCs w:val="24"/>
                <w:shd w:val="clear" w:color="auto" w:fill="FFFFFF"/>
              </w:rPr>
              <w:t>нормативних втрат та виробничо-технологічних витрат</w:t>
            </w:r>
            <w:r w:rsidR="00AF7F91" w:rsidRPr="00146E32">
              <w:rPr>
                <w:rFonts w:ascii="Times New Roman" w:hAnsi="Times New Roman" w:cs="Times New Roman"/>
                <w:b/>
                <w:color w:val="000000"/>
                <w:sz w:val="24"/>
                <w:szCs w:val="24"/>
                <w:shd w:val="clear" w:color="auto" w:fill="FFFFFF"/>
              </w:rPr>
              <w:t>, або</w:t>
            </w:r>
            <w:r w:rsidR="004916EC" w:rsidRPr="00146E32">
              <w:rPr>
                <w:rFonts w:ascii="Times New Roman" w:hAnsi="Times New Roman" w:cs="Times New Roman"/>
                <w:b/>
                <w:color w:val="000000"/>
                <w:sz w:val="24"/>
                <w:szCs w:val="24"/>
                <w:shd w:val="clear" w:color="auto" w:fill="FFFFFF"/>
              </w:rPr>
              <w:t xml:space="preserve"> у випадку не здійснення такої закупівлі –</w:t>
            </w:r>
            <w:r w:rsidR="00AF7F91" w:rsidRPr="00146E32">
              <w:rPr>
                <w:rFonts w:ascii="Times New Roman" w:hAnsi="Times New Roman" w:cs="Times New Roman"/>
                <w:b/>
                <w:color w:val="000000"/>
                <w:sz w:val="24"/>
                <w:szCs w:val="24"/>
                <w:shd w:val="clear" w:color="auto" w:fill="FFFFFF"/>
              </w:rPr>
              <w:t xml:space="preserve"> за ціною, визначеною </w:t>
            </w:r>
            <w:r w:rsidR="004916EC" w:rsidRPr="00146E32">
              <w:rPr>
                <w:rFonts w:ascii="Times New Roman" w:hAnsi="Times New Roman" w:cs="Times New Roman"/>
                <w:b/>
                <w:color w:val="000000"/>
                <w:sz w:val="24"/>
                <w:szCs w:val="24"/>
                <w:shd w:val="clear" w:color="auto" w:fill="FFFFFF"/>
              </w:rPr>
              <w:t xml:space="preserve">для обсягів нормативних втрат та виробничо-технологічних витрат </w:t>
            </w:r>
            <w:r w:rsidR="00AF7F91" w:rsidRPr="00146E32">
              <w:rPr>
                <w:rFonts w:ascii="Times New Roman" w:hAnsi="Times New Roman" w:cs="Times New Roman"/>
                <w:b/>
                <w:color w:val="000000"/>
                <w:sz w:val="24"/>
                <w:szCs w:val="24"/>
                <w:shd w:val="clear" w:color="auto" w:fill="FFFFFF"/>
              </w:rPr>
              <w:t>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w:t>
            </w:r>
            <w:r w:rsidR="004916EC" w:rsidRPr="00146E32">
              <w:rPr>
                <w:rFonts w:ascii="Times New Roman" w:hAnsi="Times New Roman" w:cs="Times New Roman"/>
                <w:b/>
                <w:color w:val="000000"/>
                <w:sz w:val="24"/>
                <w:szCs w:val="24"/>
                <w:shd w:val="clear" w:color="auto" w:fill="FFFFFF"/>
              </w:rPr>
              <w:t xml:space="preserve"> </w:t>
            </w:r>
            <w:r w:rsidR="00AF7F91" w:rsidRPr="00146E32">
              <w:rPr>
                <w:rFonts w:ascii="Times New Roman" w:hAnsi="Times New Roman" w:cs="Times New Roman"/>
                <w:b/>
                <w:color w:val="000000"/>
                <w:sz w:val="24"/>
                <w:szCs w:val="24"/>
                <w:shd w:val="clear" w:color="auto" w:fill="FFFFFF"/>
              </w:rPr>
              <w:t>протягом періоду необлікованого природного газу</w:t>
            </w:r>
            <w:r w:rsidR="005B5822" w:rsidRPr="00146E32">
              <w:rPr>
                <w:rFonts w:ascii="Times New Roman" w:hAnsi="Times New Roman" w:cs="Times New Roman"/>
                <w:b/>
                <w:color w:val="000000"/>
                <w:sz w:val="24"/>
                <w:szCs w:val="24"/>
                <w:shd w:val="clear" w:color="auto" w:fill="FFFFFF"/>
              </w:rPr>
              <w:t>;</w:t>
            </w:r>
          </w:p>
          <w:p w:rsidR="00150AAF" w:rsidRPr="00146E32" w:rsidRDefault="0095062D" w:rsidP="00380C11">
            <w:pPr>
              <w:shd w:val="clear" w:color="auto" w:fill="FFFFFF"/>
              <w:ind w:firstLine="709"/>
              <w:jc w:val="both"/>
              <w:textAlignment w:val="baseline"/>
              <w:rPr>
                <w:rFonts w:ascii="Times New Roman" w:hAnsi="Times New Roman" w:cs="Times New Roman"/>
                <w:b/>
                <w:color w:val="000000"/>
                <w:sz w:val="24"/>
                <w:szCs w:val="24"/>
                <w:shd w:val="clear" w:color="auto" w:fill="FFFFFF"/>
              </w:rPr>
            </w:pPr>
            <w:r w:rsidRPr="00146E32">
              <w:rPr>
                <w:rFonts w:ascii="Times New Roman" w:hAnsi="Times New Roman" w:cs="Times New Roman"/>
                <w:b/>
                <w:color w:val="000000"/>
                <w:sz w:val="24"/>
                <w:szCs w:val="24"/>
                <w:shd w:val="clear" w:color="auto" w:fill="FFFFFF"/>
              </w:rPr>
              <w:t xml:space="preserve">для споживачів, що не є побутовими – </w:t>
            </w:r>
            <w:r w:rsidR="007E0490" w:rsidRPr="00146E32">
              <w:rPr>
                <w:rFonts w:ascii="Times New Roman" w:hAnsi="Times New Roman" w:cs="Times New Roman"/>
                <w:b/>
                <w:color w:val="000000"/>
                <w:sz w:val="24"/>
                <w:szCs w:val="24"/>
                <w:shd w:val="clear" w:color="auto" w:fill="FFFFFF"/>
              </w:rPr>
              <w:t xml:space="preserve">середньоарифметичне значення </w:t>
            </w:r>
            <w:r w:rsidRPr="00146E32">
              <w:rPr>
                <w:rFonts w:ascii="Times New Roman" w:hAnsi="Times New Roman" w:cs="Times New Roman"/>
                <w:b/>
                <w:color w:val="000000"/>
                <w:sz w:val="24"/>
                <w:szCs w:val="24"/>
                <w:shd w:val="clear" w:color="auto" w:fill="FFFFFF"/>
              </w:rPr>
              <w:t>маржинальн</w:t>
            </w:r>
            <w:r w:rsidR="007E0490" w:rsidRPr="00146E32">
              <w:rPr>
                <w:rFonts w:ascii="Times New Roman" w:hAnsi="Times New Roman" w:cs="Times New Roman"/>
                <w:b/>
                <w:color w:val="000000"/>
                <w:sz w:val="24"/>
                <w:szCs w:val="24"/>
                <w:shd w:val="clear" w:color="auto" w:fill="FFFFFF"/>
              </w:rPr>
              <w:t>ої</w:t>
            </w:r>
            <w:r w:rsidRPr="00146E32">
              <w:rPr>
                <w:rFonts w:ascii="Times New Roman" w:hAnsi="Times New Roman" w:cs="Times New Roman"/>
                <w:b/>
                <w:color w:val="000000"/>
                <w:sz w:val="24"/>
                <w:szCs w:val="24"/>
                <w:shd w:val="clear" w:color="auto" w:fill="FFFFFF"/>
              </w:rPr>
              <w:t xml:space="preserve"> цін</w:t>
            </w:r>
            <w:r w:rsidR="007E0490" w:rsidRPr="00146E32">
              <w:rPr>
                <w:rFonts w:ascii="Times New Roman" w:hAnsi="Times New Roman" w:cs="Times New Roman"/>
                <w:b/>
                <w:color w:val="000000"/>
                <w:sz w:val="24"/>
                <w:szCs w:val="24"/>
                <w:shd w:val="clear" w:color="auto" w:fill="FFFFFF"/>
              </w:rPr>
              <w:t>и</w:t>
            </w:r>
            <w:r w:rsidRPr="00146E32">
              <w:rPr>
                <w:rFonts w:ascii="Times New Roman" w:hAnsi="Times New Roman" w:cs="Times New Roman"/>
                <w:b/>
                <w:color w:val="000000"/>
                <w:sz w:val="24"/>
                <w:szCs w:val="24"/>
                <w:shd w:val="clear" w:color="auto" w:fill="FFFFFF"/>
              </w:rPr>
              <w:t xml:space="preserve"> придбання</w:t>
            </w:r>
            <w:r w:rsidR="007E0490" w:rsidRPr="00146E32">
              <w:rPr>
                <w:rFonts w:ascii="Times New Roman" w:hAnsi="Times New Roman" w:cs="Times New Roman"/>
                <w:b/>
                <w:color w:val="000000"/>
                <w:sz w:val="24"/>
                <w:szCs w:val="24"/>
                <w:shd w:val="clear" w:color="auto" w:fill="FFFFFF"/>
              </w:rPr>
              <w:t>,</w:t>
            </w:r>
            <w:r w:rsidRPr="00146E32">
              <w:rPr>
                <w:rFonts w:ascii="Times New Roman" w:hAnsi="Times New Roman" w:cs="Times New Roman"/>
                <w:b/>
                <w:color w:val="000000"/>
                <w:sz w:val="24"/>
                <w:szCs w:val="24"/>
                <w:shd w:val="clear" w:color="auto" w:fill="FFFFFF"/>
              </w:rPr>
              <w:t xml:space="preserve"> визначен</w:t>
            </w:r>
            <w:r w:rsidR="007E0490" w:rsidRPr="00146E32">
              <w:rPr>
                <w:rFonts w:ascii="Times New Roman" w:hAnsi="Times New Roman" w:cs="Times New Roman"/>
                <w:b/>
                <w:color w:val="000000"/>
                <w:sz w:val="24"/>
                <w:szCs w:val="24"/>
                <w:shd w:val="clear" w:color="auto" w:fill="FFFFFF"/>
              </w:rPr>
              <w:t>ої</w:t>
            </w:r>
            <w:r w:rsidRPr="00146E32">
              <w:rPr>
                <w:rFonts w:ascii="Times New Roman" w:hAnsi="Times New Roman" w:cs="Times New Roman"/>
                <w:b/>
                <w:color w:val="000000"/>
                <w:sz w:val="24"/>
                <w:szCs w:val="24"/>
                <w:shd w:val="clear" w:color="auto" w:fill="FFFFFF"/>
              </w:rPr>
              <w:t xml:space="preserve"> Оператором ГТС відповідно до положень глави 6 розділу </w:t>
            </w:r>
            <w:r w:rsidRPr="00146E32">
              <w:rPr>
                <w:rFonts w:ascii="Times New Roman" w:hAnsi="Times New Roman" w:cs="Times New Roman"/>
                <w:b/>
                <w:color w:val="000000"/>
                <w:sz w:val="24"/>
                <w:szCs w:val="24"/>
                <w:shd w:val="clear" w:color="auto" w:fill="FFFFFF"/>
                <w:lang w:val="en-US"/>
              </w:rPr>
              <w:t>XIV</w:t>
            </w:r>
            <w:r w:rsidRPr="00146E32">
              <w:rPr>
                <w:rFonts w:ascii="Times New Roman" w:hAnsi="Times New Roman" w:cs="Times New Roman"/>
                <w:b/>
                <w:color w:val="000000"/>
                <w:sz w:val="24"/>
                <w:szCs w:val="24"/>
                <w:shd w:val="clear" w:color="auto" w:fill="FFFFFF"/>
              </w:rPr>
              <w:t xml:space="preserve"> Кодексу ГТС</w:t>
            </w:r>
            <w:r w:rsidR="007E0490" w:rsidRPr="00146E32">
              <w:rPr>
                <w:rFonts w:ascii="Times New Roman" w:hAnsi="Times New Roman" w:cs="Times New Roman"/>
                <w:b/>
                <w:color w:val="000000"/>
                <w:sz w:val="24"/>
                <w:szCs w:val="24"/>
                <w:shd w:val="clear" w:color="auto" w:fill="FFFFFF"/>
              </w:rPr>
              <w:t xml:space="preserve">,  </w:t>
            </w:r>
            <w:r w:rsidR="004916EC" w:rsidRPr="00146E32">
              <w:rPr>
                <w:rFonts w:ascii="Times New Roman" w:hAnsi="Times New Roman" w:cs="Times New Roman"/>
                <w:b/>
                <w:color w:val="000000"/>
                <w:sz w:val="24"/>
                <w:szCs w:val="24"/>
                <w:shd w:val="clear" w:color="auto" w:fill="FFFFFF"/>
              </w:rPr>
              <w:t>протягом періоду необлікованого природного газу.</w:t>
            </w:r>
          </w:p>
          <w:p w:rsidR="00DD0261" w:rsidRPr="00146E32" w:rsidRDefault="00150AAF" w:rsidP="00380C11">
            <w:pPr>
              <w:shd w:val="clear" w:color="auto" w:fill="FFFFFF"/>
              <w:ind w:firstLine="709"/>
              <w:jc w:val="both"/>
              <w:textAlignment w:val="baseline"/>
              <w:rPr>
                <w:rFonts w:ascii="Times New Roman" w:hAnsi="Times New Roman" w:cs="Times New Roman"/>
                <w:b/>
                <w:color w:val="000000"/>
                <w:sz w:val="24"/>
                <w:szCs w:val="24"/>
                <w:shd w:val="clear" w:color="auto" w:fill="FFFFFF"/>
              </w:rPr>
            </w:pPr>
            <w:r w:rsidRPr="00146E32">
              <w:rPr>
                <w:rFonts w:ascii="Times New Roman" w:hAnsi="Times New Roman" w:cs="Times New Roman"/>
                <w:b/>
                <w:color w:val="000000"/>
                <w:sz w:val="24"/>
                <w:szCs w:val="24"/>
                <w:shd w:val="clear" w:color="auto" w:fill="FFFFFF"/>
              </w:rPr>
              <w:t xml:space="preserve">2) розрахований відповідно до вимог цього розділу необлікований (донарахований) об’єм природного газу, що припадає на період після 01-го числа місяця, в якому прийнято рішення комісії щодо задоволення акта про порушення, включається в баланс поточного календарного місяця за загальними правилами і вважається об’ємом постачання природного газу споживачу його діючим постачальником. Виключенням є об’єм природного газу, нарахований несанкціонованому споживачу та споживачу, у якого відсутній постачальник, вартість якого має </w:t>
            </w:r>
            <w:r w:rsidR="00DD0261" w:rsidRPr="00146E32">
              <w:rPr>
                <w:rFonts w:ascii="Times New Roman" w:hAnsi="Times New Roman" w:cs="Times New Roman"/>
                <w:b/>
                <w:color w:val="000000"/>
                <w:sz w:val="24"/>
                <w:szCs w:val="24"/>
                <w:shd w:val="clear" w:color="auto" w:fill="FFFFFF"/>
              </w:rPr>
              <w:t xml:space="preserve">бути </w:t>
            </w:r>
            <w:r w:rsidR="007E5E6E" w:rsidRPr="00146E32">
              <w:rPr>
                <w:rFonts w:ascii="Times New Roman" w:hAnsi="Times New Roman" w:cs="Times New Roman"/>
                <w:b/>
                <w:color w:val="000000"/>
                <w:sz w:val="24"/>
                <w:szCs w:val="24"/>
                <w:shd w:val="clear" w:color="auto" w:fill="FFFFFF"/>
              </w:rPr>
              <w:t xml:space="preserve">оплачена </w:t>
            </w:r>
            <w:r w:rsidR="00DD0261" w:rsidRPr="00146E32">
              <w:rPr>
                <w:rFonts w:ascii="Times New Roman" w:hAnsi="Times New Roman" w:cs="Times New Roman"/>
                <w:b/>
                <w:color w:val="000000"/>
                <w:sz w:val="24"/>
                <w:szCs w:val="24"/>
                <w:shd w:val="clear" w:color="auto" w:fill="FFFFFF"/>
              </w:rPr>
              <w:t>Оператору ГРМ:</w:t>
            </w:r>
          </w:p>
          <w:p w:rsidR="00DD0261" w:rsidRPr="004916EC" w:rsidRDefault="00DD0261" w:rsidP="00380C11">
            <w:pPr>
              <w:shd w:val="clear" w:color="auto" w:fill="FFFFFF"/>
              <w:ind w:firstLine="709"/>
              <w:jc w:val="both"/>
              <w:textAlignment w:val="baseline"/>
              <w:rPr>
                <w:rFonts w:ascii="Times New Roman" w:hAnsi="Times New Roman" w:cs="Times New Roman"/>
                <w:b/>
                <w:color w:val="000000"/>
                <w:sz w:val="24"/>
                <w:szCs w:val="24"/>
                <w:shd w:val="clear" w:color="auto" w:fill="FFFFFF"/>
              </w:rPr>
            </w:pPr>
            <w:r w:rsidRPr="004916EC">
              <w:rPr>
                <w:rFonts w:ascii="Times New Roman" w:hAnsi="Times New Roman" w:cs="Times New Roman"/>
                <w:b/>
                <w:color w:val="000000"/>
                <w:sz w:val="24"/>
                <w:szCs w:val="24"/>
                <w:shd w:val="clear" w:color="auto" w:fill="FFFFFF"/>
              </w:rPr>
              <w:t>для побутових споживачів – за цінами закупівлі природного газу Оператором ГРМ для покриття нормативних втрат та виробничо-технологічних витрат, або у випадку не здійснення такої закупівлі – за ціною, визначеною для обсягів нормативних втрат та виробничо-технологічних витрат відповідно до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 протягом періоду необлікованого природного газу</w:t>
            </w:r>
            <w:r w:rsidR="005B5822">
              <w:rPr>
                <w:rFonts w:ascii="Times New Roman" w:hAnsi="Times New Roman" w:cs="Times New Roman"/>
                <w:b/>
                <w:color w:val="000000"/>
                <w:sz w:val="24"/>
                <w:szCs w:val="24"/>
                <w:shd w:val="clear" w:color="auto" w:fill="FFFFFF"/>
              </w:rPr>
              <w:t>;</w:t>
            </w:r>
          </w:p>
          <w:p w:rsidR="00DD0261" w:rsidRPr="0095062D" w:rsidRDefault="00DD0261" w:rsidP="00380C11">
            <w:pPr>
              <w:shd w:val="clear" w:color="auto" w:fill="FFFFFF"/>
              <w:ind w:firstLine="709"/>
              <w:jc w:val="both"/>
              <w:textAlignment w:val="baseline"/>
              <w:rPr>
                <w:rFonts w:ascii="Times New Roman" w:hAnsi="Times New Roman" w:cs="Times New Roman"/>
                <w:b/>
                <w:color w:val="000000"/>
                <w:sz w:val="24"/>
                <w:szCs w:val="24"/>
                <w:shd w:val="clear" w:color="auto" w:fill="FFFFFF"/>
              </w:rPr>
            </w:pPr>
            <w:r w:rsidRPr="00AF7F91">
              <w:rPr>
                <w:rFonts w:ascii="Times New Roman" w:hAnsi="Times New Roman" w:cs="Times New Roman"/>
                <w:b/>
                <w:color w:val="000000"/>
                <w:sz w:val="24"/>
                <w:szCs w:val="24"/>
                <w:shd w:val="clear" w:color="auto" w:fill="FFFFFF"/>
              </w:rPr>
              <w:t xml:space="preserve">для споживачів, що не є побутовими – середньоарифметичне значення маржинальної ціни придбання, </w:t>
            </w:r>
            <w:r w:rsidRPr="00AF7F91">
              <w:rPr>
                <w:rFonts w:ascii="Times New Roman" w:hAnsi="Times New Roman" w:cs="Times New Roman"/>
                <w:b/>
                <w:color w:val="000000"/>
                <w:sz w:val="24"/>
                <w:szCs w:val="24"/>
                <w:shd w:val="clear" w:color="auto" w:fill="FFFFFF"/>
              </w:rPr>
              <w:lastRenderedPageBreak/>
              <w:t xml:space="preserve">визначеної Оператором ГТС відповідно до положень глави 6 розділу </w:t>
            </w:r>
            <w:r w:rsidRPr="00AF7F91">
              <w:rPr>
                <w:rFonts w:ascii="Times New Roman" w:hAnsi="Times New Roman" w:cs="Times New Roman"/>
                <w:b/>
                <w:color w:val="000000"/>
                <w:sz w:val="24"/>
                <w:szCs w:val="24"/>
                <w:shd w:val="clear" w:color="auto" w:fill="FFFFFF"/>
                <w:lang w:val="en-US"/>
              </w:rPr>
              <w:t>XIV</w:t>
            </w:r>
            <w:r w:rsidRPr="00AF7F91">
              <w:rPr>
                <w:rFonts w:ascii="Times New Roman" w:hAnsi="Times New Roman" w:cs="Times New Roman"/>
                <w:b/>
                <w:color w:val="000000"/>
                <w:sz w:val="24"/>
                <w:szCs w:val="24"/>
                <w:shd w:val="clear" w:color="auto" w:fill="FFFFFF"/>
              </w:rPr>
              <w:t xml:space="preserve"> Кодексу ГТС,  </w:t>
            </w:r>
            <w:r w:rsidRPr="004916EC">
              <w:rPr>
                <w:rFonts w:ascii="Times New Roman" w:hAnsi="Times New Roman" w:cs="Times New Roman"/>
                <w:b/>
                <w:color w:val="000000"/>
                <w:sz w:val="24"/>
                <w:szCs w:val="24"/>
                <w:shd w:val="clear" w:color="auto" w:fill="FFFFFF"/>
              </w:rPr>
              <w:t>протягом періоду необлікованого природного газу</w:t>
            </w:r>
            <w:r>
              <w:rPr>
                <w:rFonts w:ascii="Times New Roman" w:hAnsi="Times New Roman" w:cs="Times New Roman"/>
                <w:b/>
                <w:color w:val="000000"/>
                <w:sz w:val="24"/>
                <w:szCs w:val="24"/>
                <w:shd w:val="clear" w:color="auto" w:fill="FFFFFF"/>
              </w:rPr>
              <w:t>.</w:t>
            </w:r>
          </w:p>
          <w:p w:rsidR="00150AAF" w:rsidRPr="003F175A" w:rsidRDefault="00330D46" w:rsidP="00380C11">
            <w:pPr>
              <w:shd w:val="clear" w:color="auto" w:fill="FFFFFF"/>
              <w:ind w:firstLine="709"/>
              <w:jc w:val="both"/>
              <w:textAlignment w:val="baseline"/>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w:t>
            </w:r>
          </w:p>
        </w:tc>
      </w:tr>
      <w:tr w:rsidR="00150AAF" w:rsidTr="00E03B4F">
        <w:trPr>
          <w:trHeight w:val="508"/>
        </w:trPr>
        <w:tc>
          <w:tcPr>
            <w:tcW w:w="7508" w:type="dxa"/>
          </w:tcPr>
          <w:p w:rsidR="00150AAF" w:rsidRPr="00923932" w:rsidRDefault="00150AAF" w:rsidP="00380C11">
            <w:pPr>
              <w:spacing w:line="20" w:lineRule="atLeast"/>
              <w:ind w:firstLine="709"/>
              <w:jc w:val="both"/>
              <w:rPr>
                <w:rFonts w:ascii="Times New Roman" w:hAnsi="Times New Roman" w:cs="Times New Roman"/>
                <w:b/>
                <w:sz w:val="24"/>
                <w:szCs w:val="24"/>
              </w:rPr>
            </w:pPr>
            <w:r w:rsidRPr="00923932">
              <w:rPr>
                <w:rFonts w:ascii="Times New Roman" w:hAnsi="Times New Roman" w:cs="Times New Roman"/>
                <w:color w:val="000000"/>
                <w:sz w:val="24"/>
                <w:szCs w:val="24"/>
                <w:shd w:val="clear" w:color="auto" w:fill="FFFFFF"/>
              </w:rPr>
              <w:lastRenderedPageBreak/>
              <w:t>14. У разі самовільного під’єднання побутовим споживачем газових приладів промислового характеру (газогенератори тощо) та/або таких, що використовуються ним для професійної чи комерційної діяльності, перерахунок здійснюється за цінами і тарифами, встановленими для промислових споживачів та суб’єктів господарювання.</w:t>
            </w:r>
          </w:p>
        </w:tc>
        <w:tc>
          <w:tcPr>
            <w:tcW w:w="7518" w:type="dxa"/>
          </w:tcPr>
          <w:p w:rsidR="00150AAF" w:rsidRPr="00380C11" w:rsidRDefault="00380C11" w:rsidP="00380C11">
            <w:pPr>
              <w:spacing w:line="20" w:lineRule="atLeast"/>
              <w:ind w:firstLine="709"/>
              <w:jc w:val="both"/>
              <w:rPr>
                <w:rFonts w:ascii="Times New Roman" w:hAnsi="Times New Roman" w:cs="Times New Roman"/>
                <w:b/>
                <w:strike/>
                <w:sz w:val="24"/>
                <w:szCs w:val="24"/>
              </w:rPr>
            </w:pPr>
            <w:r w:rsidRPr="00380C11">
              <w:rPr>
                <w:rFonts w:ascii="Times New Roman" w:hAnsi="Times New Roman" w:cs="Times New Roman"/>
                <w:strike/>
                <w:color w:val="000000"/>
                <w:sz w:val="24"/>
                <w:szCs w:val="24"/>
                <w:shd w:val="clear" w:color="auto" w:fill="FFFFFF"/>
              </w:rPr>
              <w:t>14. У разі самовільного під’єднання побутовим споживачем газових приладів промислового характеру (газогенератори тощо) та/або таких, що використовуються ним для професійної чи комерційної діяльності, перерахунок здійснюється за цінами і тарифами, встановленими для промислових споживачів та суб’єктів господарювання.</w:t>
            </w:r>
          </w:p>
        </w:tc>
      </w:tr>
      <w:tr w:rsidR="00150AAF" w:rsidRPr="001F0204" w:rsidTr="00E03B4F">
        <w:trPr>
          <w:trHeight w:val="336"/>
        </w:trPr>
        <w:tc>
          <w:tcPr>
            <w:tcW w:w="7508" w:type="dxa"/>
          </w:tcPr>
          <w:p w:rsidR="00150AAF" w:rsidRPr="001F0204" w:rsidRDefault="00150AAF" w:rsidP="00380C11">
            <w:pPr>
              <w:spacing w:line="20" w:lineRule="atLeast"/>
              <w:jc w:val="center"/>
              <w:rPr>
                <w:rFonts w:ascii="Times New Roman" w:hAnsi="Times New Roman" w:cs="Times New Roman"/>
                <w:b/>
                <w:sz w:val="24"/>
                <w:szCs w:val="24"/>
              </w:rPr>
            </w:pPr>
            <w:r w:rsidRPr="001F0204">
              <w:rPr>
                <w:rFonts w:ascii="Times New Roman" w:hAnsi="Times New Roman" w:cs="Times New Roman"/>
                <w:b/>
                <w:sz w:val="24"/>
                <w:szCs w:val="24"/>
              </w:rPr>
              <w:t>XII. Балансування газорозподільної системи</w:t>
            </w:r>
          </w:p>
        </w:tc>
        <w:tc>
          <w:tcPr>
            <w:tcW w:w="7518" w:type="dxa"/>
          </w:tcPr>
          <w:p w:rsidR="00150AAF" w:rsidRPr="001F0204" w:rsidRDefault="00150AAF" w:rsidP="00380C11">
            <w:pPr>
              <w:spacing w:line="20" w:lineRule="atLeast"/>
              <w:jc w:val="center"/>
              <w:rPr>
                <w:rFonts w:ascii="Times New Roman" w:hAnsi="Times New Roman" w:cs="Times New Roman"/>
                <w:b/>
                <w:sz w:val="24"/>
                <w:szCs w:val="24"/>
              </w:rPr>
            </w:pPr>
            <w:r w:rsidRPr="001F0204">
              <w:rPr>
                <w:rFonts w:ascii="Times New Roman" w:hAnsi="Times New Roman" w:cs="Times New Roman"/>
                <w:b/>
                <w:sz w:val="24"/>
                <w:szCs w:val="24"/>
              </w:rPr>
              <w:t>XII. Балансування газорозподільної системи</w:t>
            </w:r>
          </w:p>
        </w:tc>
      </w:tr>
      <w:tr w:rsidR="00150AAF" w:rsidRPr="001F0204" w:rsidTr="00E03B4F">
        <w:trPr>
          <w:trHeight w:val="413"/>
        </w:trPr>
        <w:tc>
          <w:tcPr>
            <w:tcW w:w="7508" w:type="dxa"/>
          </w:tcPr>
          <w:p w:rsidR="00150AAF" w:rsidRPr="001F0204" w:rsidRDefault="00150AAF" w:rsidP="00380C11">
            <w:pPr>
              <w:spacing w:line="20" w:lineRule="atLeast"/>
              <w:jc w:val="center"/>
              <w:rPr>
                <w:rFonts w:ascii="Times New Roman" w:hAnsi="Times New Roman" w:cs="Times New Roman"/>
                <w:b/>
                <w:sz w:val="24"/>
                <w:szCs w:val="24"/>
              </w:rPr>
            </w:pPr>
            <w:r w:rsidRPr="001F0204">
              <w:rPr>
                <w:rFonts w:ascii="Times New Roman" w:hAnsi="Times New Roman" w:cs="Times New Roman"/>
                <w:b/>
                <w:sz w:val="24"/>
                <w:szCs w:val="24"/>
              </w:rPr>
              <w:t>1. Порядок балансування газорозподільної системи</w:t>
            </w:r>
          </w:p>
        </w:tc>
        <w:tc>
          <w:tcPr>
            <w:tcW w:w="7518" w:type="dxa"/>
          </w:tcPr>
          <w:p w:rsidR="00150AAF" w:rsidRPr="001F0204" w:rsidRDefault="00150AAF" w:rsidP="00380C11">
            <w:pPr>
              <w:spacing w:line="20" w:lineRule="atLeast"/>
              <w:jc w:val="center"/>
              <w:rPr>
                <w:rFonts w:ascii="Times New Roman" w:hAnsi="Times New Roman" w:cs="Times New Roman"/>
                <w:b/>
                <w:sz w:val="24"/>
                <w:szCs w:val="24"/>
              </w:rPr>
            </w:pPr>
            <w:r w:rsidRPr="001F0204">
              <w:rPr>
                <w:rFonts w:ascii="Times New Roman" w:hAnsi="Times New Roman" w:cs="Times New Roman"/>
                <w:b/>
                <w:sz w:val="24"/>
                <w:szCs w:val="24"/>
              </w:rPr>
              <w:t>1. Порядок балансування газорозподільної системи</w:t>
            </w:r>
          </w:p>
        </w:tc>
      </w:tr>
      <w:tr w:rsidR="00150AAF" w:rsidTr="00E03B4F">
        <w:trPr>
          <w:trHeight w:val="508"/>
        </w:trPr>
        <w:tc>
          <w:tcPr>
            <w:tcW w:w="7508" w:type="dxa"/>
          </w:tcPr>
          <w:p w:rsidR="00150AAF" w:rsidRPr="00380C11" w:rsidRDefault="00150AAF" w:rsidP="00380C11">
            <w:pPr>
              <w:pStyle w:val="rvps2"/>
              <w:shd w:val="clear" w:color="auto" w:fill="FFFFFF"/>
              <w:spacing w:before="0" w:beforeAutospacing="0" w:after="0" w:afterAutospacing="0"/>
              <w:ind w:firstLine="450"/>
              <w:jc w:val="both"/>
              <w:rPr>
                <w:color w:val="000000" w:themeColor="text1"/>
              </w:rPr>
            </w:pPr>
            <w:r w:rsidRPr="00380C11">
              <w:rPr>
                <w:color w:val="000000" w:themeColor="text1"/>
              </w:rPr>
              <w:t xml:space="preserve">4. Для недопущення негативного дисбалансу в ГРМ за підсумками місяця або календарного року та виходячи зі специфіки формування розподілених і спожитих об’ємів (обсягів) природного газу по об’єктах побутових споживачів, що пов’язана з неможливістю одночасно зафіксувати спожитий об’єм газу на кожне 01 число місяця та необхідністю нарахування цих об’ємів, виходячи із норм споживання (на об’єктах споживачів без лічильників), планових місячних об’ємів споживання (на об’єктах споживачів з лічильниками, які не передали до Оператора ГРМ їх показання) </w:t>
            </w:r>
            <w:r w:rsidRPr="00380C11">
              <w:rPr>
                <w:i/>
                <w:color w:val="000000" w:themeColor="text1"/>
              </w:rPr>
              <w:t>та ураховуючи касовий метод розрахунків зазначених споживачів, що передбачено цим Кодексом і</w:t>
            </w:r>
            <w:r w:rsidRPr="00380C11">
              <w:rPr>
                <w:color w:val="000000" w:themeColor="text1"/>
              </w:rPr>
              <w:t xml:space="preserve"> є природним фактором невідповідності сформованого Оператором ГРМ об’єму (обсягу) розподіленого природного газу по об’єктах побутових споживачів порівняно з їх фактичним відбором природного газу з ГРМ, встановлюється такий порядок комерційного балансування ГРМ:</w:t>
            </w:r>
          </w:p>
          <w:p w:rsidR="00150AAF" w:rsidRPr="00380C11" w:rsidRDefault="0048011C" w:rsidP="00380C11">
            <w:pPr>
              <w:pStyle w:val="rvps2"/>
              <w:shd w:val="clear" w:color="auto" w:fill="FFFFFF"/>
              <w:spacing w:before="0" w:beforeAutospacing="0" w:after="0" w:afterAutospacing="0"/>
              <w:ind w:firstLine="450"/>
              <w:jc w:val="both"/>
              <w:rPr>
                <w:color w:val="000000" w:themeColor="text1"/>
              </w:rPr>
            </w:pPr>
            <w:bookmarkStart w:id="14" w:name="n1358"/>
            <w:bookmarkEnd w:id="14"/>
            <w:r w:rsidRPr="00380C11">
              <w:rPr>
                <w:color w:val="000000" w:themeColor="text1"/>
              </w:rPr>
              <w:t>…</w:t>
            </w:r>
          </w:p>
          <w:p w:rsidR="00150AAF" w:rsidRPr="00380C11" w:rsidRDefault="00150AAF" w:rsidP="00380C11">
            <w:pPr>
              <w:pStyle w:val="rvps2"/>
              <w:shd w:val="clear" w:color="auto" w:fill="FFFFFF"/>
              <w:spacing w:before="0" w:beforeAutospacing="0" w:after="0" w:afterAutospacing="0"/>
              <w:ind w:firstLine="450"/>
              <w:jc w:val="both"/>
              <w:rPr>
                <w:color w:val="000000" w:themeColor="text1"/>
              </w:rPr>
            </w:pPr>
            <w:bookmarkStart w:id="15" w:name="n1361"/>
            <w:bookmarkEnd w:id="15"/>
            <w:r w:rsidRPr="00380C11">
              <w:rPr>
                <w:color w:val="000000" w:themeColor="text1"/>
              </w:rPr>
              <w:t>4) різниця між об’ємом (обсягом) надходження природного газу в ГРМ протягом місяця (календарного року) і об’ємом (обсягом) природного газу, який розподілений по підключених до/через ГРМ об’єктів споживачів та переданий в суміжні ГРМ протягом зазначеного періоду, – є об’ємом (обсягом) фактичних втрат та виробничо-технологічних витрат природного газу в ГРМ, понесених Оператором ГРМ протягом зазначеного періоду.</w:t>
            </w:r>
          </w:p>
          <w:p w:rsidR="00150AAF" w:rsidRPr="00380C11" w:rsidRDefault="00150AAF" w:rsidP="00380C11">
            <w:pPr>
              <w:spacing w:line="20" w:lineRule="atLeast"/>
              <w:jc w:val="center"/>
              <w:rPr>
                <w:rFonts w:ascii="Times New Roman" w:hAnsi="Times New Roman" w:cs="Times New Roman"/>
                <w:b/>
                <w:color w:val="000000" w:themeColor="text1"/>
                <w:sz w:val="24"/>
                <w:szCs w:val="24"/>
              </w:rPr>
            </w:pPr>
          </w:p>
        </w:tc>
        <w:tc>
          <w:tcPr>
            <w:tcW w:w="7518" w:type="dxa"/>
          </w:tcPr>
          <w:p w:rsidR="00150AAF" w:rsidRPr="00380C11" w:rsidRDefault="00150AAF" w:rsidP="00380C11">
            <w:pPr>
              <w:pStyle w:val="rvps2"/>
              <w:shd w:val="clear" w:color="auto" w:fill="FFFFFF"/>
              <w:spacing w:before="0" w:beforeAutospacing="0" w:after="0" w:afterAutospacing="0"/>
              <w:ind w:firstLine="450"/>
              <w:jc w:val="both"/>
              <w:rPr>
                <w:color w:val="000000" w:themeColor="text1"/>
              </w:rPr>
            </w:pPr>
            <w:r w:rsidRPr="00380C11">
              <w:rPr>
                <w:color w:val="000000" w:themeColor="text1"/>
              </w:rPr>
              <w:t xml:space="preserve">4. Для недопущення негативного дисбалансу в ГРМ за підсумками місяця або календарного року та виходячи зі специфіки формування розподілених і спожитих об’ємів (обсягів) природного газу по об’єктах побутових споживачів, що пов’язана з неможливістю одночасно зафіксувати спожитий об’єм газу на кожне 01 число місяця та необхідністю нарахування цих об’ємів, виходячи із норм споживання (на об’єктах споживачів без лічильників), планових місячних об’ємів споживання (на об’єктах споживачів з лічильниками, які не передали до Оператора ГРМ їх показання) </w:t>
            </w:r>
            <w:r w:rsidRPr="00380C11">
              <w:rPr>
                <w:b/>
                <w:strike/>
                <w:color w:val="000000" w:themeColor="text1"/>
              </w:rPr>
              <w:t>та ураховуючи касовий метод розрахунків зазначених споживачів, що передбачено цим Кодексом і</w:t>
            </w:r>
            <w:r w:rsidRPr="00380C11">
              <w:rPr>
                <w:color w:val="000000" w:themeColor="text1"/>
              </w:rPr>
              <w:t xml:space="preserve"> є природним фактором невідповідності сформованого Оператором ГРМ об’єму (обсягу) розподіленого природного газу по об’єктах побутових споживачів порівняно з їх фактичним відбором природного газу з ГРМ, встановлюється такий порядок комерційного балансування ГРМ:</w:t>
            </w:r>
          </w:p>
          <w:p w:rsidR="00150AAF" w:rsidRPr="00380C11" w:rsidRDefault="0048011C" w:rsidP="00380C11">
            <w:pPr>
              <w:pStyle w:val="rvps2"/>
              <w:shd w:val="clear" w:color="auto" w:fill="FFFFFF"/>
              <w:spacing w:before="0" w:beforeAutospacing="0" w:after="0" w:afterAutospacing="0"/>
              <w:ind w:firstLine="450"/>
              <w:jc w:val="both"/>
              <w:rPr>
                <w:color w:val="000000" w:themeColor="text1"/>
              </w:rPr>
            </w:pPr>
            <w:r w:rsidRPr="00380C11">
              <w:rPr>
                <w:color w:val="000000" w:themeColor="text1"/>
              </w:rPr>
              <w:t>…</w:t>
            </w:r>
          </w:p>
          <w:p w:rsidR="00150AAF" w:rsidRPr="00380C11" w:rsidRDefault="00150AAF" w:rsidP="00380C11">
            <w:pPr>
              <w:shd w:val="clear" w:color="auto" w:fill="FFFFFF"/>
              <w:ind w:firstLine="709"/>
              <w:jc w:val="both"/>
              <w:textAlignment w:val="baseline"/>
              <w:rPr>
                <w:rFonts w:ascii="Times New Roman" w:hAnsi="Times New Roman" w:cs="Times New Roman"/>
                <w:b/>
                <w:color w:val="000000" w:themeColor="text1"/>
                <w:sz w:val="24"/>
                <w:szCs w:val="24"/>
                <w:shd w:val="clear" w:color="auto" w:fill="FFFFFF"/>
              </w:rPr>
            </w:pPr>
            <w:r w:rsidRPr="00380C11">
              <w:rPr>
                <w:rFonts w:ascii="Times New Roman" w:eastAsia="Times New Roman" w:hAnsi="Times New Roman" w:cs="Times New Roman"/>
                <w:color w:val="000000" w:themeColor="text1"/>
                <w:sz w:val="24"/>
                <w:szCs w:val="24"/>
                <w:lang w:eastAsia="uk-UA"/>
              </w:rPr>
              <w:t>4) різниця між об’ємом (обсягом) надходження природного газу в ГРМ протягом місяця (календарного року) і об’ємом (обсягом) природного газу, який розподілений по підключених до/через ГРМ об’єктів споживачів та переданий в суміжні ГРМ протягом зазначеного періоду, – є об’ємом (обсягом) фактичних втрат та виробничо-технологічних витрат природного газу в ГРМ, понесених Оператором ГРМ протягом зазначеного періоду</w:t>
            </w:r>
            <w:r w:rsidR="00CF3B01" w:rsidRPr="00380C11">
              <w:rPr>
                <w:rFonts w:ascii="Times New Roman" w:eastAsia="Times New Roman" w:hAnsi="Times New Roman" w:cs="Times New Roman"/>
                <w:color w:val="000000" w:themeColor="text1"/>
                <w:sz w:val="24"/>
                <w:szCs w:val="24"/>
                <w:lang w:eastAsia="uk-UA"/>
              </w:rPr>
              <w:t>,</w:t>
            </w:r>
            <w:r w:rsidRPr="00380C11">
              <w:rPr>
                <w:rFonts w:ascii="Times New Roman" w:eastAsia="Times New Roman" w:hAnsi="Times New Roman" w:cs="Times New Roman"/>
                <w:color w:val="000000" w:themeColor="text1"/>
                <w:sz w:val="24"/>
                <w:szCs w:val="24"/>
                <w:lang w:eastAsia="uk-UA"/>
              </w:rPr>
              <w:t xml:space="preserve"> </w:t>
            </w:r>
            <w:bookmarkStart w:id="16" w:name="_Hlk120121230"/>
            <w:r w:rsidRPr="00380C11">
              <w:rPr>
                <w:rFonts w:ascii="Times New Roman" w:eastAsia="Times New Roman" w:hAnsi="Times New Roman" w:cs="Times New Roman"/>
                <w:b/>
                <w:color w:val="000000" w:themeColor="text1"/>
                <w:sz w:val="24"/>
                <w:szCs w:val="24"/>
                <w:lang w:eastAsia="uk-UA"/>
              </w:rPr>
              <w:t>з урахуванням положень Кодексу ГТС</w:t>
            </w:r>
            <w:bookmarkEnd w:id="16"/>
            <w:r w:rsidRPr="00380C11">
              <w:rPr>
                <w:rFonts w:ascii="Times New Roman" w:eastAsia="Times New Roman" w:hAnsi="Times New Roman" w:cs="Times New Roman"/>
                <w:b/>
                <w:color w:val="000000" w:themeColor="text1"/>
                <w:sz w:val="24"/>
                <w:szCs w:val="24"/>
                <w:lang w:eastAsia="uk-UA"/>
              </w:rPr>
              <w:t>.</w:t>
            </w:r>
            <w:r w:rsidRPr="00380C11">
              <w:rPr>
                <w:b/>
                <w:color w:val="000000" w:themeColor="text1"/>
              </w:rPr>
              <w:t xml:space="preserve"> </w:t>
            </w:r>
          </w:p>
        </w:tc>
      </w:tr>
      <w:tr w:rsidR="00150AAF" w:rsidTr="00E03B4F">
        <w:trPr>
          <w:trHeight w:val="508"/>
        </w:trPr>
        <w:tc>
          <w:tcPr>
            <w:tcW w:w="7508" w:type="dxa"/>
          </w:tcPr>
          <w:p w:rsidR="00150AAF" w:rsidRPr="00623E8C" w:rsidRDefault="00150AAF" w:rsidP="00380C11">
            <w:pPr>
              <w:spacing w:line="20" w:lineRule="atLeast"/>
              <w:jc w:val="center"/>
              <w:rPr>
                <w:rFonts w:ascii="Times New Roman" w:hAnsi="Times New Roman" w:cs="Times New Roman"/>
                <w:b/>
                <w:sz w:val="24"/>
                <w:szCs w:val="24"/>
              </w:rPr>
            </w:pPr>
            <w:r w:rsidRPr="00C169D5">
              <w:rPr>
                <w:rFonts w:ascii="Times New Roman" w:hAnsi="Times New Roman" w:cs="Times New Roman"/>
                <w:b/>
                <w:sz w:val="24"/>
                <w:szCs w:val="24"/>
              </w:rPr>
              <w:lastRenderedPageBreak/>
              <w:t>ТИПОВИЙ ДОГОВІР ТРАНСПОРТУВАННЯ ПРИРОДНОГО ГАЗУ</w:t>
            </w:r>
          </w:p>
        </w:tc>
        <w:tc>
          <w:tcPr>
            <w:tcW w:w="7518" w:type="dxa"/>
          </w:tcPr>
          <w:p w:rsidR="00150AAF" w:rsidRPr="00623E8C" w:rsidRDefault="00150AAF" w:rsidP="00380C11">
            <w:pPr>
              <w:spacing w:line="20" w:lineRule="atLeast"/>
              <w:jc w:val="center"/>
              <w:rPr>
                <w:rFonts w:ascii="Times New Roman" w:hAnsi="Times New Roman" w:cs="Times New Roman"/>
                <w:b/>
                <w:sz w:val="24"/>
                <w:szCs w:val="24"/>
              </w:rPr>
            </w:pPr>
            <w:r>
              <w:rPr>
                <w:rFonts w:ascii="Times New Roman" w:hAnsi="Times New Roman" w:cs="Times New Roman"/>
                <w:b/>
                <w:sz w:val="24"/>
                <w:szCs w:val="24"/>
              </w:rPr>
              <w:t>ЗМІНИ ДО ТИПОВОГО ДОГОВОРУ ТРАНСПОРТУВАННЯ</w:t>
            </w:r>
          </w:p>
        </w:tc>
      </w:tr>
      <w:tr w:rsidR="00150AAF" w:rsidTr="00E03B4F">
        <w:tc>
          <w:tcPr>
            <w:tcW w:w="7508" w:type="dxa"/>
          </w:tcPr>
          <w:p w:rsidR="00150AAF" w:rsidRPr="00C169D5" w:rsidRDefault="00150AAF" w:rsidP="00380C11">
            <w:pPr>
              <w:shd w:val="clear" w:color="auto" w:fill="FFFFFF" w:themeFill="background1"/>
              <w:tabs>
                <w:tab w:val="left" w:pos="646"/>
              </w:tabs>
              <w:jc w:val="center"/>
              <w:textAlignment w:val="baseline"/>
              <w:rPr>
                <w:rFonts w:ascii="Times New Roman" w:hAnsi="Times New Roman" w:cs="Times New Roman"/>
                <w:b/>
                <w:color w:val="000000" w:themeColor="text1"/>
                <w:sz w:val="24"/>
                <w:szCs w:val="24"/>
              </w:rPr>
            </w:pPr>
            <w:r w:rsidRPr="00C169D5">
              <w:rPr>
                <w:rFonts w:ascii="Times New Roman" w:hAnsi="Times New Roman" w:cs="Times New Roman"/>
                <w:b/>
                <w:color w:val="000000" w:themeColor="text1"/>
                <w:sz w:val="24"/>
                <w:szCs w:val="24"/>
              </w:rPr>
              <w:t xml:space="preserve">IX. </w:t>
            </w:r>
            <w:r>
              <w:rPr>
                <w:rFonts w:ascii="Times New Roman" w:hAnsi="Times New Roman" w:cs="Times New Roman"/>
                <w:b/>
                <w:color w:val="000000" w:themeColor="text1"/>
                <w:sz w:val="24"/>
                <w:szCs w:val="24"/>
              </w:rPr>
              <w:t>В</w:t>
            </w:r>
            <w:r w:rsidRPr="00C169D5">
              <w:rPr>
                <w:rFonts w:ascii="Times New Roman" w:hAnsi="Times New Roman" w:cs="Times New Roman"/>
                <w:b/>
                <w:color w:val="000000" w:themeColor="text1"/>
                <w:sz w:val="24"/>
                <w:szCs w:val="24"/>
              </w:rPr>
              <w:t>изначення вартості щодобових небалансів та порядок розрахунків за них</w:t>
            </w:r>
          </w:p>
        </w:tc>
        <w:tc>
          <w:tcPr>
            <w:tcW w:w="7518" w:type="dxa"/>
          </w:tcPr>
          <w:p w:rsidR="00150AAF" w:rsidRPr="00C169D5" w:rsidRDefault="00150AAF" w:rsidP="00380C11">
            <w:pPr>
              <w:shd w:val="clear" w:color="auto" w:fill="FFFFFF" w:themeFill="background1"/>
              <w:jc w:val="center"/>
              <w:textAlignment w:val="baseline"/>
              <w:rPr>
                <w:rFonts w:ascii="Times New Roman" w:hAnsi="Times New Roman" w:cs="Times New Roman"/>
                <w:b/>
                <w:color w:val="000000" w:themeColor="text1"/>
                <w:sz w:val="24"/>
                <w:szCs w:val="24"/>
              </w:rPr>
            </w:pPr>
            <w:r w:rsidRPr="00C169D5">
              <w:rPr>
                <w:rFonts w:ascii="Times New Roman" w:hAnsi="Times New Roman" w:cs="Times New Roman"/>
                <w:b/>
                <w:color w:val="000000" w:themeColor="text1"/>
                <w:sz w:val="24"/>
                <w:szCs w:val="24"/>
              </w:rPr>
              <w:t xml:space="preserve">IX. </w:t>
            </w:r>
            <w:r>
              <w:rPr>
                <w:rFonts w:ascii="Times New Roman" w:hAnsi="Times New Roman" w:cs="Times New Roman"/>
                <w:b/>
                <w:color w:val="000000" w:themeColor="text1"/>
                <w:sz w:val="24"/>
                <w:szCs w:val="24"/>
              </w:rPr>
              <w:t>В</w:t>
            </w:r>
            <w:r w:rsidRPr="00C169D5">
              <w:rPr>
                <w:rFonts w:ascii="Times New Roman" w:hAnsi="Times New Roman" w:cs="Times New Roman"/>
                <w:b/>
                <w:color w:val="000000" w:themeColor="text1"/>
                <w:sz w:val="24"/>
                <w:szCs w:val="24"/>
              </w:rPr>
              <w:t>изначення вартості щодобових небалансів та порядок розрахунків за них</w:t>
            </w:r>
          </w:p>
        </w:tc>
      </w:tr>
      <w:tr w:rsidR="00150AAF" w:rsidTr="00E03B4F">
        <w:tc>
          <w:tcPr>
            <w:tcW w:w="7508" w:type="dxa"/>
          </w:tcPr>
          <w:p w:rsidR="00150AAF" w:rsidRPr="00380C11" w:rsidRDefault="00150AAF" w:rsidP="00380C11">
            <w:pPr>
              <w:shd w:val="clear" w:color="auto" w:fill="FFFFFF"/>
              <w:ind w:firstLine="450"/>
              <w:jc w:val="center"/>
              <w:rPr>
                <w:rFonts w:ascii="Times New Roman" w:hAnsi="Times New Roman" w:cs="Times New Roman"/>
                <w:b/>
                <w:color w:val="000000"/>
                <w:sz w:val="24"/>
                <w:szCs w:val="24"/>
                <w:shd w:val="clear" w:color="auto" w:fill="FFFFFF"/>
              </w:rPr>
            </w:pPr>
            <w:r w:rsidRPr="00380C11">
              <w:rPr>
                <w:rFonts w:ascii="Times New Roman" w:hAnsi="Times New Roman" w:cs="Times New Roman"/>
                <w:b/>
                <w:color w:val="000000"/>
                <w:sz w:val="24"/>
                <w:szCs w:val="24"/>
                <w:shd w:val="clear" w:color="auto" w:fill="FFFFFF"/>
              </w:rPr>
              <w:t>Норма відсутня</w:t>
            </w:r>
          </w:p>
        </w:tc>
        <w:tc>
          <w:tcPr>
            <w:tcW w:w="7518" w:type="dxa"/>
          </w:tcPr>
          <w:p w:rsidR="00150AAF" w:rsidRPr="00C63292" w:rsidRDefault="00150AAF" w:rsidP="00380C11">
            <w:pPr>
              <w:shd w:val="clear" w:color="auto" w:fill="FFFFFF"/>
              <w:ind w:firstLine="450"/>
              <w:jc w:val="both"/>
              <w:rPr>
                <w:rFonts w:ascii="Times New Roman" w:hAnsi="Times New Roman" w:cs="Times New Roman"/>
                <w:color w:val="000000"/>
                <w:sz w:val="24"/>
                <w:szCs w:val="24"/>
                <w:shd w:val="clear" w:color="auto" w:fill="FFFFFF"/>
              </w:rPr>
            </w:pPr>
            <w:r w:rsidRPr="00C63292">
              <w:rPr>
                <w:rFonts w:ascii="Times New Roman" w:hAnsi="Times New Roman" w:cs="Times New Roman"/>
                <w:color w:val="000000" w:themeColor="text1"/>
                <w:sz w:val="24"/>
                <w:szCs w:val="24"/>
              </w:rPr>
              <w:t>9.7. Положення цього розділу не застосовуються при визначенні плати за несанкціонований відбір.</w:t>
            </w:r>
          </w:p>
        </w:tc>
      </w:tr>
      <w:tr w:rsidR="00150AAF" w:rsidTr="00E03B4F">
        <w:tc>
          <w:tcPr>
            <w:tcW w:w="7508" w:type="dxa"/>
          </w:tcPr>
          <w:p w:rsidR="00150AAF" w:rsidRPr="00C169D5" w:rsidRDefault="00150AAF" w:rsidP="00380C11">
            <w:pPr>
              <w:shd w:val="clear" w:color="auto" w:fill="FFFFFF"/>
              <w:ind w:firstLine="450"/>
              <w:jc w:val="both"/>
              <w:rPr>
                <w:rFonts w:ascii="Times New Roman" w:hAnsi="Times New Roman" w:cs="Times New Roman"/>
                <w:color w:val="000000"/>
                <w:sz w:val="24"/>
                <w:szCs w:val="24"/>
                <w:shd w:val="clear" w:color="auto" w:fill="FFFFFF"/>
              </w:rPr>
            </w:pPr>
            <w:r w:rsidRPr="00C169D5">
              <w:rPr>
                <w:rFonts w:ascii="Times New Roman" w:hAnsi="Times New Roman" w:cs="Times New Roman"/>
                <w:b/>
                <w:color w:val="000000" w:themeColor="text1"/>
                <w:sz w:val="24"/>
                <w:szCs w:val="24"/>
              </w:rPr>
              <w:t>XV. Припинення та обмеження транспортування природного газу</w:t>
            </w:r>
          </w:p>
        </w:tc>
        <w:tc>
          <w:tcPr>
            <w:tcW w:w="7518" w:type="dxa"/>
          </w:tcPr>
          <w:p w:rsidR="00150AAF" w:rsidRPr="00C169D5" w:rsidRDefault="00150AAF" w:rsidP="00380C11">
            <w:pPr>
              <w:shd w:val="clear" w:color="auto" w:fill="FFFFFF"/>
              <w:ind w:firstLine="450"/>
              <w:jc w:val="both"/>
              <w:rPr>
                <w:rFonts w:ascii="Times New Roman" w:hAnsi="Times New Roman" w:cs="Times New Roman"/>
                <w:color w:val="000000"/>
                <w:sz w:val="24"/>
                <w:szCs w:val="24"/>
                <w:shd w:val="clear" w:color="auto" w:fill="FFFFFF"/>
              </w:rPr>
            </w:pPr>
            <w:r w:rsidRPr="00C169D5">
              <w:rPr>
                <w:rFonts w:ascii="Times New Roman" w:hAnsi="Times New Roman" w:cs="Times New Roman"/>
                <w:b/>
                <w:color w:val="000000" w:themeColor="text1"/>
                <w:sz w:val="24"/>
                <w:szCs w:val="24"/>
              </w:rPr>
              <w:t xml:space="preserve">XV. </w:t>
            </w:r>
            <w:r>
              <w:rPr>
                <w:rFonts w:ascii="Times New Roman" w:hAnsi="Times New Roman" w:cs="Times New Roman"/>
                <w:b/>
                <w:color w:val="000000" w:themeColor="text1"/>
                <w:sz w:val="24"/>
                <w:szCs w:val="24"/>
              </w:rPr>
              <w:t>П</w:t>
            </w:r>
            <w:r w:rsidRPr="00C169D5">
              <w:rPr>
                <w:rFonts w:ascii="Times New Roman" w:hAnsi="Times New Roman" w:cs="Times New Roman"/>
                <w:b/>
                <w:color w:val="000000" w:themeColor="text1"/>
                <w:sz w:val="24"/>
                <w:szCs w:val="24"/>
              </w:rPr>
              <w:t>рипинення та обмеження транспортування природного газу</w:t>
            </w:r>
          </w:p>
        </w:tc>
      </w:tr>
      <w:tr w:rsidR="00150AAF" w:rsidTr="00E03B4F">
        <w:tc>
          <w:tcPr>
            <w:tcW w:w="7508" w:type="dxa"/>
          </w:tcPr>
          <w:p w:rsidR="00150AAF" w:rsidRPr="00C169D5" w:rsidRDefault="00150AAF" w:rsidP="00380C11">
            <w:pPr>
              <w:shd w:val="clear" w:color="auto" w:fill="FFFFFF"/>
              <w:ind w:firstLine="709"/>
              <w:jc w:val="both"/>
              <w:rPr>
                <w:rFonts w:ascii="Times New Roman" w:hAnsi="Times New Roman" w:cs="Times New Roman"/>
                <w:color w:val="000000"/>
                <w:sz w:val="24"/>
                <w:szCs w:val="24"/>
                <w:shd w:val="clear" w:color="auto" w:fill="FFFFFF"/>
              </w:rPr>
            </w:pPr>
            <w:r w:rsidRPr="00C169D5">
              <w:rPr>
                <w:rFonts w:ascii="Times New Roman" w:hAnsi="Times New Roman" w:cs="Times New Roman"/>
                <w:color w:val="000000"/>
                <w:sz w:val="24"/>
                <w:szCs w:val="24"/>
                <w:shd w:val="clear" w:color="auto" w:fill="FFFFFF"/>
              </w:rPr>
              <w:t>15.3. Вартість обсягу природного газу, що був використаний Замовником, який є прямим споживачем, з часу, вказаного в повідомленні-вимозі про самостійне припинення споживання природного газу, до часу фактичного припинення споживання природного газу сплачується суб'єктом, що приєднаний до точки виходу, на рахунок Оператора. Вартість такого природного газу визначається таким чином:</w:t>
            </w:r>
          </w:p>
          <w:p w:rsidR="00150AAF" w:rsidRPr="00C169D5" w:rsidRDefault="00150AAF" w:rsidP="00380C11">
            <w:pPr>
              <w:shd w:val="clear" w:color="auto" w:fill="FFFFFF"/>
              <w:jc w:val="center"/>
              <w:rPr>
                <w:rFonts w:ascii="Times New Roman" w:hAnsi="Times New Roman" w:cs="Times New Roman"/>
                <w:color w:val="000000"/>
                <w:sz w:val="24"/>
                <w:szCs w:val="24"/>
                <w:shd w:val="clear" w:color="auto" w:fill="FFFFFF"/>
              </w:rPr>
            </w:pPr>
            <w:r w:rsidRPr="00C169D5">
              <w:rPr>
                <w:rFonts w:ascii="Times New Roman" w:hAnsi="Times New Roman" w:cs="Times New Roman"/>
                <w:color w:val="000000"/>
                <w:sz w:val="24"/>
                <w:szCs w:val="24"/>
                <w:shd w:val="clear" w:color="auto" w:fill="FFFFFF"/>
              </w:rPr>
              <w:t>B = V х Ц х 2,</w:t>
            </w:r>
          </w:p>
          <w:p w:rsidR="00150AAF" w:rsidRPr="00C169D5" w:rsidRDefault="00150AAF" w:rsidP="00380C11">
            <w:pPr>
              <w:shd w:val="clear" w:color="auto" w:fill="FFFFFF"/>
              <w:jc w:val="both"/>
              <w:rPr>
                <w:rFonts w:ascii="Times New Roman" w:hAnsi="Times New Roman" w:cs="Times New Roman"/>
                <w:color w:val="000000"/>
                <w:sz w:val="24"/>
                <w:szCs w:val="24"/>
                <w:shd w:val="clear" w:color="auto" w:fill="FFFFFF"/>
              </w:rPr>
            </w:pPr>
            <w:r w:rsidRPr="00C169D5">
              <w:rPr>
                <w:rFonts w:ascii="Times New Roman" w:hAnsi="Times New Roman" w:cs="Times New Roman"/>
                <w:color w:val="000000"/>
                <w:sz w:val="24"/>
                <w:szCs w:val="24"/>
                <w:shd w:val="clear" w:color="auto" w:fill="FFFFFF"/>
              </w:rPr>
              <w:t>де</w:t>
            </w:r>
          </w:p>
          <w:p w:rsidR="00150AAF" w:rsidRPr="00C169D5" w:rsidRDefault="00150AAF" w:rsidP="00380C11">
            <w:pPr>
              <w:shd w:val="clear" w:color="auto" w:fill="FFFFFF"/>
              <w:jc w:val="both"/>
              <w:rPr>
                <w:rFonts w:ascii="Times New Roman" w:hAnsi="Times New Roman" w:cs="Times New Roman"/>
                <w:color w:val="000000"/>
                <w:sz w:val="24"/>
                <w:szCs w:val="24"/>
                <w:shd w:val="clear" w:color="auto" w:fill="FFFFFF"/>
              </w:rPr>
            </w:pPr>
            <w:r w:rsidRPr="00C169D5">
              <w:rPr>
                <w:rFonts w:ascii="Times New Roman" w:hAnsi="Times New Roman" w:cs="Times New Roman"/>
                <w:color w:val="000000"/>
                <w:sz w:val="24"/>
                <w:szCs w:val="24"/>
                <w:shd w:val="clear" w:color="auto" w:fill="FFFFFF"/>
              </w:rPr>
              <w:t>V - обсяг природного газу;</w:t>
            </w:r>
          </w:p>
          <w:p w:rsidR="00150AAF" w:rsidRPr="00C169D5" w:rsidRDefault="00150AAF" w:rsidP="00380C11">
            <w:pPr>
              <w:shd w:val="clear" w:color="auto" w:fill="FFFFFF"/>
              <w:ind w:firstLine="450"/>
              <w:jc w:val="both"/>
              <w:rPr>
                <w:rFonts w:ascii="Times New Roman" w:hAnsi="Times New Roman" w:cs="Times New Roman"/>
                <w:b/>
                <w:color w:val="000000" w:themeColor="text1"/>
                <w:sz w:val="24"/>
                <w:szCs w:val="24"/>
              </w:rPr>
            </w:pPr>
            <w:r w:rsidRPr="00C169D5">
              <w:rPr>
                <w:rFonts w:ascii="Times New Roman" w:hAnsi="Times New Roman" w:cs="Times New Roman"/>
                <w:color w:val="000000"/>
                <w:sz w:val="24"/>
                <w:szCs w:val="24"/>
                <w:shd w:val="clear" w:color="auto" w:fill="FFFFFF"/>
              </w:rPr>
              <w:t>Ц - базова ціна природного газу.</w:t>
            </w:r>
          </w:p>
        </w:tc>
        <w:tc>
          <w:tcPr>
            <w:tcW w:w="7518" w:type="dxa"/>
          </w:tcPr>
          <w:p w:rsidR="00150AAF" w:rsidRPr="00C169D5" w:rsidRDefault="00150AAF" w:rsidP="00380C11">
            <w:pPr>
              <w:shd w:val="clear" w:color="auto" w:fill="FFFFFF" w:themeFill="background1"/>
              <w:ind w:firstLine="709"/>
              <w:jc w:val="both"/>
              <w:textAlignment w:val="baseline"/>
              <w:rPr>
                <w:rFonts w:ascii="Times New Roman" w:hAnsi="Times New Roman" w:cs="Times New Roman"/>
                <w:b/>
                <w:color w:val="000000" w:themeColor="text1"/>
                <w:sz w:val="24"/>
                <w:szCs w:val="24"/>
              </w:rPr>
            </w:pPr>
            <w:r w:rsidRPr="00C169D5">
              <w:rPr>
                <w:rFonts w:ascii="Times New Roman" w:hAnsi="Times New Roman" w:cs="Times New Roman"/>
                <w:b/>
                <w:color w:val="000000" w:themeColor="text1"/>
                <w:sz w:val="24"/>
                <w:szCs w:val="24"/>
              </w:rPr>
              <w:t>15.3. Прямий споживач або оператор газорозподільної системи, який здійснив несанкціонований відбір газу, зобов’язаний оплатити оператору газотранспортної системи плату за несанкціонований відбір.</w:t>
            </w:r>
          </w:p>
          <w:p w:rsidR="00150AAF" w:rsidRPr="00C169D5" w:rsidRDefault="00150AAF" w:rsidP="00380C11">
            <w:pPr>
              <w:shd w:val="clear" w:color="auto" w:fill="FFFFFF" w:themeFill="background1"/>
              <w:tabs>
                <w:tab w:val="left" w:pos="9815"/>
              </w:tabs>
              <w:ind w:firstLine="709"/>
              <w:jc w:val="both"/>
              <w:textAlignment w:val="baseline"/>
              <w:rPr>
                <w:rFonts w:ascii="Times New Roman" w:hAnsi="Times New Roman" w:cs="Times New Roman"/>
                <w:b/>
                <w:color w:val="000000" w:themeColor="text1"/>
                <w:sz w:val="24"/>
                <w:szCs w:val="24"/>
              </w:rPr>
            </w:pPr>
            <w:r w:rsidRPr="00C169D5">
              <w:rPr>
                <w:rFonts w:ascii="Times New Roman" w:hAnsi="Times New Roman" w:cs="Times New Roman"/>
                <w:b/>
                <w:color w:val="000000" w:themeColor="text1"/>
                <w:sz w:val="24"/>
                <w:szCs w:val="24"/>
              </w:rPr>
              <w:t>Розмір плати за несанкціонований відбір розраховується за формулою:</w:t>
            </w:r>
          </w:p>
          <w:p w:rsidR="00150AAF" w:rsidRPr="00C169D5" w:rsidRDefault="00150AAF" w:rsidP="00380C11">
            <w:pPr>
              <w:shd w:val="clear" w:color="auto" w:fill="FFFFFF" w:themeFill="background1"/>
              <w:tabs>
                <w:tab w:val="left" w:pos="9815"/>
              </w:tabs>
              <w:jc w:val="center"/>
              <w:textAlignment w:val="baseline"/>
              <w:rPr>
                <w:rFonts w:ascii="Times New Roman" w:eastAsia="Calibri" w:hAnsi="Times New Roman" w:cs="Times New Roman"/>
                <w:b/>
                <w:bCs/>
                <w:color w:val="000000" w:themeColor="text1"/>
                <w:sz w:val="24"/>
                <w:szCs w:val="24"/>
                <w:lang w:eastAsia="uk-UA"/>
              </w:rPr>
            </w:pPr>
            <w:r w:rsidRPr="00C169D5">
              <w:rPr>
                <w:rFonts w:ascii="Times New Roman" w:hAnsi="Times New Roman" w:cs="Times New Roman"/>
                <w:b/>
                <w:color w:val="000000" w:themeColor="text1"/>
                <w:sz w:val="24"/>
                <w:szCs w:val="24"/>
              </w:rPr>
              <w:t>ПНВ = (</w:t>
            </w:r>
            <w:r w:rsidRPr="00C169D5">
              <w:rPr>
                <w:rFonts w:ascii="Times New Roman" w:eastAsia="Calibri" w:hAnsi="Times New Roman" w:cs="Times New Roman"/>
                <w:b/>
                <w:color w:val="000000" w:themeColor="text1"/>
                <w:position w:val="-28"/>
                <w:sz w:val="24"/>
                <w:szCs w:val="24"/>
                <w:lang w:eastAsia="uk-UA"/>
              </w:rPr>
              <w:object w:dxaOrig="460" w:dyaOrig="680">
                <v:shape id="_x0000_i1029" type="#_x0000_t75" style="width:22.5pt;height:34.5pt" o:ole="">
                  <v:imagedata r:id="rId11" o:title=""/>
                </v:shape>
                <o:OLEObject Type="Embed" ProgID="Equation.3" ShapeID="_x0000_i1029" DrawAspect="Content" ObjectID="_1731236966" r:id="rId18"/>
              </w:object>
            </w:r>
            <w:r w:rsidRPr="00C169D5">
              <w:rPr>
                <w:rFonts w:ascii="Times New Roman" w:hAnsi="Times New Roman" w:cs="Times New Roman"/>
                <w:b/>
                <w:color w:val="000000" w:themeColor="text1"/>
                <w:sz w:val="24"/>
                <w:szCs w:val="24"/>
              </w:rPr>
              <w:t>ОНВ * МЦ * 1,1) + (</w:t>
            </w:r>
            <w:r w:rsidRPr="00C169D5">
              <w:rPr>
                <w:rFonts w:ascii="Times New Roman" w:eastAsia="Calibri" w:hAnsi="Times New Roman" w:cs="Times New Roman"/>
                <w:b/>
                <w:color w:val="000000" w:themeColor="text1"/>
                <w:position w:val="-28"/>
                <w:sz w:val="24"/>
                <w:szCs w:val="24"/>
                <w:lang w:eastAsia="uk-UA"/>
              </w:rPr>
              <w:object w:dxaOrig="460" w:dyaOrig="680">
                <v:shape id="_x0000_i1030" type="#_x0000_t75" style="width:22.5pt;height:34.5pt" o:ole="">
                  <v:imagedata r:id="rId11" o:title=""/>
                </v:shape>
                <o:OLEObject Type="Embed" ProgID="Equation.3" ShapeID="_x0000_i1030" DrawAspect="Content" ObjectID="_1731236967" r:id="rId19"/>
              </w:object>
            </w:r>
            <w:proofErr w:type="spellStart"/>
            <w:r w:rsidRPr="00C169D5">
              <w:rPr>
                <w:rFonts w:ascii="Times New Roman" w:eastAsia="Calibri" w:hAnsi="Times New Roman" w:cs="Times New Roman"/>
                <w:b/>
                <w:color w:val="000000" w:themeColor="text1"/>
                <w:sz w:val="24"/>
                <w:szCs w:val="24"/>
                <w:lang w:eastAsia="uk-UA"/>
              </w:rPr>
              <w:t>С</w:t>
            </w:r>
            <w:r w:rsidRPr="00C169D5">
              <w:rPr>
                <w:rFonts w:ascii="Times New Roman" w:eastAsia="Calibri" w:hAnsi="Times New Roman" w:cs="Times New Roman"/>
                <w:b/>
                <w:bCs/>
                <w:color w:val="000000" w:themeColor="text1"/>
                <w:sz w:val="24"/>
                <w:szCs w:val="24"/>
                <w:vertAlign w:val="superscript"/>
                <w:lang w:eastAsia="uk-UA"/>
              </w:rPr>
              <w:t>і</w:t>
            </w:r>
            <w:r w:rsidRPr="00C169D5">
              <w:rPr>
                <w:rFonts w:ascii="Times New Roman" w:eastAsia="Calibri" w:hAnsi="Times New Roman" w:cs="Times New Roman"/>
                <w:b/>
                <w:bCs/>
                <w:color w:val="000000" w:themeColor="text1"/>
                <w:sz w:val="24"/>
                <w:szCs w:val="24"/>
                <w:vertAlign w:val="subscript"/>
                <w:lang w:eastAsia="uk-UA"/>
              </w:rPr>
              <w:t>вих</w:t>
            </w:r>
            <w:proofErr w:type="spellEnd"/>
            <w:r w:rsidRPr="00C169D5">
              <w:rPr>
                <w:rFonts w:ascii="Times New Roman" w:eastAsia="Calibri" w:hAnsi="Times New Roman" w:cs="Times New Roman"/>
                <w:b/>
                <w:bCs/>
                <w:color w:val="000000" w:themeColor="text1"/>
                <w:sz w:val="24"/>
                <w:szCs w:val="24"/>
                <w:vertAlign w:val="subscript"/>
                <w:lang w:eastAsia="uk-UA"/>
              </w:rPr>
              <w:t xml:space="preserve"> факт</w:t>
            </w:r>
            <w:r w:rsidRPr="00C169D5">
              <w:rPr>
                <w:rFonts w:ascii="Times New Roman" w:hAnsi="Times New Roman" w:cs="Times New Roman"/>
                <w:b/>
                <w:color w:val="000000" w:themeColor="text1"/>
                <w:sz w:val="24"/>
                <w:szCs w:val="24"/>
              </w:rPr>
              <w:t xml:space="preserve"> * </w:t>
            </w:r>
            <w:proofErr w:type="spellStart"/>
            <w:r w:rsidRPr="00C169D5">
              <w:rPr>
                <w:rFonts w:ascii="Times New Roman" w:eastAsia="Calibri" w:hAnsi="Times New Roman" w:cs="Times New Roman"/>
                <w:b/>
                <w:color w:val="000000" w:themeColor="text1"/>
                <w:sz w:val="24"/>
                <w:szCs w:val="24"/>
                <w:lang w:eastAsia="uk-UA"/>
              </w:rPr>
              <w:t>Т</w:t>
            </w:r>
            <w:r w:rsidRPr="00C169D5">
              <w:rPr>
                <w:rFonts w:ascii="Times New Roman" w:eastAsia="Calibri" w:hAnsi="Times New Roman" w:cs="Times New Roman"/>
                <w:b/>
                <w:bCs/>
                <w:color w:val="000000" w:themeColor="text1"/>
                <w:sz w:val="24"/>
                <w:szCs w:val="24"/>
                <w:vertAlign w:val="superscript"/>
                <w:lang w:eastAsia="uk-UA"/>
              </w:rPr>
              <w:t>і</w:t>
            </w:r>
            <w:r w:rsidRPr="00C169D5">
              <w:rPr>
                <w:rFonts w:ascii="Times New Roman" w:eastAsia="Calibri" w:hAnsi="Times New Roman" w:cs="Times New Roman"/>
                <w:b/>
                <w:bCs/>
                <w:color w:val="000000" w:themeColor="text1"/>
                <w:sz w:val="24"/>
                <w:szCs w:val="24"/>
                <w:vertAlign w:val="subscript"/>
                <w:lang w:eastAsia="uk-UA"/>
              </w:rPr>
              <w:t>вих</w:t>
            </w:r>
            <w:proofErr w:type="spellEnd"/>
            <w:r w:rsidRPr="00C169D5">
              <w:rPr>
                <w:rFonts w:ascii="Times New Roman" w:eastAsia="Calibri" w:hAnsi="Times New Roman" w:cs="Times New Roman"/>
                <w:b/>
                <w:bCs/>
                <w:color w:val="000000" w:themeColor="text1"/>
                <w:sz w:val="24"/>
                <w:szCs w:val="24"/>
                <w:vertAlign w:val="subscript"/>
                <w:lang w:eastAsia="uk-UA"/>
              </w:rPr>
              <w:t xml:space="preserve"> </w:t>
            </w:r>
            <w:r w:rsidRPr="00C169D5">
              <w:rPr>
                <w:rFonts w:ascii="Times New Roman" w:hAnsi="Times New Roman" w:cs="Times New Roman"/>
                <w:b/>
                <w:color w:val="000000" w:themeColor="text1"/>
                <w:sz w:val="24"/>
                <w:szCs w:val="24"/>
              </w:rPr>
              <w:t>* 1,1</w:t>
            </w:r>
            <w:r w:rsidRPr="00C169D5">
              <w:rPr>
                <w:rFonts w:ascii="Times New Roman" w:eastAsia="Calibri" w:hAnsi="Times New Roman" w:cs="Times New Roman"/>
                <w:b/>
                <w:bCs/>
                <w:color w:val="000000" w:themeColor="text1"/>
                <w:sz w:val="24"/>
                <w:szCs w:val="24"/>
                <w:lang w:eastAsia="uk-UA"/>
              </w:rPr>
              <w:t>)</w:t>
            </w:r>
          </w:p>
          <w:p w:rsidR="00150AAF" w:rsidRPr="00C169D5" w:rsidRDefault="00150AAF" w:rsidP="00380C11">
            <w:pPr>
              <w:shd w:val="clear" w:color="auto" w:fill="FFFFFF" w:themeFill="background1"/>
              <w:tabs>
                <w:tab w:val="left" w:pos="9815"/>
              </w:tabs>
              <w:jc w:val="both"/>
              <w:textAlignment w:val="baseline"/>
              <w:rPr>
                <w:rFonts w:ascii="Times New Roman" w:hAnsi="Times New Roman" w:cs="Times New Roman"/>
                <w:b/>
                <w:color w:val="000000" w:themeColor="text1"/>
                <w:sz w:val="24"/>
                <w:szCs w:val="24"/>
              </w:rPr>
            </w:pPr>
            <w:r w:rsidRPr="00C169D5">
              <w:rPr>
                <w:rFonts w:ascii="Times New Roman" w:hAnsi="Times New Roman" w:cs="Times New Roman"/>
                <w:b/>
                <w:color w:val="000000" w:themeColor="text1"/>
                <w:sz w:val="24"/>
                <w:szCs w:val="24"/>
              </w:rPr>
              <w:t>де:</w:t>
            </w:r>
          </w:p>
          <w:tbl>
            <w:tblPr>
              <w:tblStyle w:val="a3"/>
              <w:tblW w:w="6954" w:type="dxa"/>
              <w:tblInd w:w="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9"/>
              <w:gridCol w:w="5645"/>
            </w:tblGrid>
            <w:tr w:rsidR="00150AAF" w:rsidRPr="00C169D5" w:rsidTr="007F30A2">
              <w:tc>
                <w:tcPr>
                  <w:tcW w:w="1309" w:type="dxa"/>
                </w:tcPr>
                <w:p w:rsidR="00150AAF" w:rsidRPr="00C169D5" w:rsidRDefault="00150AAF" w:rsidP="00380C11">
                  <w:pPr>
                    <w:tabs>
                      <w:tab w:val="left" w:pos="9815"/>
                    </w:tabs>
                    <w:jc w:val="both"/>
                    <w:textAlignment w:val="baseline"/>
                    <w:rPr>
                      <w:rFonts w:ascii="Times New Roman" w:hAnsi="Times New Roman" w:cs="Times New Roman"/>
                      <w:b/>
                      <w:color w:val="000000" w:themeColor="text1"/>
                      <w:sz w:val="24"/>
                      <w:szCs w:val="24"/>
                    </w:rPr>
                  </w:pPr>
                  <w:r w:rsidRPr="00C169D5">
                    <w:rPr>
                      <w:rFonts w:ascii="Times New Roman" w:hAnsi="Times New Roman" w:cs="Times New Roman"/>
                      <w:b/>
                      <w:color w:val="000000" w:themeColor="text1"/>
                      <w:sz w:val="24"/>
                      <w:szCs w:val="24"/>
                    </w:rPr>
                    <w:t>ПНВ</w:t>
                  </w:r>
                </w:p>
              </w:tc>
              <w:tc>
                <w:tcPr>
                  <w:tcW w:w="5645" w:type="dxa"/>
                </w:tcPr>
                <w:p w:rsidR="00150AAF" w:rsidRPr="00C169D5" w:rsidRDefault="00150AAF" w:rsidP="00380C11">
                  <w:pPr>
                    <w:tabs>
                      <w:tab w:val="left" w:pos="9815"/>
                    </w:tabs>
                    <w:ind w:hanging="142"/>
                    <w:jc w:val="both"/>
                    <w:textAlignment w:val="baseline"/>
                    <w:rPr>
                      <w:rFonts w:ascii="Times New Roman" w:hAnsi="Times New Roman" w:cs="Times New Roman"/>
                      <w:b/>
                      <w:color w:val="000000" w:themeColor="text1"/>
                      <w:sz w:val="24"/>
                      <w:szCs w:val="24"/>
                    </w:rPr>
                  </w:pPr>
                  <w:r w:rsidRPr="00C169D5">
                    <w:rPr>
                      <w:rFonts w:ascii="Times New Roman" w:hAnsi="Times New Roman" w:cs="Times New Roman"/>
                      <w:b/>
                      <w:color w:val="000000" w:themeColor="text1"/>
                      <w:sz w:val="24"/>
                      <w:szCs w:val="24"/>
                    </w:rPr>
                    <w:t>- плата за несанкціонований відбір</w:t>
                  </w:r>
                </w:p>
              </w:tc>
            </w:tr>
            <w:tr w:rsidR="00150AAF" w:rsidRPr="00C169D5" w:rsidTr="007F30A2">
              <w:tc>
                <w:tcPr>
                  <w:tcW w:w="1309" w:type="dxa"/>
                </w:tcPr>
                <w:p w:rsidR="00150AAF" w:rsidRPr="00C169D5" w:rsidRDefault="00150AAF" w:rsidP="00380C11">
                  <w:pPr>
                    <w:tabs>
                      <w:tab w:val="left" w:pos="9815"/>
                    </w:tabs>
                    <w:jc w:val="both"/>
                    <w:textAlignment w:val="baseline"/>
                    <w:rPr>
                      <w:rFonts w:ascii="Times New Roman" w:hAnsi="Times New Roman" w:cs="Times New Roman"/>
                      <w:b/>
                      <w:color w:val="000000" w:themeColor="text1"/>
                      <w:sz w:val="24"/>
                      <w:szCs w:val="24"/>
                    </w:rPr>
                  </w:pPr>
                  <w:r w:rsidRPr="00C169D5">
                    <w:rPr>
                      <w:rFonts w:ascii="Times New Roman" w:hAnsi="Times New Roman" w:cs="Times New Roman"/>
                      <w:b/>
                      <w:color w:val="000000" w:themeColor="text1"/>
                      <w:sz w:val="24"/>
                      <w:szCs w:val="24"/>
                    </w:rPr>
                    <w:t>n</w:t>
                  </w:r>
                </w:p>
              </w:tc>
              <w:tc>
                <w:tcPr>
                  <w:tcW w:w="5645" w:type="dxa"/>
                </w:tcPr>
                <w:p w:rsidR="00150AAF" w:rsidRPr="00C169D5" w:rsidRDefault="00150AAF" w:rsidP="00380C11">
                  <w:pPr>
                    <w:tabs>
                      <w:tab w:val="left" w:pos="9815"/>
                    </w:tabs>
                    <w:ind w:hanging="142"/>
                    <w:jc w:val="both"/>
                    <w:textAlignment w:val="baseline"/>
                    <w:rPr>
                      <w:rFonts w:ascii="Times New Roman" w:hAnsi="Times New Roman" w:cs="Times New Roman"/>
                      <w:b/>
                      <w:color w:val="000000" w:themeColor="text1"/>
                      <w:sz w:val="24"/>
                      <w:szCs w:val="24"/>
                    </w:rPr>
                  </w:pPr>
                  <w:r w:rsidRPr="00C169D5">
                    <w:rPr>
                      <w:rFonts w:ascii="Times New Roman" w:hAnsi="Times New Roman" w:cs="Times New Roman"/>
                      <w:b/>
                      <w:color w:val="000000" w:themeColor="text1"/>
                      <w:sz w:val="24"/>
                      <w:szCs w:val="24"/>
                    </w:rPr>
                    <w:t>- кількість діб несанкціонованого відбору;</w:t>
                  </w:r>
                </w:p>
              </w:tc>
            </w:tr>
            <w:tr w:rsidR="00150AAF" w:rsidRPr="00C169D5" w:rsidTr="007F30A2">
              <w:tc>
                <w:tcPr>
                  <w:tcW w:w="1309" w:type="dxa"/>
                </w:tcPr>
                <w:p w:rsidR="00150AAF" w:rsidRPr="00C169D5" w:rsidRDefault="00150AAF" w:rsidP="00380C11">
                  <w:pPr>
                    <w:tabs>
                      <w:tab w:val="left" w:pos="9815"/>
                    </w:tabs>
                    <w:jc w:val="both"/>
                    <w:textAlignment w:val="baseline"/>
                    <w:rPr>
                      <w:rFonts w:ascii="Times New Roman" w:hAnsi="Times New Roman" w:cs="Times New Roman"/>
                      <w:b/>
                      <w:color w:val="000000" w:themeColor="text1"/>
                      <w:sz w:val="24"/>
                      <w:szCs w:val="24"/>
                    </w:rPr>
                  </w:pPr>
                  <w:r w:rsidRPr="00C169D5">
                    <w:rPr>
                      <w:rFonts w:ascii="Times New Roman" w:hAnsi="Times New Roman" w:cs="Times New Roman"/>
                      <w:b/>
                      <w:color w:val="000000" w:themeColor="text1"/>
                      <w:sz w:val="24"/>
                      <w:szCs w:val="24"/>
                    </w:rPr>
                    <w:t>ОНВ</w:t>
                  </w:r>
                </w:p>
              </w:tc>
              <w:tc>
                <w:tcPr>
                  <w:tcW w:w="5645" w:type="dxa"/>
                </w:tcPr>
                <w:p w:rsidR="00150AAF" w:rsidRPr="00C169D5" w:rsidRDefault="00150AAF" w:rsidP="00380C11">
                  <w:pPr>
                    <w:tabs>
                      <w:tab w:val="left" w:pos="9815"/>
                    </w:tabs>
                    <w:ind w:hanging="142"/>
                    <w:jc w:val="both"/>
                    <w:textAlignment w:val="baseline"/>
                    <w:rPr>
                      <w:rFonts w:ascii="Times New Roman" w:hAnsi="Times New Roman" w:cs="Times New Roman"/>
                      <w:b/>
                      <w:color w:val="000000" w:themeColor="text1"/>
                      <w:sz w:val="24"/>
                      <w:szCs w:val="24"/>
                    </w:rPr>
                  </w:pPr>
                  <w:r w:rsidRPr="00C169D5">
                    <w:rPr>
                      <w:rFonts w:ascii="Times New Roman" w:hAnsi="Times New Roman" w:cs="Times New Roman"/>
                      <w:b/>
                      <w:color w:val="000000" w:themeColor="text1"/>
                      <w:sz w:val="24"/>
                      <w:szCs w:val="24"/>
                    </w:rPr>
                    <w:t>- добовий обсяг несанкціонованого відбору, тис. куб. м;</w:t>
                  </w:r>
                </w:p>
              </w:tc>
            </w:tr>
            <w:tr w:rsidR="00150AAF" w:rsidRPr="00C169D5" w:rsidTr="007F30A2">
              <w:tc>
                <w:tcPr>
                  <w:tcW w:w="1309" w:type="dxa"/>
                </w:tcPr>
                <w:p w:rsidR="00150AAF" w:rsidRPr="00C169D5" w:rsidRDefault="00150AAF" w:rsidP="00380C11">
                  <w:pPr>
                    <w:tabs>
                      <w:tab w:val="left" w:pos="9815"/>
                    </w:tabs>
                    <w:jc w:val="both"/>
                    <w:textAlignment w:val="baseline"/>
                    <w:rPr>
                      <w:rFonts w:ascii="Times New Roman" w:hAnsi="Times New Roman" w:cs="Times New Roman"/>
                      <w:b/>
                      <w:color w:val="000000" w:themeColor="text1"/>
                      <w:sz w:val="24"/>
                      <w:szCs w:val="24"/>
                    </w:rPr>
                  </w:pPr>
                  <w:r w:rsidRPr="00C169D5">
                    <w:rPr>
                      <w:rFonts w:ascii="Times New Roman" w:hAnsi="Times New Roman" w:cs="Times New Roman"/>
                      <w:b/>
                      <w:color w:val="000000" w:themeColor="text1"/>
                      <w:sz w:val="24"/>
                      <w:szCs w:val="24"/>
                    </w:rPr>
                    <w:t>МЦ</w:t>
                  </w:r>
                </w:p>
              </w:tc>
              <w:tc>
                <w:tcPr>
                  <w:tcW w:w="5645" w:type="dxa"/>
                </w:tcPr>
                <w:p w:rsidR="00150AAF" w:rsidRPr="00C169D5" w:rsidRDefault="00150AAF" w:rsidP="00380C11">
                  <w:pPr>
                    <w:tabs>
                      <w:tab w:val="left" w:pos="9815"/>
                    </w:tabs>
                    <w:ind w:hanging="142"/>
                    <w:jc w:val="both"/>
                    <w:textAlignment w:val="baseline"/>
                    <w:rPr>
                      <w:rFonts w:ascii="Times New Roman" w:hAnsi="Times New Roman" w:cs="Times New Roman"/>
                      <w:b/>
                      <w:color w:val="000000" w:themeColor="text1"/>
                      <w:sz w:val="24"/>
                      <w:szCs w:val="24"/>
                    </w:rPr>
                  </w:pPr>
                  <w:r w:rsidRPr="00C169D5">
                    <w:rPr>
                      <w:rFonts w:ascii="Times New Roman" w:hAnsi="Times New Roman" w:cs="Times New Roman"/>
                      <w:b/>
                      <w:color w:val="000000" w:themeColor="text1"/>
                      <w:sz w:val="24"/>
                      <w:szCs w:val="24"/>
                    </w:rPr>
                    <w:t>- маржинальна ціна придбання природного газу для відповідної газової доби, грн. за 1000 куб.м.;</w:t>
                  </w:r>
                </w:p>
              </w:tc>
            </w:tr>
            <w:tr w:rsidR="00150AAF" w:rsidRPr="00C169D5" w:rsidTr="007F30A2">
              <w:tc>
                <w:tcPr>
                  <w:tcW w:w="1309" w:type="dxa"/>
                </w:tcPr>
                <w:p w:rsidR="00150AAF" w:rsidRPr="00C169D5" w:rsidRDefault="00150AAF" w:rsidP="00380C11">
                  <w:pPr>
                    <w:tabs>
                      <w:tab w:val="left" w:pos="9815"/>
                    </w:tabs>
                    <w:jc w:val="both"/>
                    <w:textAlignment w:val="baseline"/>
                    <w:rPr>
                      <w:rFonts w:ascii="Times New Roman" w:hAnsi="Times New Roman" w:cs="Times New Roman"/>
                      <w:b/>
                      <w:color w:val="000000" w:themeColor="text1"/>
                      <w:sz w:val="24"/>
                      <w:szCs w:val="24"/>
                    </w:rPr>
                  </w:pPr>
                  <w:r w:rsidRPr="00C169D5">
                    <w:rPr>
                      <w:rFonts w:ascii="Times New Roman" w:eastAsia="Calibri" w:hAnsi="Times New Roman" w:cs="Times New Roman"/>
                      <w:b/>
                      <w:color w:val="000000" w:themeColor="text1"/>
                      <w:sz w:val="24"/>
                      <w:szCs w:val="24"/>
                      <w:lang w:eastAsia="uk-UA"/>
                    </w:rPr>
                    <w:t>С</w:t>
                  </w:r>
                  <w:r w:rsidRPr="00C169D5">
                    <w:rPr>
                      <w:rFonts w:ascii="Times New Roman" w:eastAsia="Calibri" w:hAnsi="Times New Roman" w:cs="Times New Roman"/>
                      <w:b/>
                      <w:bCs/>
                      <w:color w:val="000000" w:themeColor="text1"/>
                      <w:sz w:val="24"/>
                      <w:szCs w:val="24"/>
                      <w:vertAlign w:val="superscript"/>
                      <w:lang w:eastAsia="uk-UA"/>
                    </w:rPr>
                    <w:t>і</w:t>
                  </w:r>
                  <w:r w:rsidRPr="00C169D5">
                    <w:rPr>
                      <w:rFonts w:ascii="Times New Roman" w:eastAsia="Calibri" w:hAnsi="Times New Roman" w:cs="Times New Roman"/>
                      <w:b/>
                      <w:bCs/>
                      <w:color w:val="000000" w:themeColor="text1"/>
                      <w:sz w:val="24"/>
                      <w:szCs w:val="24"/>
                      <w:vertAlign w:val="subscript"/>
                      <w:lang w:eastAsia="uk-UA"/>
                    </w:rPr>
                    <w:t>вих факт</w:t>
                  </w:r>
                </w:p>
              </w:tc>
              <w:tc>
                <w:tcPr>
                  <w:tcW w:w="5645" w:type="dxa"/>
                </w:tcPr>
                <w:p w:rsidR="00150AAF" w:rsidRPr="00C169D5" w:rsidRDefault="00150AAF" w:rsidP="00380C11">
                  <w:pPr>
                    <w:tabs>
                      <w:tab w:val="left" w:pos="9815"/>
                    </w:tabs>
                    <w:ind w:hanging="142"/>
                    <w:jc w:val="both"/>
                    <w:textAlignment w:val="baseline"/>
                    <w:rPr>
                      <w:rFonts w:ascii="Times New Roman" w:hAnsi="Times New Roman" w:cs="Times New Roman"/>
                      <w:b/>
                      <w:color w:val="000000" w:themeColor="text1"/>
                      <w:sz w:val="24"/>
                      <w:szCs w:val="24"/>
                    </w:rPr>
                  </w:pPr>
                  <w:r w:rsidRPr="00C169D5">
                    <w:rPr>
                      <w:rFonts w:ascii="Times New Roman" w:hAnsi="Times New Roman" w:cs="Times New Roman"/>
                      <w:b/>
                      <w:color w:val="000000" w:themeColor="text1"/>
                      <w:sz w:val="24"/>
                      <w:szCs w:val="24"/>
                    </w:rPr>
                    <w:t>- фактично використана потужність для i-тої точки виходу, тис. куб. м/добу;</w:t>
                  </w:r>
                </w:p>
              </w:tc>
            </w:tr>
            <w:tr w:rsidR="00150AAF" w:rsidRPr="00C169D5" w:rsidTr="007F30A2">
              <w:tc>
                <w:tcPr>
                  <w:tcW w:w="1309" w:type="dxa"/>
                </w:tcPr>
                <w:p w:rsidR="00150AAF" w:rsidRPr="00C169D5" w:rsidRDefault="00150AAF" w:rsidP="00380C11">
                  <w:pPr>
                    <w:tabs>
                      <w:tab w:val="left" w:pos="9815"/>
                    </w:tabs>
                    <w:jc w:val="both"/>
                    <w:textAlignment w:val="baseline"/>
                    <w:rPr>
                      <w:rFonts w:ascii="Times New Roman" w:hAnsi="Times New Roman" w:cs="Times New Roman"/>
                      <w:b/>
                      <w:color w:val="000000" w:themeColor="text1"/>
                      <w:sz w:val="24"/>
                      <w:szCs w:val="24"/>
                    </w:rPr>
                  </w:pPr>
                  <w:r w:rsidRPr="00C169D5">
                    <w:rPr>
                      <w:rFonts w:ascii="Times New Roman" w:eastAsia="Calibri" w:hAnsi="Times New Roman" w:cs="Times New Roman"/>
                      <w:b/>
                      <w:color w:val="000000" w:themeColor="text1"/>
                      <w:sz w:val="24"/>
                      <w:szCs w:val="24"/>
                      <w:lang w:eastAsia="uk-UA"/>
                    </w:rPr>
                    <w:t>Т</w:t>
                  </w:r>
                  <w:r w:rsidRPr="00C169D5">
                    <w:rPr>
                      <w:rFonts w:ascii="Times New Roman" w:eastAsia="Calibri" w:hAnsi="Times New Roman" w:cs="Times New Roman"/>
                      <w:b/>
                      <w:bCs/>
                      <w:color w:val="000000" w:themeColor="text1"/>
                      <w:sz w:val="24"/>
                      <w:szCs w:val="24"/>
                      <w:vertAlign w:val="superscript"/>
                      <w:lang w:eastAsia="uk-UA"/>
                    </w:rPr>
                    <w:t>і</w:t>
                  </w:r>
                  <w:r w:rsidRPr="00C169D5">
                    <w:rPr>
                      <w:rFonts w:ascii="Times New Roman" w:eastAsia="Calibri" w:hAnsi="Times New Roman" w:cs="Times New Roman"/>
                      <w:b/>
                      <w:bCs/>
                      <w:color w:val="000000" w:themeColor="text1"/>
                      <w:sz w:val="24"/>
                      <w:szCs w:val="24"/>
                      <w:vertAlign w:val="subscript"/>
                      <w:lang w:eastAsia="uk-UA"/>
                    </w:rPr>
                    <w:t>вих</w:t>
                  </w:r>
                </w:p>
              </w:tc>
              <w:tc>
                <w:tcPr>
                  <w:tcW w:w="5645" w:type="dxa"/>
                </w:tcPr>
                <w:p w:rsidR="00150AAF" w:rsidRPr="00C169D5" w:rsidRDefault="00150AAF" w:rsidP="00380C11">
                  <w:pPr>
                    <w:tabs>
                      <w:tab w:val="left" w:pos="9815"/>
                    </w:tabs>
                    <w:ind w:hanging="142"/>
                    <w:jc w:val="both"/>
                    <w:textAlignment w:val="baseline"/>
                    <w:rPr>
                      <w:rFonts w:ascii="Times New Roman" w:hAnsi="Times New Roman" w:cs="Times New Roman"/>
                      <w:b/>
                      <w:color w:val="000000" w:themeColor="text1"/>
                      <w:sz w:val="24"/>
                      <w:szCs w:val="24"/>
                    </w:rPr>
                  </w:pPr>
                  <w:r w:rsidRPr="00C169D5">
                    <w:rPr>
                      <w:rFonts w:ascii="Times New Roman" w:hAnsi="Times New Roman" w:cs="Times New Roman"/>
                      <w:b/>
                      <w:color w:val="000000" w:themeColor="text1"/>
                      <w:sz w:val="24"/>
                      <w:szCs w:val="24"/>
                    </w:rPr>
                    <w:t>- відповідний тариф, встановлений Регулятором у відповідній точці виходу, грн за 1000 куб. м на добу.</w:t>
                  </w:r>
                </w:p>
              </w:tc>
            </w:tr>
            <w:tr w:rsidR="00150AAF" w:rsidRPr="00C169D5" w:rsidTr="007F30A2">
              <w:trPr>
                <w:trHeight w:val="394"/>
              </w:trPr>
              <w:tc>
                <w:tcPr>
                  <w:tcW w:w="1309" w:type="dxa"/>
                </w:tcPr>
                <w:p w:rsidR="00150AAF" w:rsidRPr="00C169D5" w:rsidRDefault="00150AAF" w:rsidP="00380C11">
                  <w:pPr>
                    <w:tabs>
                      <w:tab w:val="left" w:pos="9815"/>
                    </w:tabs>
                    <w:jc w:val="both"/>
                    <w:textAlignment w:val="baseline"/>
                    <w:rPr>
                      <w:rFonts w:ascii="Times New Roman" w:eastAsia="Calibri" w:hAnsi="Times New Roman" w:cs="Times New Roman"/>
                      <w:b/>
                      <w:color w:val="000000" w:themeColor="text1"/>
                      <w:sz w:val="24"/>
                      <w:szCs w:val="24"/>
                      <w:lang w:eastAsia="uk-UA"/>
                    </w:rPr>
                  </w:pPr>
                </w:p>
              </w:tc>
              <w:tc>
                <w:tcPr>
                  <w:tcW w:w="5645" w:type="dxa"/>
                </w:tcPr>
                <w:p w:rsidR="00150AAF" w:rsidRPr="00C169D5" w:rsidRDefault="00150AAF" w:rsidP="00380C11">
                  <w:pPr>
                    <w:tabs>
                      <w:tab w:val="left" w:pos="9815"/>
                    </w:tabs>
                    <w:jc w:val="both"/>
                    <w:textAlignment w:val="baseline"/>
                    <w:rPr>
                      <w:rFonts w:ascii="Times New Roman" w:hAnsi="Times New Roman" w:cs="Times New Roman"/>
                      <w:b/>
                      <w:color w:val="000000" w:themeColor="text1"/>
                      <w:sz w:val="24"/>
                      <w:szCs w:val="24"/>
                    </w:rPr>
                  </w:pPr>
                </w:p>
              </w:tc>
            </w:tr>
            <w:tr w:rsidR="00150AAF" w:rsidRPr="00C169D5" w:rsidTr="007F30A2">
              <w:trPr>
                <w:trHeight w:val="394"/>
              </w:trPr>
              <w:tc>
                <w:tcPr>
                  <w:tcW w:w="6954" w:type="dxa"/>
                  <w:gridSpan w:val="2"/>
                </w:tcPr>
                <w:p w:rsidR="00150AAF" w:rsidRPr="00C169D5" w:rsidRDefault="00150AAF" w:rsidP="00380C11">
                  <w:pPr>
                    <w:tabs>
                      <w:tab w:val="left" w:pos="9815"/>
                    </w:tabs>
                    <w:jc w:val="both"/>
                    <w:textAlignment w:val="baseline"/>
                    <w:rPr>
                      <w:rFonts w:ascii="Times New Roman" w:hAnsi="Times New Roman" w:cs="Times New Roman"/>
                      <w:b/>
                      <w:color w:val="000000" w:themeColor="text1"/>
                      <w:sz w:val="24"/>
                      <w:szCs w:val="24"/>
                    </w:rPr>
                  </w:pPr>
                  <w:r w:rsidRPr="009F32BA">
                    <w:rPr>
                      <w:rFonts w:ascii="Times New Roman" w:hAnsi="Times New Roman" w:cs="Times New Roman"/>
                      <w:b/>
                      <w:color w:val="000000"/>
                      <w:sz w:val="24"/>
                      <w:szCs w:val="24"/>
                      <w:shd w:val="clear" w:color="auto" w:fill="FFFFFF"/>
                    </w:rPr>
                    <w:t xml:space="preserve">У випадку якщо </w:t>
                  </w:r>
                  <w:r>
                    <w:rPr>
                      <w:rFonts w:ascii="Times New Roman" w:hAnsi="Times New Roman" w:cs="Times New Roman"/>
                      <w:b/>
                      <w:color w:val="000000"/>
                      <w:sz w:val="24"/>
                      <w:szCs w:val="24"/>
                      <w:shd w:val="clear" w:color="auto" w:fill="FFFFFF"/>
                    </w:rPr>
                    <w:t xml:space="preserve">у оператора газорозподільної системи </w:t>
                  </w:r>
                  <w:r w:rsidRPr="009F32BA">
                    <w:rPr>
                      <w:rFonts w:ascii="Times New Roman" w:hAnsi="Times New Roman" w:cs="Times New Roman"/>
                      <w:b/>
                      <w:color w:val="000000"/>
                      <w:sz w:val="24"/>
                      <w:szCs w:val="24"/>
                      <w:shd w:val="clear" w:color="auto" w:fill="FFFFFF"/>
                    </w:rPr>
                    <w:t>загальна вартість щодобових позитивних небалансів протягом звітного газового місяця перевищує загальну вартість щодобових негативних небалансів протягом звітного газового місяця</w:t>
                  </w:r>
                  <w:r>
                    <w:rPr>
                      <w:rFonts w:ascii="Times New Roman" w:hAnsi="Times New Roman" w:cs="Times New Roman"/>
                      <w:b/>
                      <w:color w:val="000000"/>
                      <w:sz w:val="24"/>
                      <w:szCs w:val="24"/>
                      <w:shd w:val="clear" w:color="auto" w:fill="FFFFFF"/>
                    </w:rPr>
                    <w:t xml:space="preserve"> плата за несанкціонований відбір оператора газорозподільних систем зменшується на </w:t>
                  </w:r>
                  <w:r>
                    <w:rPr>
                      <w:rFonts w:ascii="Times New Roman" w:hAnsi="Times New Roman" w:cs="Times New Roman"/>
                      <w:b/>
                      <w:color w:val="000000"/>
                      <w:sz w:val="24"/>
                      <w:szCs w:val="24"/>
                      <w:shd w:val="clear" w:color="auto" w:fill="FFFFFF"/>
                    </w:rPr>
                    <w:lastRenderedPageBreak/>
                    <w:t>величину плати за добовий небаланс у такому звітному періоді.</w:t>
                  </w:r>
                </w:p>
              </w:tc>
            </w:tr>
          </w:tbl>
          <w:p w:rsidR="00150AAF" w:rsidRPr="00C169D5" w:rsidRDefault="00150AAF" w:rsidP="00380C11">
            <w:pPr>
              <w:shd w:val="clear" w:color="auto" w:fill="FFFFFF"/>
              <w:ind w:firstLine="450"/>
              <w:jc w:val="both"/>
              <w:rPr>
                <w:rFonts w:ascii="Times New Roman" w:hAnsi="Times New Roman" w:cs="Times New Roman"/>
                <w:b/>
                <w:color w:val="000000" w:themeColor="text1"/>
                <w:sz w:val="24"/>
                <w:szCs w:val="24"/>
              </w:rPr>
            </w:pPr>
          </w:p>
        </w:tc>
      </w:tr>
      <w:tr w:rsidR="00150AAF" w:rsidTr="00E03B4F">
        <w:tc>
          <w:tcPr>
            <w:tcW w:w="7508" w:type="dxa"/>
          </w:tcPr>
          <w:p w:rsidR="00150AAF" w:rsidRDefault="00150AAF" w:rsidP="00380C11">
            <w:pPr>
              <w:shd w:val="clear" w:color="auto" w:fill="FFFFFF"/>
              <w:ind w:firstLine="450"/>
              <w:jc w:val="both"/>
              <w:rPr>
                <w:rFonts w:ascii="Times New Roman" w:hAnsi="Times New Roman" w:cs="Times New Roman"/>
                <w:color w:val="000000"/>
                <w:sz w:val="24"/>
                <w:szCs w:val="24"/>
                <w:shd w:val="clear" w:color="auto" w:fill="FFFFFF"/>
              </w:rPr>
            </w:pPr>
            <w:r w:rsidRPr="002300DC">
              <w:rPr>
                <w:rFonts w:ascii="Times New Roman" w:hAnsi="Times New Roman" w:cs="Times New Roman"/>
                <w:color w:val="000000"/>
                <w:sz w:val="24"/>
                <w:szCs w:val="24"/>
                <w:shd w:val="clear" w:color="auto" w:fill="FFFFFF"/>
              </w:rPr>
              <w:lastRenderedPageBreak/>
              <w:t>15.4. Базова ціна газу формується Оператором. Оператор формує базову ціну газу щомісяця в строк до десятого числа місяця, наступного за газовим місяцем, та розміщує її на своєму веб-сайті.</w:t>
            </w:r>
          </w:p>
        </w:tc>
        <w:tc>
          <w:tcPr>
            <w:tcW w:w="7518" w:type="dxa"/>
          </w:tcPr>
          <w:p w:rsidR="00150AAF" w:rsidRPr="00380C11" w:rsidRDefault="00380C11" w:rsidP="00380C11">
            <w:pPr>
              <w:shd w:val="clear" w:color="auto" w:fill="FFFFFF" w:themeFill="background1"/>
              <w:ind w:firstLine="709"/>
              <w:jc w:val="both"/>
              <w:textAlignment w:val="baseline"/>
              <w:rPr>
                <w:rFonts w:ascii="Times New Roman" w:hAnsi="Times New Roman" w:cs="Times New Roman"/>
                <w:b/>
                <w:strike/>
                <w:color w:val="000000"/>
                <w:sz w:val="24"/>
                <w:szCs w:val="24"/>
                <w:shd w:val="clear" w:color="auto" w:fill="FFFFFF"/>
              </w:rPr>
            </w:pPr>
            <w:r w:rsidRPr="00380C11">
              <w:rPr>
                <w:rFonts w:ascii="Times New Roman" w:hAnsi="Times New Roman" w:cs="Times New Roman"/>
                <w:strike/>
                <w:color w:val="000000"/>
                <w:sz w:val="24"/>
                <w:szCs w:val="24"/>
                <w:shd w:val="clear" w:color="auto" w:fill="FFFFFF"/>
              </w:rPr>
              <w:t>15.4. Базова ціна газу формується Оператором. Оператор формує базову ціну газу щомісяця в строк до десятого числа місяця, наступного за газовим місяцем, та розміщує її на своєму веб-сайті.</w:t>
            </w:r>
          </w:p>
        </w:tc>
      </w:tr>
      <w:tr w:rsidR="00150AAF" w:rsidTr="00E03B4F">
        <w:tc>
          <w:tcPr>
            <w:tcW w:w="7508" w:type="dxa"/>
          </w:tcPr>
          <w:p w:rsidR="00150AAF" w:rsidRPr="00C169D5" w:rsidRDefault="00150AAF" w:rsidP="00380C11">
            <w:pPr>
              <w:shd w:val="clear" w:color="auto" w:fill="FFFFFF"/>
              <w:ind w:firstLine="450"/>
              <w:jc w:val="both"/>
              <w:rPr>
                <w:rFonts w:ascii="Times New Roman" w:hAnsi="Times New Roman" w:cs="Times New Roman"/>
                <w:b/>
                <w:color w:val="000000" w:themeColor="text1"/>
                <w:sz w:val="24"/>
                <w:szCs w:val="24"/>
              </w:rPr>
            </w:pPr>
            <w:r w:rsidRPr="00C169D5">
              <w:rPr>
                <w:rFonts w:ascii="Times New Roman" w:hAnsi="Times New Roman" w:cs="Times New Roman"/>
                <w:color w:val="000000"/>
                <w:sz w:val="24"/>
                <w:szCs w:val="24"/>
                <w:shd w:val="clear" w:color="auto" w:fill="FFFFFF"/>
              </w:rPr>
              <w:t>15.5. Оператор до десятого числа місяця, наступного за газовим місяцем, надає Замовнику на його електронну адресу розрахунок вартості природного газу та рахунок-фактуру. Замовник зобов'язаний здійснити оплату у строк до п'ятнадцятого числа місяця, наступного за газовим місяцем.</w:t>
            </w:r>
          </w:p>
        </w:tc>
        <w:tc>
          <w:tcPr>
            <w:tcW w:w="7518" w:type="dxa"/>
          </w:tcPr>
          <w:p w:rsidR="00150AAF" w:rsidRPr="00C169D5" w:rsidRDefault="00150AAF" w:rsidP="00380C11">
            <w:pPr>
              <w:shd w:val="clear" w:color="auto" w:fill="FFFFFF" w:themeFill="background1"/>
              <w:ind w:firstLine="709"/>
              <w:jc w:val="both"/>
              <w:textAlignment w:val="baseline"/>
              <w:rPr>
                <w:rFonts w:ascii="Times New Roman" w:hAnsi="Times New Roman" w:cs="Times New Roman"/>
                <w:b/>
                <w:color w:val="000000" w:themeColor="text1"/>
                <w:sz w:val="24"/>
                <w:szCs w:val="24"/>
              </w:rPr>
            </w:pPr>
            <w:r w:rsidRPr="00C169D5">
              <w:rPr>
                <w:rFonts w:ascii="Times New Roman" w:hAnsi="Times New Roman" w:cs="Times New Roman"/>
                <w:b/>
                <w:color w:val="000000"/>
                <w:sz w:val="24"/>
                <w:szCs w:val="24"/>
                <w:shd w:val="clear" w:color="auto" w:fill="FFFFFF"/>
              </w:rPr>
              <w:t>15.</w:t>
            </w:r>
            <w:r>
              <w:rPr>
                <w:rFonts w:ascii="Times New Roman" w:hAnsi="Times New Roman" w:cs="Times New Roman"/>
                <w:b/>
                <w:color w:val="000000"/>
                <w:sz w:val="24"/>
                <w:szCs w:val="24"/>
                <w:shd w:val="clear" w:color="auto" w:fill="FFFFFF"/>
              </w:rPr>
              <w:t>4</w:t>
            </w:r>
            <w:r w:rsidRPr="00C169D5">
              <w:rPr>
                <w:rFonts w:ascii="Times New Roman" w:hAnsi="Times New Roman" w:cs="Times New Roman"/>
                <w:b/>
                <w:color w:val="000000"/>
                <w:sz w:val="24"/>
                <w:szCs w:val="24"/>
                <w:shd w:val="clear" w:color="auto" w:fill="FFFFFF"/>
              </w:rPr>
              <w:t>.</w:t>
            </w:r>
            <w:r w:rsidRPr="00C169D5">
              <w:rPr>
                <w:rFonts w:ascii="Times New Roman" w:hAnsi="Times New Roman" w:cs="Times New Roman"/>
                <w:color w:val="000000"/>
                <w:sz w:val="24"/>
                <w:szCs w:val="24"/>
                <w:shd w:val="clear" w:color="auto" w:fill="FFFFFF"/>
              </w:rPr>
              <w:t xml:space="preserve"> </w:t>
            </w:r>
            <w:r w:rsidRPr="00C169D5">
              <w:rPr>
                <w:rFonts w:ascii="Times New Roman" w:hAnsi="Times New Roman" w:cs="Times New Roman"/>
                <w:b/>
                <w:color w:val="000000" w:themeColor="text1"/>
                <w:sz w:val="24"/>
                <w:szCs w:val="24"/>
              </w:rPr>
              <w:t>Оператор складає та направляє відповідному оператору газорозподільної системи/прямому споживачу односторонній акт про несанкціонований відбір та рахунок на оплату у строк до  14 числа місяця, наступного за місяцем здійснення несанкціонованого відбору.</w:t>
            </w:r>
          </w:p>
          <w:p w:rsidR="00150AAF" w:rsidRPr="00380C11" w:rsidRDefault="00150AAF" w:rsidP="00380C11">
            <w:pPr>
              <w:shd w:val="clear" w:color="auto" w:fill="FFFFFF"/>
              <w:ind w:firstLine="450"/>
              <w:jc w:val="both"/>
              <w:rPr>
                <w:rFonts w:ascii="Times New Roman" w:hAnsi="Times New Roman" w:cs="Times New Roman"/>
                <w:b/>
                <w:color w:val="000000" w:themeColor="text1"/>
                <w:sz w:val="24"/>
                <w:szCs w:val="24"/>
              </w:rPr>
            </w:pPr>
            <w:r w:rsidRPr="00C169D5">
              <w:rPr>
                <w:rFonts w:ascii="Times New Roman" w:hAnsi="Times New Roman" w:cs="Times New Roman"/>
                <w:b/>
                <w:color w:val="000000" w:themeColor="text1"/>
                <w:sz w:val="24"/>
                <w:szCs w:val="24"/>
              </w:rPr>
              <w:t>Оператор газорозподільної системи/прямий споживач зобов’язані сплатити Оператору плату за несанкціонований відбір у строк  до 20 числа місяця, наступного за місяцем, у як</w:t>
            </w:r>
            <w:r w:rsidR="00833E2E">
              <w:rPr>
                <w:rFonts w:ascii="Times New Roman" w:hAnsi="Times New Roman" w:cs="Times New Roman"/>
                <w:b/>
                <w:color w:val="000000" w:themeColor="text1"/>
                <w:sz w:val="24"/>
                <w:szCs w:val="24"/>
              </w:rPr>
              <w:t>ому</w:t>
            </w:r>
            <w:r w:rsidRPr="00C169D5">
              <w:rPr>
                <w:rFonts w:ascii="Times New Roman" w:hAnsi="Times New Roman" w:cs="Times New Roman"/>
                <w:b/>
                <w:color w:val="000000" w:themeColor="text1"/>
                <w:sz w:val="24"/>
                <w:szCs w:val="24"/>
              </w:rPr>
              <w:t xml:space="preserve"> було здійснено несанкціонований відбір</w:t>
            </w:r>
          </w:p>
        </w:tc>
      </w:tr>
      <w:tr w:rsidR="00F51FBD" w:rsidTr="00E03B4F">
        <w:tc>
          <w:tcPr>
            <w:tcW w:w="7508" w:type="dxa"/>
          </w:tcPr>
          <w:p w:rsidR="00F51FBD" w:rsidRPr="00150AAF" w:rsidRDefault="00F51FBD" w:rsidP="00380C11">
            <w:pPr>
              <w:spacing w:line="20" w:lineRule="atLeast"/>
              <w:jc w:val="center"/>
              <w:rPr>
                <w:rFonts w:ascii="Times New Roman" w:hAnsi="Times New Roman" w:cs="Times New Roman"/>
                <w:b/>
                <w:sz w:val="24"/>
                <w:szCs w:val="24"/>
              </w:rPr>
            </w:pPr>
            <w:r w:rsidRPr="00150AAF">
              <w:rPr>
                <w:rFonts w:ascii="Times New Roman" w:hAnsi="Times New Roman" w:cs="Times New Roman"/>
                <w:b/>
                <w:sz w:val="24"/>
                <w:szCs w:val="24"/>
              </w:rPr>
              <w:t>ЛІЦЕНЗІЙНІ УМОВИ ПРОВАДЖЕННЯ ГОСПОДАРСЬКОЇ ДІЯЛЬНОСТІ З ВИРОБНИЦТВА ТЕПЛОВОЇ ЕНЕРГІЇ</w:t>
            </w:r>
          </w:p>
        </w:tc>
        <w:tc>
          <w:tcPr>
            <w:tcW w:w="7518" w:type="dxa"/>
          </w:tcPr>
          <w:p w:rsidR="00F51FBD" w:rsidRPr="00150AAF" w:rsidRDefault="00F51FBD" w:rsidP="00380C11">
            <w:pPr>
              <w:spacing w:line="20" w:lineRule="atLeast"/>
              <w:jc w:val="center"/>
              <w:rPr>
                <w:rFonts w:ascii="Times New Roman" w:hAnsi="Times New Roman" w:cs="Times New Roman"/>
                <w:b/>
                <w:sz w:val="24"/>
                <w:szCs w:val="24"/>
              </w:rPr>
            </w:pPr>
            <w:r>
              <w:rPr>
                <w:rFonts w:ascii="Times New Roman" w:hAnsi="Times New Roman" w:cs="Times New Roman"/>
                <w:b/>
                <w:sz w:val="24"/>
                <w:szCs w:val="24"/>
              </w:rPr>
              <w:t xml:space="preserve">ЗМІНИ ДО </w:t>
            </w:r>
            <w:r w:rsidRPr="00150AAF">
              <w:rPr>
                <w:rFonts w:ascii="Times New Roman" w:hAnsi="Times New Roman" w:cs="Times New Roman"/>
                <w:b/>
                <w:sz w:val="24"/>
                <w:szCs w:val="24"/>
              </w:rPr>
              <w:t>ЛІЦЕНЗІЙН</w:t>
            </w:r>
            <w:r>
              <w:rPr>
                <w:rFonts w:ascii="Times New Roman" w:hAnsi="Times New Roman" w:cs="Times New Roman"/>
                <w:b/>
                <w:sz w:val="24"/>
                <w:szCs w:val="24"/>
              </w:rPr>
              <w:t>ИХ УМОВ</w:t>
            </w:r>
            <w:r w:rsidRPr="00150AAF">
              <w:rPr>
                <w:rFonts w:ascii="Times New Roman" w:hAnsi="Times New Roman" w:cs="Times New Roman"/>
                <w:b/>
                <w:sz w:val="24"/>
                <w:szCs w:val="24"/>
              </w:rPr>
              <w:t xml:space="preserve"> ПРОВАДЖЕННЯ ГОСПОДАРСЬКОЇ ДІЯЛЬНОСТІ З ВИРОБНИЦТВА ТЕПЛОВОЇ ЕНЕРГІЇ</w:t>
            </w:r>
          </w:p>
        </w:tc>
      </w:tr>
      <w:tr w:rsidR="00F51FBD" w:rsidTr="00E03B4F">
        <w:tc>
          <w:tcPr>
            <w:tcW w:w="7508" w:type="dxa"/>
          </w:tcPr>
          <w:p w:rsidR="00F51FBD" w:rsidRPr="00150AAF" w:rsidRDefault="00F51FBD" w:rsidP="00380C11">
            <w:pPr>
              <w:spacing w:line="20" w:lineRule="atLeast"/>
              <w:jc w:val="center"/>
              <w:rPr>
                <w:rFonts w:ascii="Times New Roman" w:hAnsi="Times New Roman" w:cs="Times New Roman"/>
                <w:sz w:val="24"/>
                <w:szCs w:val="24"/>
              </w:rPr>
            </w:pPr>
            <w:r w:rsidRPr="00150AAF">
              <w:rPr>
                <w:rFonts w:ascii="Times New Roman" w:hAnsi="Times New Roman" w:cs="Times New Roman"/>
                <w:b/>
                <w:sz w:val="24"/>
                <w:szCs w:val="24"/>
                <w:shd w:val="clear" w:color="auto" w:fill="FFFFFF"/>
              </w:rPr>
              <w:t>3. Організаційні вимоги до провадження господарської діяльності з виробництва теплової енергії</w:t>
            </w:r>
          </w:p>
        </w:tc>
        <w:tc>
          <w:tcPr>
            <w:tcW w:w="7518" w:type="dxa"/>
          </w:tcPr>
          <w:p w:rsidR="00F51FBD" w:rsidRPr="00150AAF" w:rsidRDefault="00F51FBD" w:rsidP="00380C11">
            <w:pPr>
              <w:spacing w:line="20" w:lineRule="atLeast"/>
              <w:jc w:val="center"/>
              <w:rPr>
                <w:rFonts w:ascii="Times New Roman" w:hAnsi="Times New Roman" w:cs="Times New Roman"/>
                <w:b/>
                <w:sz w:val="24"/>
                <w:szCs w:val="24"/>
              </w:rPr>
            </w:pPr>
            <w:r w:rsidRPr="00150AAF">
              <w:rPr>
                <w:rFonts w:ascii="Times New Roman" w:hAnsi="Times New Roman" w:cs="Times New Roman"/>
                <w:b/>
                <w:sz w:val="24"/>
                <w:szCs w:val="24"/>
                <w:shd w:val="clear" w:color="auto" w:fill="FFFFFF"/>
              </w:rPr>
              <w:t>3. Організаційні вимоги до провадження господарської діяльності з виробництва теплової енергії</w:t>
            </w:r>
          </w:p>
        </w:tc>
      </w:tr>
      <w:tr w:rsidR="00F51FBD" w:rsidTr="00E03B4F">
        <w:tc>
          <w:tcPr>
            <w:tcW w:w="7508" w:type="dxa"/>
          </w:tcPr>
          <w:p w:rsidR="00F51FBD" w:rsidRPr="00150AAF" w:rsidRDefault="00F51FBD" w:rsidP="00C90F06">
            <w:pPr>
              <w:shd w:val="clear" w:color="auto" w:fill="FFFFFF"/>
              <w:ind w:firstLine="709"/>
              <w:jc w:val="both"/>
              <w:textAlignment w:val="baseline"/>
              <w:rPr>
                <w:rFonts w:ascii="Times New Roman" w:hAnsi="Times New Roman" w:cs="Times New Roman"/>
                <w:sz w:val="24"/>
                <w:szCs w:val="24"/>
                <w:shd w:val="clear" w:color="auto" w:fill="FFFFFF"/>
              </w:rPr>
            </w:pPr>
            <w:r w:rsidRPr="00150AAF">
              <w:rPr>
                <w:rFonts w:ascii="Times New Roman" w:hAnsi="Times New Roman" w:cs="Times New Roman"/>
                <w:sz w:val="24"/>
                <w:szCs w:val="24"/>
                <w:shd w:val="clear" w:color="auto" w:fill="FFFFFF"/>
              </w:rPr>
              <w:t>3.2. При провадженні господарської діяльності з виробництва теплової енергії ліцензіат повинен дотримуватися таких організаційних вимог:</w:t>
            </w:r>
          </w:p>
          <w:p w:rsidR="00F51FBD" w:rsidRPr="00150AAF" w:rsidRDefault="00F51FBD" w:rsidP="00C90F06">
            <w:pPr>
              <w:shd w:val="clear" w:color="auto" w:fill="FFFFFF"/>
              <w:ind w:firstLine="709"/>
              <w:jc w:val="both"/>
              <w:textAlignment w:val="baseline"/>
              <w:rPr>
                <w:rFonts w:ascii="Times New Roman" w:hAnsi="Times New Roman" w:cs="Times New Roman"/>
                <w:sz w:val="24"/>
                <w:szCs w:val="24"/>
                <w:shd w:val="clear" w:color="auto" w:fill="FFFFFF"/>
              </w:rPr>
            </w:pPr>
            <w:r w:rsidRPr="00150AAF">
              <w:rPr>
                <w:rFonts w:ascii="Times New Roman" w:hAnsi="Times New Roman" w:cs="Times New Roman"/>
                <w:sz w:val="24"/>
                <w:szCs w:val="24"/>
                <w:shd w:val="clear" w:color="auto" w:fill="FFFFFF"/>
              </w:rPr>
              <w:t>…</w:t>
            </w:r>
          </w:p>
          <w:p w:rsidR="00F51FBD" w:rsidRPr="00150AAF" w:rsidRDefault="00F51FBD" w:rsidP="00C90F06">
            <w:pPr>
              <w:shd w:val="clear" w:color="auto" w:fill="FFFFFF"/>
              <w:ind w:firstLine="709"/>
              <w:jc w:val="both"/>
              <w:textAlignment w:val="baseline"/>
              <w:rPr>
                <w:rFonts w:ascii="Times New Roman" w:hAnsi="Times New Roman" w:cs="Times New Roman"/>
                <w:sz w:val="24"/>
                <w:szCs w:val="24"/>
                <w:shd w:val="clear" w:color="auto" w:fill="FFFFFF"/>
              </w:rPr>
            </w:pPr>
          </w:p>
          <w:p w:rsidR="00C90F06" w:rsidRDefault="00C90F06" w:rsidP="00C90F06">
            <w:pPr>
              <w:spacing w:line="20" w:lineRule="atLeast"/>
              <w:ind w:firstLine="709"/>
              <w:rPr>
                <w:rFonts w:ascii="Times New Roman" w:hAnsi="Times New Roman" w:cs="Times New Roman"/>
                <w:b/>
                <w:sz w:val="24"/>
                <w:szCs w:val="24"/>
                <w:shd w:val="clear" w:color="auto" w:fill="FFFFFF"/>
              </w:rPr>
            </w:pPr>
          </w:p>
          <w:p w:rsidR="00F51FBD" w:rsidRPr="00380C11" w:rsidRDefault="00380C11" w:rsidP="00C90F06">
            <w:pPr>
              <w:spacing w:line="20" w:lineRule="atLeast"/>
              <w:ind w:firstLine="709"/>
              <w:rPr>
                <w:rFonts w:ascii="Times New Roman" w:hAnsi="Times New Roman" w:cs="Times New Roman"/>
                <w:b/>
                <w:sz w:val="24"/>
                <w:szCs w:val="24"/>
              </w:rPr>
            </w:pPr>
            <w:r w:rsidRPr="00380C11">
              <w:rPr>
                <w:rFonts w:ascii="Times New Roman" w:hAnsi="Times New Roman" w:cs="Times New Roman"/>
                <w:b/>
                <w:sz w:val="24"/>
                <w:szCs w:val="24"/>
                <w:shd w:val="clear" w:color="auto" w:fill="FFFFFF"/>
              </w:rPr>
              <w:t>Норма відсутня</w:t>
            </w:r>
          </w:p>
        </w:tc>
        <w:tc>
          <w:tcPr>
            <w:tcW w:w="7518" w:type="dxa"/>
          </w:tcPr>
          <w:p w:rsidR="00380C11" w:rsidRPr="00150AAF" w:rsidRDefault="00380C11" w:rsidP="00C90F06">
            <w:pPr>
              <w:shd w:val="clear" w:color="auto" w:fill="FFFFFF"/>
              <w:ind w:firstLine="709"/>
              <w:jc w:val="both"/>
              <w:textAlignment w:val="baseline"/>
              <w:rPr>
                <w:rFonts w:ascii="Times New Roman" w:hAnsi="Times New Roman" w:cs="Times New Roman"/>
                <w:sz w:val="24"/>
                <w:szCs w:val="24"/>
                <w:shd w:val="clear" w:color="auto" w:fill="FFFFFF"/>
              </w:rPr>
            </w:pPr>
            <w:r w:rsidRPr="00150AAF">
              <w:rPr>
                <w:rFonts w:ascii="Times New Roman" w:hAnsi="Times New Roman" w:cs="Times New Roman"/>
                <w:sz w:val="24"/>
                <w:szCs w:val="24"/>
                <w:shd w:val="clear" w:color="auto" w:fill="FFFFFF"/>
              </w:rPr>
              <w:t>3.2. При провадженні господарської діяльності з виробництва теплової енергії ліцензіат повинен дотримуватися таких організаційних вимог:</w:t>
            </w:r>
          </w:p>
          <w:p w:rsidR="00380C11" w:rsidRPr="00150AAF" w:rsidRDefault="00380C11" w:rsidP="00C90F06">
            <w:pPr>
              <w:shd w:val="clear" w:color="auto" w:fill="FFFFFF"/>
              <w:ind w:firstLine="709"/>
              <w:jc w:val="both"/>
              <w:textAlignment w:val="baseline"/>
              <w:rPr>
                <w:rFonts w:ascii="Times New Roman" w:hAnsi="Times New Roman" w:cs="Times New Roman"/>
                <w:sz w:val="24"/>
                <w:szCs w:val="24"/>
                <w:shd w:val="clear" w:color="auto" w:fill="FFFFFF"/>
              </w:rPr>
            </w:pPr>
            <w:r w:rsidRPr="00150AAF">
              <w:rPr>
                <w:rFonts w:ascii="Times New Roman" w:hAnsi="Times New Roman" w:cs="Times New Roman"/>
                <w:sz w:val="24"/>
                <w:szCs w:val="24"/>
                <w:shd w:val="clear" w:color="auto" w:fill="FFFFFF"/>
              </w:rPr>
              <w:t>…</w:t>
            </w:r>
          </w:p>
          <w:p w:rsidR="00F51FBD" w:rsidRPr="00150AAF" w:rsidRDefault="00F51FBD" w:rsidP="00C90F06">
            <w:pPr>
              <w:shd w:val="clear" w:color="auto" w:fill="FFFFFF"/>
              <w:ind w:firstLine="709"/>
              <w:jc w:val="both"/>
              <w:textAlignment w:val="baseline"/>
              <w:rPr>
                <w:rFonts w:ascii="Times New Roman" w:hAnsi="Times New Roman" w:cs="Times New Roman"/>
                <w:sz w:val="24"/>
                <w:szCs w:val="24"/>
                <w:shd w:val="clear" w:color="auto" w:fill="FFFFFF"/>
              </w:rPr>
            </w:pPr>
          </w:p>
          <w:p w:rsidR="00F51FBD" w:rsidRPr="00C90F06" w:rsidRDefault="00F51FBD" w:rsidP="00C90F06">
            <w:pPr>
              <w:shd w:val="clear" w:color="auto" w:fill="FFFFFF"/>
              <w:ind w:firstLine="709"/>
              <w:jc w:val="both"/>
              <w:textAlignment w:val="baseline"/>
              <w:rPr>
                <w:rFonts w:ascii="Times New Roman" w:hAnsi="Times New Roman" w:cs="Times New Roman"/>
                <w:b/>
                <w:bCs/>
                <w:sz w:val="24"/>
                <w:szCs w:val="24"/>
                <w:shd w:val="clear" w:color="auto" w:fill="FFFFFF"/>
              </w:rPr>
            </w:pPr>
            <w:r w:rsidRPr="00150AAF">
              <w:rPr>
                <w:rFonts w:ascii="Times New Roman" w:hAnsi="Times New Roman" w:cs="Times New Roman"/>
                <w:b/>
                <w:bCs/>
                <w:sz w:val="24"/>
                <w:szCs w:val="24"/>
                <w:shd w:val="clear" w:color="auto" w:fill="FFFFFF"/>
              </w:rPr>
              <w:t xml:space="preserve">32) забезпечити наявність ресурсу, що використовується для виробництва теплової енергії, зокрема, у разі використання природного газу, здійснювати закупівлю для забезпечення власної господарської діяльності (в тому числі для задоволення власних виробничих потреб) у постачальника; </w:t>
            </w:r>
          </w:p>
        </w:tc>
      </w:tr>
      <w:tr w:rsidR="00F51FBD" w:rsidTr="00E03B4F">
        <w:tc>
          <w:tcPr>
            <w:tcW w:w="7508" w:type="dxa"/>
          </w:tcPr>
          <w:p w:rsidR="00F51FBD" w:rsidRPr="00150AAF" w:rsidRDefault="00F51FBD" w:rsidP="00C90F06">
            <w:pPr>
              <w:shd w:val="clear" w:color="auto" w:fill="FFFFFF"/>
              <w:jc w:val="center"/>
              <w:textAlignment w:val="baseline"/>
              <w:rPr>
                <w:rFonts w:ascii="Times New Roman" w:hAnsi="Times New Roman" w:cs="Times New Roman"/>
                <w:b/>
                <w:sz w:val="24"/>
                <w:szCs w:val="24"/>
                <w:shd w:val="clear" w:color="auto" w:fill="FFFFFF"/>
              </w:rPr>
            </w:pPr>
            <w:r w:rsidRPr="00150AAF">
              <w:rPr>
                <w:rFonts w:ascii="Times New Roman" w:hAnsi="Times New Roman" w:cs="Times New Roman"/>
                <w:b/>
                <w:sz w:val="24"/>
                <w:szCs w:val="24"/>
                <w:shd w:val="clear" w:color="auto" w:fill="FFFFFF"/>
              </w:rPr>
              <w:t>4. Технологічні вимоги до провадження господарської діяльності з виробництва теплової енергії</w:t>
            </w:r>
          </w:p>
        </w:tc>
        <w:tc>
          <w:tcPr>
            <w:tcW w:w="7518" w:type="dxa"/>
          </w:tcPr>
          <w:p w:rsidR="00F51FBD" w:rsidRPr="00150AAF" w:rsidRDefault="00F51FBD" w:rsidP="00C90F06">
            <w:pPr>
              <w:shd w:val="clear" w:color="auto" w:fill="FFFFFF"/>
              <w:jc w:val="center"/>
              <w:textAlignment w:val="baseline"/>
              <w:rPr>
                <w:rFonts w:ascii="Times New Roman" w:hAnsi="Times New Roman" w:cs="Times New Roman"/>
                <w:b/>
                <w:sz w:val="24"/>
                <w:szCs w:val="24"/>
                <w:shd w:val="clear" w:color="auto" w:fill="FFFFFF"/>
              </w:rPr>
            </w:pPr>
            <w:r w:rsidRPr="00150AAF">
              <w:rPr>
                <w:rFonts w:ascii="Times New Roman" w:hAnsi="Times New Roman" w:cs="Times New Roman"/>
                <w:b/>
                <w:sz w:val="24"/>
                <w:szCs w:val="24"/>
                <w:shd w:val="clear" w:color="auto" w:fill="FFFFFF"/>
              </w:rPr>
              <w:t>4. Технологічні вимоги до провадження господарської діяльності з виробництва теплової енергії</w:t>
            </w:r>
          </w:p>
        </w:tc>
      </w:tr>
      <w:tr w:rsidR="00F51FBD" w:rsidTr="00E03B4F">
        <w:tc>
          <w:tcPr>
            <w:tcW w:w="7508" w:type="dxa"/>
          </w:tcPr>
          <w:p w:rsidR="00F51FBD" w:rsidRPr="00150AAF" w:rsidRDefault="00F51FBD" w:rsidP="00C90F06">
            <w:pPr>
              <w:shd w:val="clear" w:color="auto" w:fill="FFFFFF"/>
              <w:ind w:firstLine="709"/>
              <w:jc w:val="both"/>
              <w:textAlignment w:val="baseline"/>
              <w:rPr>
                <w:rFonts w:ascii="Times New Roman" w:hAnsi="Times New Roman" w:cs="Times New Roman"/>
                <w:sz w:val="24"/>
                <w:szCs w:val="24"/>
                <w:shd w:val="clear" w:color="auto" w:fill="FFFFFF"/>
              </w:rPr>
            </w:pPr>
            <w:r w:rsidRPr="00150AAF">
              <w:rPr>
                <w:rFonts w:ascii="Times New Roman" w:hAnsi="Times New Roman" w:cs="Times New Roman"/>
                <w:sz w:val="24"/>
                <w:szCs w:val="24"/>
                <w:shd w:val="clear" w:color="auto" w:fill="FFFFFF"/>
              </w:rPr>
              <w:t>При провадженні господарської діяльності з виробництва теплової енергії ліцензіат повинен дотримуватися таких технологічних вимог:</w:t>
            </w:r>
          </w:p>
          <w:p w:rsidR="00F51FBD" w:rsidRPr="00150AAF" w:rsidRDefault="00F51FBD" w:rsidP="00C90F06">
            <w:pPr>
              <w:shd w:val="clear" w:color="auto" w:fill="FFFFFF"/>
              <w:ind w:firstLine="709"/>
              <w:jc w:val="both"/>
              <w:textAlignment w:val="baseline"/>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p>
          <w:p w:rsidR="00F51FBD" w:rsidRPr="00150AAF" w:rsidRDefault="00F51FBD" w:rsidP="00C90F06">
            <w:pPr>
              <w:shd w:val="clear" w:color="auto" w:fill="FFFFFF"/>
              <w:ind w:firstLine="709"/>
              <w:jc w:val="both"/>
              <w:textAlignment w:val="baseline"/>
              <w:rPr>
                <w:rFonts w:ascii="Times New Roman" w:hAnsi="Times New Roman" w:cs="Times New Roman"/>
                <w:sz w:val="24"/>
                <w:szCs w:val="24"/>
                <w:shd w:val="clear" w:color="auto" w:fill="FFFFFF"/>
              </w:rPr>
            </w:pPr>
          </w:p>
          <w:p w:rsidR="00F51FBD" w:rsidRDefault="00F51FBD" w:rsidP="00C90F06">
            <w:pPr>
              <w:ind w:firstLine="709"/>
              <w:jc w:val="both"/>
              <w:rPr>
                <w:rFonts w:ascii="Times New Roman" w:hAnsi="Times New Roman" w:cs="Times New Roman"/>
                <w:sz w:val="24"/>
                <w:szCs w:val="24"/>
                <w:shd w:val="clear" w:color="auto" w:fill="FFFFFF"/>
              </w:rPr>
            </w:pPr>
            <w:r w:rsidRPr="00150AAF">
              <w:rPr>
                <w:rFonts w:ascii="Times New Roman" w:hAnsi="Times New Roman" w:cs="Times New Roman"/>
                <w:sz w:val="24"/>
                <w:szCs w:val="24"/>
                <w:shd w:val="clear" w:color="auto" w:fill="FFFFFF"/>
              </w:rPr>
              <w:lastRenderedPageBreak/>
              <w:t>температурних графіків центрального регулювання систем теплопостачання, приєднаних до кожного із джерел теплової енергії ліцензіата.</w:t>
            </w:r>
          </w:p>
          <w:p w:rsidR="00C90F06" w:rsidRDefault="00C90F06" w:rsidP="00C90F06">
            <w:pPr>
              <w:ind w:firstLine="709"/>
              <w:jc w:val="both"/>
              <w:rPr>
                <w:rFonts w:ascii="Times New Roman" w:hAnsi="Times New Roman" w:cs="Times New Roman"/>
                <w:sz w:val="24"/>
                <w:szCs w:val="24"/>
                <w:shd w:val="clear" w:color="auto" w:fill="FFFFFF"/>
              </w:rPr>
            </w:pPr>
          </w:p>
          <w:p w:rsidR="00C90F06" w:rsidRDefault="00C90F06" w:rsidP="00C90F06">
            <w:pPr>
              <w:ind w:firstLine="709"/>
              <w:jc w:val="both"/>
              <w:rPr>
                <w:rFonts w:ascii="Times New Roman" w:hAnsi="Times New Roman" w:cs="Times New Roman"/>
                <w:sz w:val="24"/>
                <w:szCs w:val="24"/>
                <w:shd w:val="clear" w:color="auto" w:fill="FFFFFF"/>
              </w:rPr>
            </w:pPr>
          </w:p>
          <w:p w:rsidR="00C90F06" w:rsidRPr="00C90F06" w:rsidRDefault="00C90F06" w:rsidP="00C90F06">
            <w:pPr>
              <w:ind w:firstLine="709"/>
              <w:jc w:val="both"/>
              <w:rPr>
                <w:rFonts w:ascii="Times New Roman" w:hAnsi="Times New Roman" w:cs="Times New Roman"/>
                <w:b/>
                <w:sz w:val="24"/>
                <w:szCs w:val="24"/>
                <w:shd w:val="clear" w:color="auto" w:fill="FFFFFF"/>
              </w:rPr>
            </w:pPr>
            <w:r w:rsidRPr="00C90F06">
              <w:rPr>
                <w:rFonts w:ascii="Times New Roman" w:hAnsi="Times New Roman" w:cs="Times New Roman"/>
                <w:b/>
                <w:sz w:val="24"/>
                <w:szCs w:val="24"/>
                <w:shd w:val="clear" w:color="auto" w:fill="FFFFFF"/>
              </w:rPr>
              <w:t>Норма відсутня</w:t>
            </w:r>
          </w:p>
        </w:tc>
        <w:tc>
          <w:tcPr>
            <w:tcW w:w="7518" w:type="dxa"/>
          </w:tcPr>
          <w:p w:rsidR="00F51FBD" w:rsidRPr="00150AAF" w:rsidRDefault="00F51FBD" w:rsidP="00C90F06">
            <w:pPr>
              <w:shd w:val="clear" w:color="auto" w:fill="FFFFFF"/>
              <w:ind w:firstLine="709"/>
              <w:jc w:val="both"/>
              <w:textAlignment w:val="baseline"/>
              <w:rPr>
                <w:rFonts w:ascii="Times New Roman" w:hAnsi="Times New Roman" w:cs="Times New Roman"/>
                <w:sz w:val="24"/>
                <w:szCs w:val="24"/>
                <w:shd w:val="clear" w:color="auto" w:fill="FFFFFF"/>
              </w:rPr>
            </w:pPr>
            <w:r w:rsidRPr="00150AAF">
              <w:rPr>
                <w:rFonts w:ascii="Times New Roman" w:hAnsi="Times New Roman" w:cs="Times New Roman"/>
                <w:sz w:val="24"/>
                <w:szCs w:val="24"/>
                <w:shd w:val="clear" w:color="auto" w:fill="FFFFFF"/>
              </w:rPr>
              <w:lastRenderedPageBreak/>
              <w:t>При провадженні господарської діяльності з виробництва теплової енергії ліцензіат повинен дотримуватися таких технологічних вимог:</w:t>
            </w:r>
          </w:p>
          <w:p w:rsidR="00F51FBD" w:rsidRPr="00150AAF" w:rsidRDefault="00F51FBD" w:rsidP="00C90F06">
            <w:pPr>
              <w:shd w:val="clear" w:color="auto" w:fill="FFFFFF"/>
              <w:ind w:firstLine="709"/>
              <w:jc w:val="both"/>
              <w:textAlignment w:val="baseline"/>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p>
          <w:p w:rsidR="00F51FBD" w:rsidRPr="00150AAF" w:rsidRDefault="00F51FBD" w:rsidP="00C90F06">
            <w:pPr>
              <w:shd w:val="clear" w:color="auto" w:fill="FFFFFF"/>
              <w:ind w:firstLine="709"/>
              <w:jc w:val="both"/>
              <w:textAlignment w:val="baseline"/>
              <w:rPr>
                <w:rFonts w:ascii="Times New Roman" w:hAnsi="Times New Roman" w:cs="Times New Roman"/>
                <w:sz w:val="24"/>
                <w:szCs w:val="24"/>
                <w:shd w:val="clear" w:color="auto" w:fill="FFFFFF"/>
              </w:rPr>
            </w:pPr>
          </w:p>
          <w:p w:rsidR="00F51FBD" w:rsidRPr="00150AAF" w:rsidRDefault="00F51FBD" w:rsidP="00C90F06">
            <w:pPr>
              <w:shd w:val="clear" w:color="auto" w:fill="FFFFFF"/>
              <w:ind w:firstLine="709"/>
              <w:jc w:val="both"/>
              <w:textAlignment w:val="baseline"/>
              <w:rPr>
                <w:rFonts w:ascii="Times New Roman" w:hAnsi="Times New Roman" w:cs="Times New Roman"/>
                <w:sz w:val="24"/>
                <w:szCs w:val="24"/>
                <w:shd w:val="clear" w:color="auto" w:fill="FFFFFF"/>
              </w:rPr>
            </w:pPr>
            <w:r w:rsidRPr="00150AAF">
              <w:rPr>
                <w:rFonts w:ascii="Times New Roman" w:hAnsi="Times New Roman" w:cs="Times New Roman"/>
                <w:sz w:val="24"/>
                <w:szCs w:val="24"/>
                <w:shd w:val="clear" w:color="auto" w:fill="FFFFFF"/>
              </w:rPr>
              <w:lastRenderedPageBreak/>
              <w:t>температурних графіків центрального регулювання систем теплопостачання, приєднаних до кожного із джерел теплової енергії ліцензіата;</w:t>
            </w:r>
          </w:p>
          <w:p w:rsidR="00F51FBD" w:rsidRPr="00150AAF" w:rsidRDefault="00F51FBD" w:rsidP="00C90F06">
            <w:pPr>
              <w:shd w:val="clear" w:color="auto" w:fill="FFFFFF"/>
              <w:ind w:firstLine="709"/>
              <w:jc w:val="both"/>
              <w:textAlignment w:val="baseline"/>
              <w:rPr>
                <w:rFonts w:ascii="Times New Roman" w:hAnsi="Times New Roman" w:cs="Times New Roman"/>
                <w:sz w:val="24"/>
                <w:szCs w:val="24"/>
                <w:shd w:val="clear" w:color="auto" w:fill="FFFFFF"/>
              </w:rPr>
            </w:pPr>
          </w:p>
          <w:p w:rsidR="00F51FBD" w:rsidRPr="00150AAF" w:rsidRDefault="00F51FBD" w:rsidP="00C90F06">
            <w:pPr>
              <w:ind w:firstLine="709"/>
              <w:jc w:val="both"/>
              <w:rPr>
                <w:rFonts w:ascii="Times New Roman" w:hAnsi="Times New Roman" w:cs="Times New Roman"/>
                <w:sz w:val="24"/>
                <w:szCs w:val="24"/>
                <w:shd w:val="clear" w:color="auto" w:fill="FFFFFF"/>
              </w:rPr>
            </w:pPr>
            <w:r w:rsidRPr="00150AAF">
              <w:rPr>
                <w:rFonts w:ascii="Times New Roman" w:hAnsi="Times New Roman" w:cs="Times New Roman"/>
                <w:b/>
                <w:sz w:val="24"/>
                <w:szCs w:val="24"/>
                <w:shd w:val="clear" w:color="auto" w:fill="FFFFFF"/>
              </w:rPr>
              <w:t xml:space="preserve">документів щодо підтвердження права власності на ресурс, що використовується для виробництва теплової енергії, зокрема, у разі використання природного газу, договори </w:t>
            </w:r>
            <w:r>
              <w:rPr>
                <w:rFonts w:ascii="Times New Roman" w:hAnsi="Times New Roman" w:cs="Times New Roman"/>
                <w:b/>
                <w:sz w:val="24"/>
                <w:szCs w:val="24"/>
                <w:shd w:val="clear" w:color="auto" w:fill="FFFFFF"/>
              </w:rPr>
              <w:t>постачання</w:t>
            </w:r>
            <w:r w:rsidRPr="00150AAF">
              <w:rPr>
                <w:rFonts w:ascii="Times New Roman" w:hAnsi="Times New Roman" w:cs="Times New Roman"/>
                <w:b/>
                <w:sz w:val="24"/>
                <w:szCs w:val="24"/>
                <w:shd w:val="clear" w:color="auto" w:fill="FFFFFF"/>
              </w:rPr>
              <w:t xml:space="preserve"> природного газу для забезпечення власної господарської діяльності (в тому числі для покриття виробничих потреб) у постачальника</w:t>
            </w:r>
            <w:r w:rsidRPr="00150AAF">
              <w:rPr>
                <w:rFonts w:ascii="Times New Roman" w:hAnsi="Times New Roman" w:cs="Times New Roman"/>
                <w:sz w:val="24"/>
                <w:szCs w:val="24"/>
                <w:shd w:val="clear" w:color="auto" w:fill="FFFFFF"/>
              </w:rPr>
              <w:t>;</w:t>
            </w:r>
          </w:p>
        </w:tc>
      </w:tr>
    </w:tbl>
    <w:p w:rsidR="0048617C" w:rsidRDefault="0048617C" w:rsidP="00380C11">
      <w:pPr>
        <w:spacing w:after="0"/>
        <w:rPr>
          <w:rFonts w:ascii="Times New Roman" w:hAnsi="Times New Roman" w:cs="Times New Roman"/>
          <w:b/>
          <w:sz w:val="28"/>
          <w:szCs w:val="28"/>
        </w:rPr>
      </w:pPr>
    </w:p>
    <w:p w:rsidR="0048617C" w:rsidRDefault="0048617C" w:rsidP="00380C11">
      <w:pPr>
        <w:spacing w:after="0"/>
        <w:rPr>
          <w:rFonts w:ascii="Times New Roman" w:hAnsi="Times New Roman" w:cs="Times New Roman"/>
          <w:b/>
          <w:sz w:val="28"/>
          <w:szCs w:val="28"/>
        </w:rPr>
      </w:pPr>
    </w:p>
    <w:p w:rsidR="00E96215" w:rsidRPr="00E96215" w:rsidRDefault="00E96215" w:rsidP="00380C11">
      <w:pPr>
        <w:spacing w:after="0"/>
        <w:rPr>
          <w:rFonts w:ascii="Times New Roman" w:hAnsi="Times New Roman" w:cs="Times New Roman"/>
          <w:b/>
          <w:sz w:val="28"/>
          <w:szCs w:val="28"/>
        </w:rPr>
      </w:pPr>
      <w:r w:rsidRPr="00E96215">
        <w:rPr>
          <w:rFonts w:ascii="Times New Roman" w:hAnsi="Times New Roman" w:cs="Times New Roman"/>
          <w:b/>
          <w:sz w:val="28"/>
          <w:szCs w:val="28"/>
        </w:rPr>
        <w:t xml:space="preserve">Директор Департаменту                                                </w:t>
      </w:r>
      <w:r>
        <w:rPr>
          <w:rFonts w:ascii="Times New Roman" w:hAnsi="Times New Roman" w:cs="Times New Roman"/>
          <w:b/>
          <w:sz w:val="28"/>
          <w:szCs w:val="28"/>
        </w:rPr>
        <w:t xml:space="preserve">                                              </w:t>
      </w:r>
      <w:r w:rsidR="0048617C">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E96215">
        <w:rPr>
          <w:rFonts w:ascii="Times New Roman" w:hAnsi="Times New Roman" w:cs="Times New Roman"/>
          <w:b/>
          <w:sz w:val="28"/>
          <w:szCs w:val="28"/>
        </w:rPr>
        <w:t>Т. Рябуха</w:t>
      </w:r>
    </w:p>
    <w:sectPr w:rsidR="00E96215" w:rsidRPr="00E96215" w:rsidSect="00397492">
      <w:footerReference w:type="default" r:id="rId20"/>
      <w:pgSz w:w="16838" w:h="11906" w:orient="landscape"/>
      <w:pgMar w:top="568" w:right="1134" w:bottom="1135" w:left="1134" w:header="708" w:footer="4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7EEA" w:rsidRDefault="00C17EEA" w:rsidP="001F0204">
      <w:pPr>
        <w:spacing w:after="0" w:line="240" w:lineRule="auto"/>
      </w:pPr>
      <w:r>
        <w:separator/>
      </w:r>
    </w:p>
  </w:endnote>
  <w:endnote w:type="continuationSeparator" w:id="0">
    <w:p w:rsidR="00C17EEA" w:rsidRDefault="00C17EEA" w:rsidP="001F0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4695678"/>
      <w:docPartObj>
        <w:docPartGallery w:val="Page Numbers (Bottom of Page)"/>
        <w:docPartUnique/>
      </w:docPartObj>
    </w:sdtPr>
    <w:sdtEndPr/>
    <w:sdtContent>
      <w:p w:rsidR="001F0204" w:rsidRDefault="0018340C">
        <w:pPr>
          <w:pStyle w:val="ac"/>
          <w:jc w:val="right"/>
        </w:pPr>
        <w:r>
          <w:fldChar w:fldCharType="begin"/>
        </w:r>
        <w:r w:rsidR="001F0204">
          <w:instrText>PAGE   \* MERGEFORMAT</w:instrText>
        </w:r>
        <w:r>
          <w:fldChar w:fldCharType="separate"/>
        </w:r>
        <w:r w:rsidR="00C90F06">
          <w:rPr>
            <w:noProof/>
          </w:rPr>
          <w:t>13</w:t>
        </w:r>
        <w:r>
          <w:fldChar w:fldCharType="end"/>
        </w:r>
      </w:p>
    </w:sdtContent>
  </w:sdt>
  <w:p w:rsidR="001F0204" w:rsidRDefault="001F020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7EEA" w:rsidRDefault="00C17EEA" w:rsidP="001F0204">
      <w:pPr>
        <w:spacing w:after="0" w:line="240" w:lineRule="auto"/>
      </w:pPr>
      <w:r>
        <w:separator/>
      </w:r>
    </w:p>
  </w:footnote>
  <w:footnote w:type="continuationSeparator" w:id="0">
    <w:p w:rsidR="00C17EEA" w:rsidRDefault="00C17EEA" w:rsidP="001F020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6765F"/>
    <w:rsid w:val="00000CB1"/>
    <w:rsid w:val="000145C3"/>
    <w:rsid w:val="00021509"/>
    <w:rsid w:val="00036A59"/>
    <w:rsid w:val="00044C67"/>
    <w:rsid w:val="0005567B"/>
    <w:rsid w:val="00082644"/>
    <w:rsid w:val="000846EC"/>
    <w:rsid w:val="000C53D7"/>
    <w:rsid w:val="000F45D2"/>
    <w:rsid w:val="00102B22"/>
    <w:rsid w:val="001275E9"/>
    <w:rsid w:val="00146E32"/>
    <w:rsid w:val="00150AAF"/>
    <w:rsid w:val="0015538B"/>
    <w:rsid w:val="0018340C"/>
    <w:rsid w:val="001835C3"/>
    <w:rsid w:val="001A274C"/>
    <w:rsid w:val="001B282C"/>
    <w:rsid w:val="001B3541"/>
    <w:rsid w:val="001F0204"/>
    <w:rsid w:val="00207046"/>
    <w:rsid w:val="002300DC"/>
    <w:rsid w:val="00235950"/>
    <w:rsid w:val="00243194"/>
    <w:rsid w:val="0024392F"/>
    <w:rsid w:val="00270880"/>
    <w:rsid w:val="00283DFB"/>
    <w:rsid w:val="00290FCC"/>
    <w:rsid w:val="002B082A"/>
    <w:rsid w:val="002C37D4"/>
    <w:rsid w:val="002C7879"/>
    <w:rsid w:val="002E35D2"/>
    <w:rsid w:val="003118D9"/>
    <w:rsid w:val="003133D8"/>
    <w:rsid w:val="00317D92"/>
    <w:rsid w:val="00330110"/>
    <w:rsid w:val="00330D46"/>
    <w:rsid w:val="0035366F"/>
    <w:rsid w:val="00380C11"/>
    <w:rsid w:val="00397492"/>
    <w:rsid w:val="003F175A"/>
    <w:rsid w:val="003F6491"/>
    <w:rsid w:val="00400D82"/>
    <w:rsid w:val="00402C9E"/>
    <w:rsid w:val="00407E90"/>
    <w:rsid w:val="0041734A"/>
    <w:rsid w:val="00473E43"/>
    <w:rsid w:val="0048011C"/>
    <w:rsid w:val="0048617C"/>
    <w:rsid w:val="00490E3E"/>
    <w:rsid w:val="004916EC"/>
    <w:rsid w:val="004A3FEC"/>
    <w:rsid w:val="004C127B"/>
    <w:rsid w:val="004D727C"/>
    <w:rsid w:val="004F0E6D"/>
    <w:rsid w:val="00545BB3"/>
    <w:rsid w:val="0056765F"/>
    <w:rsid w:val="00596159"/>
    <w:rsid w:val="005B5822"/>
    <w:rsid w:val="005C010D"/>
    <w:rsid w:val="005C2743"/>
    <w:rsid w:val="005D1FFC"/>
    <w:rsid w:val="005F3453"/>
    <w:rsid w:val="00623E8C"/>
    <w:rsid w:val="00694B43"/>
    <w:rsid w:val="006B1804"/>
    <w:rsid w:val="006B2D1A"/>
    <w:rsid w:val="006D1659"/>
    <w:rsid w:val="006E78FB"/>
    <w:rsid w:val="006F1F5F"/>
    <w:rsid w:val="006F1F96"/>
    <w:rsid w:val="006F4A49"/>
    <w:rsid w:val="0070429F"/>
    <w:rsid w:val="00711681"/>
    <w:rsid w:val="007216D1"/>
    <w:rsid w:val="00735055"/>
    <w:rsid w:val="007749E9"/>
    <w:rsid w:val="00796FB4"/>
    <w:rsid w:val="007C0298"/>
    <w:rsid w:val="007D1D26"/>
    <w:rsid w:val="007E0490"/>
    <w:rsid w:val="007E1248"/>
    <w:rsid w:val="007E5E6E"/>
    <w:rsid w:val="007F30A2"/>
    <w:rsid w:val="00802558"/>
    <w:rsid w:val="00813FE9"/>
    <w:rsid w:val="00826D60"/>
    <w:rsid w:val="00833E2E"/>
    <w:rsid w:val="008503F8"/>
    <w:rsid w:val="00856FCC"/>
    <w:rsid w:val="00870483"/>
    <w:rsid w:val="008B453E"/>
    <w:rsid w:val="008B462A"/>
    <w:rsid w:val="008B7818"/>
    <w:rsid w:val="008E181A"/>
    <w:rsid w:val="008F2CEA"/>
    <w:rsid w:val="0091514E"/>
    <w:rsid w:val="00923932"/>
    <w:rsid w:val="00925976"/>
    <w:rsid w:val="009273E2"/>
    <w:rsid w:val="00934102"/>
    <w:rsid w:val="0095062D"/>
    <w:rsid w:val="00952E89"/>
    <w:rsid w:val="00993627"/>
    <w:rsid w:val="009A4A26"/>
    <w:rsid w:val="009B35BD"/>
    <w:rsid w:val="009C29F6"/>
    <w:rsid w:val="009C7F2C"/>
    <w:rsid w:val="009D6AB1"/>
    <w:rsid w:val="009F32BA"/>
    <w:rsid w:val="00A1705D"/>
    <w:rsid w:val="00A37B9D"/>
    <w:rsid w:val="00A567A6"/>
    <w:rsid w:val="00A6352B"/>
    <w:rsid w:val="00A7349A"/>
    <w:rsid w:val="00AD2696"/>
    <w:rsid w:val="00AF7F91"/>
    <w:rsid w:val="00B00EE6"/>
    <w:rsid w:val="00B03136"/>
    <w:rsid w:val="00B256C4"/>
    <w:rsid w:val="00B32CBD"/>
    <w:rsid w:val="00B57AE1"/>
    <w:rsid w:val="00B91338"/>
    <w:rsid w:val="00B950D7"/>
    <w:rsid w:val="00BA020A"/>
    <w:rsid w:val="00BA1FBA"/>
    <w:rsid w:val="00BB3EAC"/>
    <w:rsid w:val="00BF0B70"/>
    <w:rsid w:val="00C15363"/>
    <w:rsid w:val="00C169D5"/>
    <w:rsid w:val="00C17EEA"/>
    <w:rsid w:val="00C54BED"/>
    <w:rsid w:val="00C56807"/>
    <w:rsid w:val="00C63292"/>
    <w:rsid w:val="00C73E33"/>
    <w:rsid w:val="00C90F06"/>
    <w:rsid w:val="00C940B9"/>
    <w:rsid w:val="00C95F4C"/>
    <w:rsid w:val="00CA1423"/>
    <w:rsid w:val="00CF3B01"/>
    <w:rsid w:val="00CF79E1"/>
    <w:rsid w:val="00D01AB1"/>
    <w:rsid w:val="00D37CA9"/>
    <w:rsid w:val="00D51FF6"/>
    <w:rsid w:val="00D710EB"/>
    <w:rsid w:val="00D74C0B"/>
    <w:rsid w:val="00D87C05"/>
    <w:rsid w:val="00D95D30"/>
    <w:rsid w:val="00DA7DD0"/>
    <w:rsid w:val="00DB585C"/>
    <w:rsid w:val="00DD0261"/>
    <w:rsid w:val="00DD52C0"/>
    <w:rsid w:val="00DE7049"/>
    <w:rsid w:val="00DE7F64"/>
    <w:rsid w:val="00E03B4F"/>
    <w:rsid w:val="00E11F3E"/>
    <w:rsid w:val="00E12C12"/>
    <w:rsid w:val="00E14286"/>
    <w:rsid w:val="00E15A07"/>
    <w:rsid w:val="00E72645"/>
    <w:rsid w:val="00E82450"/>
    <w:rsid w:val="00E96215"/>
    <w:rsid w:val="00EA28C6"/>
    <w:rsid w:val="00ED69B4"/>
    <w:rsid w:val="00F1615A"/>
    <w:rsid w:val="00F31861"/>
    <w:rsid w:val="00F43FC6"/>
    <w:rsid w:val="00F51FBD"/>
    <w:rsid w:val="00F800DA"/>
    <w:rsid w:val="00F93112"/>
    <w:rsid w:val="00FA6408"/>
    <w:rsid w:val="00FD6013"/>
    <w:rsid w:val="00FE401E"/>
    <w:rsid w:val="00FE42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0EAFA81-B277-4C90-B1E8-93683DED2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uk-UA"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635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6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6F4A49"/>
    <w:rPr>
      <w:rFonts w:ascii="TimesNewRomanPSMT" w:hAnsi="TimesNewRomanPSMT" w:hint="default"/>
      <w:b w:val="0"/>
      <w:bCs w:val="0"/>
      <w:i w:val="0"/>
      <w:iCs w:val="0"/>
      <w:color w:val="000000"/>
      <w:sz w:val="24"/>
      <w:szCs w:val="24"/>
    </w:rPr>
  </w:style>
  <w:style w:type="character" w:styleId="a4">
    <w:name w:val="annotation reference"/>
    <w:basedOn w:val="a0"/>
    <w:uiPriority w:val="99"/>
    <w:semiHidden/>
    <w:unhideWhenUsed/>
    <w:rsid w:val="00EA28C6"/>
    <w:rPr>
      <w:sz w:val="16"/>
      <w:szCs w:val="16"/>
    </w:rPr>
  </w:style>
  <w:style w:type="paragraph" w:styleId="a5">
    <w:name w:val="annotation text"/>
    <w:basedOn w:val="a"/>
    <w:link w:val="a6"/>
    <w:uiPriority w:val="99"/>
    <w:unhideWhenUsed/>
    <w:rsid w:val="00EA28C6"/>
    <w:pPr>
      <w:spacing w:after="0" w:line="240" w:lineRule="auto"/>
    </w:pPr>
    <w:rPr>
      <w:rFonts w:ascii="Times New Roman" w:eastAsia="Times New Roman" w:hAnsi="Times New Roman" w:cs="Times New Roman"/>
      <w:sz w:val="20"/>
      <w:szCs w:val="20"/>
      <w:lang w:val="ru-RU" w:eastAsia="ru-RU"/>
    </w:rPr>
  </w:style>
  <w:style w:type="character" w:customStyle="1" w:styleId="a6">
    <w:name w:val="Текст примітки Знак"/>
    <w:basedOn w:val="a0"/>
    <w:link w:val="a5"/>
    <w:uiPriority w:val="99"/>
    <w:rsid w:val="00EA28C6"/>
    <w:rPr>
      <w:rFonts w:ascii="Times New Roman" w:eastAsia="Times New Roman" w:hAnsi="Times New Roman" w:cs="Times New Roman"/>
      <w:sz w:val="20"/>
      <w:szCs w:val="20"/>
      <w:lang w:val="ru-RU" w:eastAsia="ru-RU"/>
    </w:rPr>
  </w:style>
  <w:style w:type="paragraph" w:styleId="a7">
    <w:name w:val="Balloon Text"/>
    <w:basedOn w:val="a"/>
    <w:link w:val="a8"/>
    <w:uiPriority w:val="99"/>
    <w:semiHidden/>
    <w:unhideWhenUsed/>
    <w:rsid w:val="00EA28C6"/>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EA28C6"/>
    <w:rPr>
      <w:rFonts w:ascii="Segoe UI" w:hAnsi="Segoe UI" w:cs="Segoe UI"/>
      <w:sz w:val="18"/>
      <w:szCs w:val="18"/>
    </w:rPr>
  </w:style>
  <w:style w:type="paragraph" w:customStyle="1" w:styleId="rvps2">
    <w:name w:val="rvps2"/>
    <w:basedOn w:val="a"/>
    <w:rsid w:val="00DE7F6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basedOn w:val="a0"/>
    <w:uiPriority w:val="99"/>
    <w:semiHidden/>
    <w:unhideWhenUsed/>
    <w:rsid w:val="00BA020A"/>
    <w:rPr>
      <w:color w:val="0000FF"/>
      <w:u w:val="single"/>
    </w:rPr>
  </w:style>
  <w:style w:type="character" w:customStyle="1" w:styleId="rvts80">
    <w:name w:val="rvts80"/>
    <w:basedOn w:val="a0"/>
    <w:rsid w:val="00DB585C"/>
  </w:style>
  <w:style w:type="paragraph" w:customStyle="1" w:styleId="rvps12">
    <w:name w:val="rvps12"/>
    <w:basedOn w:val="a"/>
    <w:rsid w:val="00DB585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0">
    <w:name w:val="rvts40"/>
    <w:basedOn w:val="a0"/>
    <w:rsid w:val="00DB585C"/>
  </w:style>
  <w:style w:type="paragraph" w:customStyle="1" w:styleId="rvps11">
    <w:name w:val="rvps11"/>
    <w:basedOn w:val="a"/>
    <w:rsid w:val="00DB585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4">
    <w:name w:val="rvps14"/>
    <w:basedOn w:val="a"/>
    <w:rsid w:val="00DB585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a">
    <w:name w:val="header"/>
    <w:basedOn w:val="a"/>
    <w:link w:val="ab"/>
    <w:uiPriority w:val="99"/>
    <w:unhideWhenUsed/>
    <w:rsid w:val="001F0204"/>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1F0204"/>
  </w:style>
  <w:style w:type="paragraph" w:styleId="ac">
    <w:name w:val="footer"/>
    <w:basedOn w:val="a"/>
    <w:link w:val="ad"/>
    <w:uiPriority w:val="99"/>
    <w:unhideWhenUsed/>
    <w:rsid w:val="001F0204"/>
    <w:pPr>
      <w:tabs>
        <w:tab w:val="center" w:pos="4819"/>
        <w:tab w:val="right" w:pos="9639"/>
      </w:tabs>
      <w:spacing w:after="0" w:line="240" w:lineRule="auto"/>
    </w:pPr>
  </w:style>
  <w:style w:type="character" w:customStyle="1" w:styleId="ad">
    <w:name w:val="Нижній колонтитул Знак"/>
    <w:basedOn w:val="a0"/>
    <w:link w:val="ac"/>
    <w:uiPriority w:val="99"/>
    <w:rsid w:val="001F02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9049628">
      <w:bodyDiv w:val="1"/>
      <w:marLeft w:val="0"/>
      <w:marRight w:val="0"/>
      <w:marTop w:val="0"/>
      <w:marBottom w:val="0"/>
      <w:divBdr>
        <w:top w:val="none" w:sz="0" w:space="0" w:color="auto"/>
        <w:left w:val="none" w:sz="0" w:space="0" w:color="auto"/>
        <w:bottom w:val="none" w:sz="0" w:space="0" w:color="auto"/>
        <w:right w:val="none" w:sz="0" w:space="0" w:color="auto"/>
      </w:divBdr>
    </w:div>
    <w:div w:id="1467163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laws/file/z1378-15" TargetMode="External"/><Relationship Id="rId13" Type="http://schemas.openxmlformats.org/officeDocument/2006/relationships/oleObject" Target="embeddings/oleObject2.bin"/><Relationship Id="rId18" Type="http://schemas.openxmlformats.org/officeDocument/2006/relationships/oleObject" Target="embeddings/oleObject5.bin"/><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zakon.rada.gov.ua/laws/file/z1378-15" TargetMode="External"/><Relationship Id="rId12" Type="http://schemas.openxmlformats.org/officeDocument/2006/relationships/oleObject" Target="embeddings/oleObject1.bin"/><Relationship Id="rId17" Type="http://schemas.openxmlformats.org/officeDocument/2006/relationships/hyperlink" Target="https://zakon.rada.gov.ua/laws/show/z1378-15" TargetMode="External"/><Relationship Id="rId2" Type="http://schemas.openxmlformats.org/officeDocument/2006/relationships/styles" Target="styles.xml"/><Relationship Id="rId16" Type="http://schemas.openxmlformats.org/officeDocument/2006/relationships/hyperlink" Target="https://zakon.rada.gov.ua/laws/show/z1378-15"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wmf"/><Relationship Id="rId5" Type="http://schemas.openxmlformats.org/officeDocument/2006/relationships/footnotes" Target="footnotes.xml"/><Relationship Id="rId15" Type="http://schemas.openxmlformats.org/officeDocument/2006/relationships/oleObject" Target="embeddings/oleObject4.bin"/><Relationship Id="rId10" Type="http://schemas.openxmlformats.org/officeDocument/2006/relationships/hyperlink" Target="https://zakon.rada.gov.ua/laws/show/329-19" TargetMode="External"/><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hyperlink" Target="https://zakon.rada.gov.ua/laws/show/329-19" TargetMode="External"/><Relationship Id="rId14" Type="http://schemas.openxmlformats.org/officeDocument/2006/relationships/oleObject" Target="embeddings/oleObject3.bin"/><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F50A46-F07E-42D7-84D0-9F57E7AF3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23436</Words>
  <Characters>13360</Characters>
  <Application>Microsoft Office Word</Application>
  <DocSecurity>0</DocSecurity>
  <Lines>111</Lines>
  <Paragraphs>73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NCRE</Company>
  <LinksUpToDate>false</LinksUpToDate>
  <CharactersWithSpaces>36723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Володимир Пріщенко</dc:creator>
  <cp:lastModifiedBy>Людмила Кулаковська</cp:lastModifiedBy>
  <cp:revision>6</cp:revision>
  <cp:lastPrinted>2022-11-23T17:16:00Z</cp:lastPrinted>
  <dcterms:created xsi:type="dcterms:W3CDTF">2022-11-28T19:07:00Z</dcterms:created>
  <dcterms:modified xsi:type="dcterms:W3CDTF">2022-11-29T12:23:00Z</dcterms:modified>
</cp:coreProperties>
</file>