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D41" w:rsidRPr="003B6FD7" w:rsidRDefault="00D10D41" w:rsidP="00D10D41">
      <w:pPr>
        <w:jc w:val="center"/>
        <w:rPr>
          <w:b/>
          <w:sz w:val="26"/>
          <w:szCs w:val="26"/>
        </w:rPr>
      </w:pPr>
      <w:r w:rsidRPr="003B6FD7">
        <w:rPr>
          <w:b/>
          <w:sz w:val="26"/>
          <w:szCs w:val="26"/>
        </w:rPr>
        <w:t>ПОРІВНЯЛЬНА ТАБЛИЦЯ</w:t>
      </w:r>
    </w:p>
    <w:p w:rsidR="00D10D41" w:rsidRPr="003B6FD7" w:rsidRDefault="00D10D41" w:rsidP="00D10D41">
      <w:pPr>
        <w:jc w:val="center"/>
        <w:rPr>
          <w:b/>
          <w:sz w:val="24"/>
          <w:szCs w:val="24"/>
        </w:rPr>
      </w:pPr>
      <w:r w:rsidRPr="003B6FD7">
        <w:rPr>
          <w:b/>
          <w:sz w:val="24"/>
          <w:szCs w:val="24"/>
        </w:rPr>
        <w:t>чинної редакції постанови НКРЕКП від 27.07.2017 № 981 "Про затвердження Положення про порядок подання, визначення та затвердження економічних коефіцієнтів нормативних та прогнозованих технологічних витрат електроенергії" та нової редакції із змінами*</w:t>
      </w:r>
    </w:p>
    <w:p w:rsidR="00D10D41" w:rsidRPr="003B6FD7" w:rsidRDefault="00D10D41" w:rsidP="00D10D41">
      <w:pPr>
        <w:jc w:val="both"/>
        <w:rPr>
          <w:sz w:val="10"/>
          <w:szCs w:val="10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349"/>
        <w:gridCol w:w="21"/>
        <w:gridCol w:w="7373"/>
      </w:tblGrid>
      <w:tr w:rsidR="00D10D41" w:rsidRPr="003B6FD7" w:rsidTr="00D10D41">
        <w:trPr>
          <w:trHeight w:val="465"/>
        </w:trPr>
        <w:tc>
          <w:tcPr>
            <w:tcW w:w="708" w:type="dxa"/>
            <w:vAlign w:val="center"/>
          </w:tcPr>
          <w:p w:rsidR="00D10D41" w:rsidRPr="003B6FD7" w:rsidRDefault="00D10D41" w:rsidP="00766CEA">
            <w:pPr>
              <w:jc w:val="center"/>
              <w:rPr>
                <w:b/>
                <w:sz w:val="26"/>
                <w:szCs w:val="26"/>
              </w:rPr>
            </w:pPr>
            <w:r w:rsidRPr="003B6FD7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370" w:type="dxa"/>
            <w:gridSpan w:val="2"/>
            <w:vAlign w:val="center"/>
          </w:tcPr>
          <w:p w:rsidR="00D10D41" w:rsidRPr="003B6FD7" w:rsidRDefault="00D10D41" w:rsidP="00766CEA">
            <w:pPr>
              <w:jc w:val="center"/>
              <w:rPr>
                <w:b/>
                <w:sz w:val="26"/>
                <w:szCs w:val="26"/>
              </w:rPr>
            </w:pPr>
            <w:r w:rsidRPr="003B6FD7">
              <w:rPr>
                <w:b/>
                <w:sz w:val="26"/>
                <w:szCs w:val="26"/>
              </w:rPr>
              <w:t>Чинна редакція</w:t>
            </w:r>
          </w:p>
        </w:tc>
        <w:tc>
          <w:tcPr>
            <w:tcW w:w="7373" w:type="dxa"/>
            <w:vAlign w:val="center"/>
          </w:tcPr>
          <w:p w:rsidR="00D10D41" w:rsidRPr="003B6FD7" w:rsidRDefault="00D10D41" w:rsidP="00766CEA">
            <w:pPr>
              <w:jc w:val="center"/>
              <w:rPr>
                <w:b/>
                <w:sz w:val="26"/>
                <w:szCs w:val="26"/>
              </w:rPr>
            </w:pPr>
            <w:r w:rsidRPr="003B6FD7">
              <w:rPr>
                <w:b/>
                <w:sz w:val="26"/>
                <w:szCs w:val="26"/>
              </w:rPr>
              <w:t>Редакція зі змінами</w:t>
            </w:r>
          </w:p>
        </w:tc>
      </w:tr>
      <w:tr w:rsidR="00D10D41" w:rsidRPr="003B6FD7" w:rsidTr="00250067">
        <w:tc>
          <w:tcPr>
            <w:tcW w:w="15451" w:type="dxa"/>
            <w:gridSpan w:val="4"/>
            <w:vAlign w:val="center"/>
          </w:tcPr>
          <w:p w:rsidR="00D10D41" w:rsidRPr="003B6FD7" w:rsidRDefault="003B6FD7" w:rsidP="00D10D41">
            <w:pPr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3B6FD7">
              <w:rPr>
                <w:b/>
                <w:color w:val="000000"/>
                <w:sz w:val="28"/>
                <w:szCs w:val="28"/>
                <w:shd w:val="clear" w:color="auto" w:fill="FFFFFF"/>
              </w:rPr>
              <w:t>Постанова</w:t>
            </w:r>
          </w:p>
        </w:tc>
      </w:tr>
      <w:tr w:rsidR="00D10D41" w:rsidRPr="003B6FD7" w:rsidTr="00D10D41">
        <w:tc>
          <w:tcPr>
            <w:tcW w:w="708" w:type="dxa"/>
            <w:vAlign w:val="center"/>
          </w:tcPr>
          <w:p w:rsidR="00D10D41" w:rsidRPr="003B6FD7" w:rsidRDefault="003B6FD7" w:rsidP="003B6FD7">
            <w:pPr>
              <w:jc w:val="righ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B6FD7">
              <w:rPr>
                <w:color w:val="000000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7349" w:type="dxa"/>
            <w:vAlign w:val="center"/>
          </w:tcPr>
          <w:p w:rsidR="00D10D41" w:rsidRPr="003B6FD7" w:rsidRDefault="00E0649A" w:rsidP="003B6FD7">
            <w:pPr>
              <w:pStyle w:val="a7"/>
              <w:spacing w:before="0" w:beforeAutospacing="0" w:after="0" w:afterAutospacing="0"/>
              <w:jc w:val="both"/>
              <w:rPr>
                <w:color w:val="333333"/>
                <w:shd w:val="clear" w:color="auto" w:fill="FFFFFF"/>
              </w:rPr>
            </w:pPr>
            <w:r w:rsidRPr="003B6FD7">
              <w:rPr>
                <w:color w:val="333333"/>
                <w:shd w:val="clear" w:color="auto" w:fill="FFFFFF"/>
              </w:rPr>
              <w:t>1. Затвердити </w:t>
            </w:r>
            <w:hyperlink r:id="rId6" w:anchor="n10" w:history="1">
              <w:r w:rsidRPr="003B6FD7">
                <w:rPr>
                  <w:color w:val="333333"/>
                </w:rPr>
                <w:t>Положення про порядок подання, визначення та затвердження економічних коефіцієнтів нормативних та прогнозованих технологічних витрат електроенергії</w:t>
              </w:r>
            </w:hyperlink>
            <w:r w:rsidRPr="003B6FD7">
              <w:rPr>
                <w:color w:val="333333"/>
                <w:shd w:val="clear" w:color="auto" w:fill="FFFFFF"/>
              </w:rPr>
              <w:t>, що додається.</w:t>
            </w:r>
          </w:p>
        </w:tc>
        <w:tc>
          <w:tcPr>
            <w:tcW w:w="7394" w:type="dxa"/>
            <w:gridSpan w:val="2"/>
            <w:vAlign w:val="center"/>
          </w:tcPr>
          <w:p w:rsidR="00D10D41" w:rsidRPr="003B6FD7" w:rsidRDefault="00E0649A" w:rsidP="003B6FD7">
            <w:pPr>
              <w:jc w:val="both"/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B6FD7">
              <w:rPr>
                <w:color w:val="000000" w:themeColor="text1"/>
                <w:sz w:val="24"/>
                <w:szCs w:val="24"/>
                <w:shd w:val="clear" w:color="auto" w:fill="FFFFFF"/>
              </w:rPr>
              <w:t>1. Затвердити </w:t>
            </w:r>
            <w:hyperlink r:id="rId7" w:anchor="n10" w:history="1">
              <w:r w:rsidRPr="003B6FD7">
                <w:rPr>
                  <w:rStyle w:val="a8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Положення про порядок подання, визначення та затвердження економічних коефіцієнтів нормативних та прогнозованих технологічних витрат електроенергії</w:t>
              </w:r>
            </w:hyperlink>
            <w:r w:rsidRPr="003B6FD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B6FD7">
              <w:rPr>
                <w:b/>
                <w:color w:val="7030A0"/>
                <w:sz w:val="24"/>
                <w:szCs w:val="24"/>
              </w:rPr>
              <w:t>(далі – Положення)</w:t>
            </w:r>
            <w:r w:rsidRPr="003B6FD7">
              <w:rPr>
                <w:color w:val="000000" w:themeColor="text1"/>
                <w:sz w:val="24"/>
                <w:szCs w:val="24"/>
                <w:shd w:val="clear" w:color="auto" w:fill="FFFFFF"/>
              </w:rPr>
              <w:t>, що додається.</w:t>
            </w:r>
          </w:p>
        </w:tc>
      </w:tr>
      <w:tr w:rsidR="00E0649A" w:rsidRPr="003B6FD7" w:rsidTr="002B0B55">
        <w:tc>
          <w:tcPr>
            <w:tcW w:w="708" w:type="dxa"/>
            <w:vAlign w:val="center"/>
          </w:tcPr>
          <w:p w:rsidR="00E0649A" w:rsidRPr="003B6FD7" w:rsidRDefault="003B6FD7" w:rsidP="003B6FD7">
            <w:pPr>
              <w:jc w:val="righ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B6FD7">
              <w:rPr>
                <w:color w:val="000000"/>
                <w:sz w:val="22"/>
                <w:szCs w:val="22"/>
                <w:shd w:val="clear" w:color="auto" w:fill="FFFFFF"/>
              </w:rPr>
              <w:t>2</w:t>
            </w:r>
          </w:p>
        </w:tc>
        <w:tc>
          <w:tcPr>
            <w:tcW w:w="7349" w:type="dxa"/>
          </w:tcPr>
          <w:p w:rsidR="00E0649A" w:rsidRPr="003B6FD7" w:rsidRDefault="00E0649A" w:rsidP="003B6FD7">
            <w:pPr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B6FD7">
              <w:rPr>
                <w:color w:val="333333"/>
                <w:sz w:val="24"/>
                <w:szCs w:val="24"/>
                <w:shd w:val="clear" w:color="auto" w:fill="FFFFFF"/>
              </w:rPr>
              <w:t>2. Визнати такою, що втратила чинність, </w:t>
            </w:r>
            <w:hyperlink r:id="rId8" w:tgtFrame="_blank" w:history="1">
              <w:r w:rsidRPr="003B6FD7">
                <w:rPr>
                  <w:rStyle w:val="a8"/>
                  <w:color w:val="000099"/>
                  <w:sz w:val="24"/>
                  <w:szCs w:val="24"/>
                  <w:shd w:val="clear" w:color="auto" w:fill="FFFFFF"/>
                </w:rPr>
                <w:t>постанову Національної комісії, що здійснює державне регулювання у сфері енергетики, від 15 серпня 2013 р</w:t>
              </w:r>
              <w:bookmarkStart w:id="0" w:name="_GoBack"/>
              <w:bookmarkEnd w:id="0"/>
              <w:r w:rsidRPr="003B6FD7">
                <w:rPr>
                  <w:rStyle w:val="a8"/>
                  <w:color w:val="000099"/>
                  <w:sz w:val="24"/>
                  <w:szCs w:val="24"/>
                  <w:shd w:val="clear" w:color="auto" w:fill="FFFFFF"/>
                </w:rPr>
                <w:t>оку № 1110</w:t>
              </w:r>
            </w:hyperlink>
            <w:r w:rsidRPr="003B6FD7">
              <w:rPr>
                <w:color w:val="333333"/>
                <w:sz w:val="24"/>
                <w:szCs w:val="24"/>
                <w:shd w:val="clear" w:color="auto" w:fill="FFFFFF"/>
              </w:rPr>
              <w:t> «Про затвердження Положення про порядок подання, визначення та затвердження економічних коефіцієнтів нормативних технологічних витрат електроенергії», зареєстровану в Міністерстві юстиції України 05 вересня 2013 року за № 1532/24064.</w:t>
            </w:r>
          </w:p>
        </w:tc>
        <w:tc>
          <w:tcPr>
            <w:tcW w:w="7394" w:type="dxa"/>
            <w:gridSpan w:val="2"/>
          </w:tcPr>
          <w:p w:rsidR="00E0649A" w:rsidRPr="003B6FD7" w:rsidRDefault="00E0649A" w:rsidP="003B6FD7">
            <w:pPr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0649A" w:rsidRPr="003B6FD7" w:rsidTr="00D10D41">
        <w:tc>
          <w:tcPr>
            <w:tcW w:w="708" w:type="dxa"/>
            <w:vAlign w:val="center"/>
          </w:tcPr>
          <w:p w:rsidR="00E0649A" w:rsidRPr="003B6FD7" w:rsidRDefault="003B6FD7" w:rsidP="003B6FD7">
            <w:pPr>
              <w:jc w:val="righ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B6FD7">
              <w:rPr>
                <w:color w:val="000000"/>
                <w:sz w:val="22"/>
                <w:szCs w:val="22"/>
                <w:shd w:val="clear" w:color="auto" w:fill="FFFFFF"/>
              </w:rPr>
              <w:t>3</w:t>
            </w:r>
          </w:p>
        </w:tc>
        <w:tc>
          <w:tcPr>
            <w:tcW w:w="7349" w:type="dxa"/>
            <w:vAlign w:val="center"/>
          </w:tcPr>
          <w:p w:rsidR="00E0649A" w:rsidRPr="003B6FD7" w:rsidRDefault="00E0649A" w:rsidP="003B6FD7">
            <w:pPr>
              <w:pStyle w:val="a7"/>
              <w:spacing w:before="0" w:beforeAutospacing="0" w:after="0" w:afterAutospacing="0"/>
              <w:jc w:val="both"/>
              <w:rPr>
                <w:b/>
                <w:color w:val="000000"/>
                <w:shd w:val="clear" w:color="auto" w:fill="FFFFFF"/>
              </w:rPr>
            </w:pPr>
            <w:r w:rsidRPr="003B6FD7">
              <w:rPr>
                <w:b/>
                <w:color w:val="FF0000"/>
                <w:shd w:val="clear" w:color="auto" w:fill="FFFFFF"/>
              </w:rPr>
              <w:t>Відсутній</w:t>
            </w:r>
          </w:p>
        </w:tc>
        <w:tc>
          <w:tcPr>
            <w:tcW w:w="7394" w:type="dxa"/>
            <w:gridSpan w:val="2"/>
            <w:vAlign w:val="center"/>
          </w:tcPr>
          <w:p w:rsidR="00E0649A" w:rsidRPr="003B6FD7" w:rsidRDefault="00E0649A" w:rsidP="003B6FD7">
            <w:pPr>
              <w:jc w:val="both"/>
              <w:rPr>
                <w:b/>
                <w:color w:val="7030A0"/>
                <w:sz w:val="24"/>
                <w:szCs w:val="24"/>
                <w:shd w:val="clear" w:color="auto" w:fill="FFFFFF"/>
              </w:rPr>
            </w:pPr>
            <w:r w:rsidRPr="003B6FD7">
              <w:rPr>
                <w:b/>
                <w:color w:val="7030A0"/>
                <w:sz w:val="24"/>
                <w:szCs w:val="24"/>
              </w:rPr>
              <w:t>3. Зупинити на період дії в Україні воєнного стану дію пунктів 2.5 та 2.6 глави 2 Положення.</w:t>
            </w:r>
          </w:p>
        </w:tc>
      </w:tr>
      <w:tr w:rsidR="00E0649A" w:rsidRPr="003B6FD7" w:rsidTr="00D10D41">
        <w:tc>
          <w:tcPr>
            <w:tcW w:w="708" w:type="dxa"/>
            <w:vAlign w:val="center"/>
          </w:tcPr>
          <w:p w:rsidR="00E0649A" w:rsidRPr="003B6FD7" w:rsidRDefault="003B6FD7" w:rsidP="003B6FD7">
            <w:pPr>
              <w:jc w:val="righ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B6FD7">
              <w:rPr>
                <w:color w:val="000000"/>
                <w:sz w:val="22"/>
                <w:szCs w:val="22"/>
                <w:shd w:val="clear" w:color="auto" w:fill="FFFFFF"/>
              </w:rPr>
              <w:t>4</w:t>
            </w:r>
          </w:p>
        </w:tc>
        <w:tc>
          <w:tcPr>
            <w:tcW w:w="7349" w:type="dxa"/>
            <w:vAlign w:val="center"/>
          </w:tcPr>
          <w:p w:rsidR="00E0649A" w:rsidRPr="003B6FD7" w:rsidRDefault="00E0649A" w:rsidP="003B6FD7">
            <w:pPr>
              <w:pStyle w:val="a7"/>
              <w:spacing w:before="0" w:beforeAutospacing="0" w:after="0" w:afterAutospacing="0"/>
              <w:jc w:val="both"/>
              <w:rPr>
                <w:b/>
                <w:color w:val="FF0000"/>
                <w:shd w:val="clear" w:color="auto" w:fill="FFFFFF"/>
              </w:rPr>
            </w:pPr>
            <w:r w:rsidRPr="003B6FD7">
              <w:rPr>
                <w:color w:val="333333"/>
                <w:shd w:val="clear" w:color="auto" w:fill="FFFFFF"/>
              </w:rPr>
              <w:t>3. Ця постанова набирає чинності з дня, наступного за днем її опублікування в офіційному друкованому виданні - газеті «Урядовий кур’єр».</w:t>
            </w:r>
          </w:p>
        </w:tc>
        <w:tc>
          <w:tcPr>
            <w:tcW w:w="7394" w:type="dxa"/>
            <w:gridSpan w:val="2"/>
            <w:vAlign w:val="center"/>
          </w:tcPr>
          <w:p w:rsidR="00E0649A" w:rsidRPr="003B6FD7" w:rsidRDefault="00E0649A" w:rsidP="003B6FD7">
            <w:pPr>
              <w:jc w:val="both"/>
              <w:rPr>
                <w:sz w:val="24"/>
                <w:szCs w:val="24"/>
              </w:rPr>
            </w:pPr>
            <w:r w:rsidRPr="003B6FD7">
              <w:rPr>
                <w:b/>
                <w:color w:val="7030A0"/>
                <w:sz w:val="24"/>
                <w:szCs w:val="24"/>
                <w:shd w:val="clear" w:color="auto" w:fill="FFFFFF"/>
              </w:rPr>
              <w:t>4</w:t>
            </w:r>
            <w:r w:rsidRPr="003B6FD7">
              <w:rPr>
                <w:b/>
                <w:color w:val="7030A0"/>
                <w:sz w:val="24"/>
                <w:szCs w:val="24"/>
                <w:shd w:val="clear" w:color="auto" w:fill="FFFFFF"/>
              </w:rPr>
              <w:t>.</w:t>
            </w:r>
            <w:r w:rsidRPr="003B6FD7">
              <w:rPr>
                <w:color w:val="7030A0"/>
                <w:sz w:val="24"/>
                <w:szCs w:val="24"/>
                <w:shd w:val="clear" w:color="auto" w:fill="FFFFFF"/>
              </w:rPr>
              <w:t xml:space="preserve"> </w:t>
            </w:r>
            <w:r w:rsidRPr="003B6FD7">
              <w:rPr>
                <w:color w:val="333333"/>
                <w:sz w:val="24"/>
                <w:szCs w:val="24"/>
                <w:shd w:val="clear" w:color="auto" w:fill="FFFFFF"/>
              </w:rPr>
              <w:t>Ця постанова набирає чинності з дня, наступного за днем її опублікування в офіційному друкованому виданні - газеті «Урядовий кур’єр».</w:t>
            </w:r>
          </w:p>
        </w:tc>
      </w:tr>
      <w:tr w:rsidR="003B6FD7" w:rsidRPr="003B6FD7" w:rsidTr="00E13A79">
        <w:tc>
          <w:tcPr>
            <w:tcW w:w="15451" w:type="dxa"/>
            <w:gridSpan w:val="4"/>
            <w:vAlign w:val="center"/>
          </w:tcPr>
          <w:p w:rsidR="003B6FD7" w:rsidRPr="003B6FD7" w:rsidRDefault="003B6FD7" w:rsidP="003B6FD7">
            <w:pPr>
              <w:ind w:firstLine="466"/>
              <w:jc w:val="center"/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3B6FD7">
              <w:rPr>
                <w:b/>
                <w:color w:val="000000"/>
                <w:sz w:val="22"/>
                <w:szCs w:val="22"/>
                <w:shd w:val="clear" w:color="auto" w:fill="FFFFFF"/>
              </w:rPr>
              <w:t>П</w:t>
            </w:r>
            <w:r w:rsidRPr="003B6FD7">
              <w:rPr>
                <w:b/>
                <w:color w:val="000000"/>
                <w:sz w:val="22"/>
                <w:szCs w:val="22"/>
                <w:shd w:val="clear" w:color="auto" w:fill="FFFFFF"/>
              </w:rPr>
              <w:t>оложення</w:t>
            </w:r>
          </w:p>
          <w:p w:rsidR="003B6FD7" w:rsidRPr="003B6FD7" w:rsidRDefault="003B6FD7" w:rsidP="003B6FD7">
            <w:pPr>
              <w:ind w:firstLine="466"/>
              <w:jc w:val="center"/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3B6FD7">
              <w:rPr>
                <w:b/>
                <w:color w:val="000000"/>
                <w:sz w:val="22"/>
                <w:szCs w:val="22"/>
                <w:shd w:val="clear" w:color="auto" w:fill="FFFFFF"/>
              </w:rPr>
              <w:t>про порядок подання, визначення та затвердження економічних коефіцієнтів нормативних та прогнозованих технологічних витрат електроенергії</w:t>
            </w:r>
          </w:p>
        </w:tc>
      </w:tr>
      <w:tr w:rsidR="00E0649A" w:rsidRPr="003B6FD7" w:rsidTr="00D10D41">
        <w:tc>
          <w:tcPr>
            <w:tcW w:w="708" w:type="dxa"/>
            <w:vAlign w:val="center"/>
          </w:tcPr>
          <w:p w:rsidR="00E0649A" w:rsidRPr="003B6FD7" w:rsidRDefault="00E0649A" w:rsidP="00E0649A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B6FD7">
              <w:rPr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="003B6FD7">
              <w:rPr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7349" w:type="dxa"/>
            <w:vAlign w:val="center"/>
          </w:tcPr>
          <w:p w:rsidR="003B6FD7" w:rsidRPr="003B6FD7" w:rsidRDefault="003B6FD7" w:rsidP="003B6FD7">
            <w:pPr>
              <w:shd w:val="clear" w:color="auto" w:fill="FFFFFF"/>
              <w:spacing w:after="150"/>
              <w:ind w:firstLine="450"/>
              <w:jc w:val="both"/>
              <w:rPr>
                <w:color w:val="333333"/>
                <w:sz w:val="24"/>
                <w:szCs w:val="24"/>
                <w:lang w:eastAsia="ru-UA"/>
              </w:rPr>
            </w:pPr>
            <w:r w:rsidRPr="003B6FD7">
              <w:rPr>
                <w:color w:val="333333"/>
                <w:sz w:val="24"/>
                <w:szCs w:val="24"/>
                <w:lang w:eastAsia="ru-UA"/>
              </w:rPr>
              <w:t>2.7. ЕКПТВЕ 2 класу напруги (</w:t>
            </w:r>
            <w:r w:rsidRPr="003B6FD7">
              <w:rPr>
                <w:b/>
                <w:bCs/>
                <w:color w:val="333333"/>
                <w:sz w:val="24"/>
                <w:szCs w:val="24"/>
                <w:lang w:eastAsia="ru-UA"/>
              </w:rPr>
              <w:t>К</w:t>
            </w:r>
            <w:r w:rsidRPr="003B6FD7">
              <w:rPr>
                <w:b/>
                <w:bCs/>
                <w:color w:val="333333"/>
                <w:sz w:val="16"/>
                <w:szCs w:val="16"/>
                <w:vertAlign w:val="superscript"/>
                <w:lang w:eastAsia="ru-UA"/>
              </w:rPr>
              <w:t>m</w:t>
            </w:r>
            <w:r w:rsidRPr="003B6FD7">
              <w:rPr>
                <w:b/>
                <w:bCs/>
                <w:color w:val="333333"/>
                <w:sz w:val="16"/>
                <w:szCs w:val="16"/>
                <w:vertAlign w:val="subscript"/>
                <w:lang w:eastAsia="ru-UA"/>
              </w:rPr>
              <w:t>П2</w:t>
            </w:r>
            <w:r w:rsidRPr="003B6FD7">
              <w:rPr>
                <w:color w:val="333333"/>
                <w:sz w:val="24"/>
                <w:szCs w:val="24"/>
                <w:lang w:eastAsia="ru-UA"/>
              </w:rPr>
              <w:t>) визначається за формулою</w:t>
            </w:r>
          </w:p>
          <w:tbl>
            <w:tblPr>
              <w:tblW w:w="5000" w:type="pct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2"/>
              <w:gridCol w:w="801"/>
              <w:gridCol w:w="50"/>
              <w:gridCol w:w="5737"/>
              <w:gridCol w:w="293"/>
            </w:tblGrid>
            <w:tr w:rsidR="003B6FD7" w:rsidRPr="003B6FD7" w:rsidTr="003B6FD7">
              <w:tc>
                <w:tcPr>
                  <w:tcW w:w="123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jc w:val="center"/>
                    <w:rPr>
                      <w:sz w:val="24"/>
                      <w:szCs w:val="24"/>
                      <w:lang w:eastAsia="ru-UA"/>
                    </w:rPr>
                  </w:pPr>
                  <w:bookmarkStart w:id="1" w:name="n324"/>
                  <w:bookmarkEnd w:id="1"/>
                  <w:r w:rsidRPr="003B6FD7">
                    <w:rPr>
                      <w:noProof/>
                      <w:color w:val="0000FF"/>
                      <w:sz w:val="24"/>
                      <w:szCs w:val="24"/>
                      <w:lang w:eastAsia="ru-UA"/>
                    </w:rPr>
                    <w:drawing>
                      <wp:inline distT="0" distB="0" distL="0" distR="0">
                        <wp:extent cx="2409190" cy="628015"/>
                        <wp:effectExtent l="0" t="0" r="0" b="635"/>
                        <wp:docPr id="1" name="Рисунок 1" descr="https://zakon.rada.gov.ua/laws/file/imgs/84/p468741n324.gif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https://zakon.rada.gov.ua/laws/file/imgs/84/p468741n324.gif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09190" cy="6280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jc w:val="right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(1)</w:t>
                  </w:r>
                </w:p>
              </w:tc>
            </w:tr>
            <w:tr w:rsidR="003B6FD7" w:rsidRPr="003B6FD7" w:rsidTr="003B6FD7"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bookmarkStart w:id="2" w:name="n325"/>
                  <w:bookmarkEnd w:id="2"/>
                  <w:r w:rsidRPr="003B6FD7">
                    <w:rPr>
                      <w:sz w:val="24"/>
                      <w:szCs w:val="24"/>
                      <w:lang w:eastAsia="ru-UA"/>
                    </w:rPr>
                    <w:t>де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rFonts w:ascii="Arial Unicode MS" w:eastAsia="Arial Unicode MS" w:hAnsi="Arial Unicode MS" w:cs="Arial Unicode MS"/>
                      <w:b/>
                      <w:bCs/>
                      <w:sz w:val="24"/>
                      <w:szCs w:val="24"/>
                      <w:lang w:eastAsia="ru-UA"/>
                    </w:rPr>
                    <w:t>Δ</w:t>
                  </w:r>
                  <w:r w:rsidRPr="003B6FD7">
                    <w:rPr>
                      <w:b/>
                      <w:bCs/>
                      <w:sz w:val="24"/>
                      <w:szCs w:val="24"/>
                      <w:lang w:eastAsia="ru-UA"/>
                    </w:rPr>
                    <w:t>Е</w:t>
                  </w:r>
                  <w:r w:rsidRPr="003B6FD7">
                    <w:rPr>
                      <w:b/>
                      <w:bCs/>
                      <w:sz w:val="16"/>
                      <w:szCs w:val="16"/>
                      <w:vertAlign w:val="subscript"/>
                      <w:lang w:eastAsia="ru-UA"/>
                    </w:rPr>
                    <w:t>зв2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jc w:val="center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-</w:t>
                  </w:r>
                </w:p>
              </w:tc>
              <w:tc>
                <w:tcPr>
                  <w:tcW w:w="108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середні за три завершені річні періоди (січень-грудень), що передували прогнозному періоду, звітні фактичні витрати елек</w:t>
                  </w:r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тричної енергії на 2 класі напруги відповідно до форм звітності </w:t>
                  </w:r>
                  <w:hyperlink r:id="rId11" w:anchor="n169" w:tgtFrame="_blank" w:history="1">
                    <w:r w:rsidRPr="003B6FD7">
                      <w:rPr>
                        <w:color w:val="000000" w:themeColor="text1"/>
                        <w:sz w:val="24"/>
                        <w:szCs w:val="24"/>
                        <w:u w:val="single"/>
                        <w:lang w:eastAsia="ru-UA"/>
                      </w:rPr>
                      <w:t>№ 2а-НКРЕКП</w:t>
                    </w:r>
                  </w:hyperlink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, </w:t>
                  </w:r>
                  <w:hyperlink r:id="rId12" w:anchor="n3" w:tgtFrame="_blank" w:history="1">
                    <w:r w:rsidRPr="003B6FD7">
                      <w:rPr>
                        <w:color w:val="000000" w:themeColor="text1"/>
                        <w:sz w:val="24"/>
                        <w:szCs w:val="24"/>
                        <w:u w:val="single"/>
                        <w:lang w:eastAsia="ru-UA"/>
                      </w:rPr>
                      <w:t>№ 2-НКРЕ</w:t>
                    </w:r>
                  </w:hyperlink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 xml:space="preserve"> та № 1Б-ТВЕ, тис. </w:t>
                  </w:r>
                  <w:proofErr w:type="spellStart"/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кВт·год</w:t>
                  </w:r>
                  <w:proofErr w:type="spellEnd"/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;</w:t>
                  </w:r>
                </w:p>
              </w:tc>
            </w:tr>
            <w:tr w:rsidR="003B6FD7" w:rsidRPr="003B6FD7" w:rsidTr="003B6FD7"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b/>
                      <w:bCs/>
                      <w:sz w:val="24"/>
                      <w:szCs w:val="24"/>
                      <w:lang w:eastAsia="ru-UA"/>
                    </w:rPr>
                    <w:t>Е</w:t>
                  </w:r>
                  <w:r w:rsidRPr="003B6FD7">
                    <w:rPr>
                      <w:b/>
                      <w:bCs/>
                      <w:sz w:val="16"/>
                      <w:szCs w:val="16"/>
                      <w:vertAlign w:val="subscript"/>
                      <w:lang w:eastAsia="ru-UA"/>
                    </w:rPr>
                    <w:t>С2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jc w:val="center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-</w:t>
                  </w:r>
                </w:p>
              </w:tc>
              <w:tc>
                <w:tcPr>
                  <w:tcW w:w="108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 xml:space="preserve">середні за три завершені річні періоди (січень-грудень), </w:t>
                  </w:r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що передували прогнозному періоду, обсяги розподілу електричної енергії споживачам на 2 класі напруги відповідно до форм звітності </w:t>
                  </w:r>
                  <w:hyperlink r:id="rId13" w:anchor="n169" w:tgtFrame="_blank" w:history="1">
                    <w:r w:rsidRPr="003B6FD7">
                      <w:rPr>
                        <w:color w:val="000000" w:themeColor="text1"/>
                        <w:sz w:val="24"/>
                        <w:szCs w:val="24"/>
                        <w:u w:val="single"/>
                        <w:lang w:eastAsia="ru-UA"/>
                      </w:rPr>
                      <w:t>№ 2а-НКРЕКП</w:t>
                    </w:r>
                  </w:hyperlink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, </w:t>
                  </w:r>
                  <w:hyperlink r:id="rId14" w:anchor="n3" w:tgtFrame="_blank" w:history="1">
                    <w:r w:rsidRPr="003B6FD7">
                      <w:rPr>
                        <w:color w:val="000000" w:themeColor="text1"/>
                        <w:sz w:val="24"/>
                        <w:szCs w:val="24"/>
                        <w:u w:val="single"/>
                        <w:lang w:eastAsia="ru-UA"/>
                      </w:rPr>
                      <w:t>№ 2-НКРЕ</w:t>
                    </w:r>
                  </w:hyperlink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 xml:space="preserve"> та № 1Б-ТВЕ, тис. </w:t>
                  </w:r>
                  <w:proofErr w:type="spellStart"/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кВт·год</w:t>
                  </w:r>
                  <w:proofErr w:type="spellEnd"/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;</w:t>
                  </w:r>
                </w:p>
              </w:tc>
            </w:tr>
            <w:tr w:rsidR="003B6FD7" w:rsidRPr="003B6FD7" w:rsidTr="003B6FD7"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b/>
                      <w:bCs/>
                      <w:sz w:val="24"/>
                      <w:szCs w:val="24"/>
                      <w:lang w:eastAsia="ru-UA"/>
                    </w:rPr>
                    <w:t>ПЕ</w:t>
                  </w:r>
                  <w:r w:rsidRPr="003B6FD7">
                    <w:rPr>
                      <w:b/>
                      <w:bCs/>
                      <w:sz w:val="16"/>
                      <w:szCs w:val="16"/>
                      <w:vertAlign w:val="subscript"/>
                      <w:lang w:eastAsia="ru-UA"/>
                    </w:rPr>
                    <w:t>2тве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jc w:val="center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-</w:t>
                  </w:r>
                </w:p>
              </w:tc>
              <w:tc>
                <w:tcPr>
                  <w:tcW w:w="108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показник ефективності технологічних витрат електричної енергії, параметр регулювання, що має довготерміновий строк дії, який встановлюється НКРЕКП на регуляторний період на 2 класі напруги, %. Якщо оператор системи розподілу не переходить на стимулююче регулювання, то значення дорівнює 1;</w:t>
                  </w:r>
                </w:p>
              </w:tc>
            </w:tr>
            <w:tr w:rsidR="003B6FD7" w:rsidRPr="003B6FD7" w:rsidTr="003B6FD7"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b/>
                      <w:bCs/>
                      <w:sz w:val="24"/>
                      <w:szCs w:val="24"/>
                      <w:lang w:eastAsia="ru-UA"/>
                    </w:rPr>
                    <w:t>m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jc w:val="center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-</w:t>
                  </w:r>
                </w:p>
              </w:tc>
              <w:tc>
                <w:tcPr>
                  <w:tcW w:w="108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порядковий номер року з початку застосування стимулюючого регулювання.</w:t>
                  </w:r>
                </w:p>
              </w:tc>
            </w:tr>
          </w:tbl>
          <w:p w:rsidR="00E0649A" w:rsidRPr="003B6FD7" w:rsidRDefault="00E0649A" w:rsidP="00E0649A">
            <w:pPr>
              <w:pStyle w:val="a7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394" w:type="dxa"/>
            <w:gridSpan w:val="2"/>
            <w:vAlign w:val="center"/>
          </w:tcPr>
          <w:p w:rsidR="003B6FD7" w:rsidRPr="003B6FD7" w:rsidRDefault="003B6FD7" w:rsidP="003B6FD7">
            <w:pPr>
              <w:shd w:val="clear" w:color="auto" w:fill="FFFFFF"/>
              <w:spacing w:after="150"/>
              <w:ind w:firstLine="450"/>
              <w:jc w:val="both"/>
              <w:rPr>
                <w:color w:val="333333"/>
                <w:sz w:val="24"/>
                <w:szCs w:val="24"/>
                <w:lang w:eastAsia="ru-UA"/>
              </w:rPr>
            </w:pPr>
            <w:r w:rsidRPr="003B6FD7">
              <w:rPr>
                <w:color w:val="333333"/>
                <w:sz w:val="24"/>
                <w:szCs w:val="24"/>
                <w:lang w:eastAsia="ru-UA"/>
              </w:rPr>
              <w:lastRenderedPageBreak/>
              <w:t>2.7. ЕКПТВЕ 2 класу напруги (</w:t>
            </w:r>
            <w:r w:rsidRPr="003B6FD7">
              <w:rPr>
                <w:b/>
                <w:bCs/>
                <w:color w:val="333333"/>
                <w:sz w:val="24"/>
                <w:szCs w:val="24"/>
                <w:lang w:eastAsia="ru-UA"/>
              </w:rPr>
              <w:t>К</w:t>
            </w:r>
            <w:r w:rsidRPr="003B6FD7">
              <w:rPr>
                <w:b/>
                <w:bCs/>
                <w:color w:val="333333"/>
                <w:sz w:val="16"/>
                <w:szCs w:val="16"/>
                <w:vertAlign w:val="superscript"/>
                <w:lang w:eastAsia="ru-UA"/>
              </w:rPr>
              <w:t>m</w:t>
            </w:r>
            <w:r w:rsidRPr="003B6FD7">
              <w:rPr>
                <w:b/>
                <w:bCs/>
                <w:color w:val="333333"/>
                <w:sz w:val="16"/>
                <w:szCs w:val="16"/>
                <w:vertAlign w:val="subscript"/>
                <w:lang w:eastAsia="ru-UA"/>
              </w:rPr>
              <w:t>П2</w:t>
            </w:r>
            <w:r w:rsidRPr="003B6FD7">
              <w:rPr>
                <w:color w:val="333333"/>
                <w:sz w:val="24"/>
                <w:szCs w:val="24"/>
                <w:lang w:eastAsia="ru-UA"/>
              </w:rPr>
              <w:t>) визначається за формулою</w:t>
            </w:r>
          </w:p>
          <w:tbl>
            <w:tblPr>
              <w:tblW w:w="5000" w:type="pct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3"/>
              <w:gridCol w:w="806"/>
              <w:gridCol w:w="50"/>
              <w:gridCol w:w="5774"/>
              <w:gridCol w:w="295"/>
            </w:tblGrid>
            <w:tr w:rsidR="003B6FD7" w:rsidRPr="003B6FD7" w:rsidTr="003B6FD7">
              <w:tc>
                <w:tcPr>
                  <w:tcW w:w="123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jc w:val="center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noProof/>
                      <w:color w:val="0000FF"/>
                      <w:sz w:val="24"/>
                      <w:szCs w:val="24"/>
                      <w:lang w:eastAsia="ru-UA"/>
                    </w:rPr>
                    <w:drawing>
                      <wp:inline distT="0" distB="0" distL="0" distR="0">
                        <wp:extent cx="2409190" cy="628015"/>
                        <wp:effectExtent l="0" t="0" r="0" b="635"/>
                        <wp:docPr id="2" name="Рисунок 2" descr="https://zakon.rada.gov.ua/laws/file/imgs/84/p468741n324.gif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https://zakon.rada.gov.ua/laws/file/imgs/84/p468741n324.gif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09190" cy="6280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jc w:val="right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(1)</w:t>
                  </w:r>
                </w:p>
              </w:tc>
            </w:tr>
            <w:tr w:rsidR="003B6FD7" w:rsidRPr="003B6FD7" w:rsidTr="003B6FD7"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де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rFonts w:ascii="Arial Unicode MS" w:eastAsia="Arial Unicode MS" w:hAnsi="Arial Unicode MS" w:cs="Arial Unicode MS"/>
                      <w:b/>
                      <w:bCs/>
                      <w:sz w:val="24"/>
                      <w:szCs w:val="24"/>
                      <w:lang w:eastAsia="ru-UA"/>
                    </w:rPr>
                    <w:t>Δ</w:t>
                  </w:r>
                  <w:r w:rsidRPr="003B6FD7">
                    <w:rPr>
                      <w:b/>
                      <w:bCs/>
                      <w:sz w:val="24"/>
                      <w:szCs w:val="24"/>
                      <w:lang w:eastAsia="ru-UA"/>
                    </w:rPr>
                    <w:t>Е</w:t>
                  </w:r>
                  <w:r w:rsidRPr="003B6FD7">
                    <w:rPr>
                      <w:b/>
                      <w:bCs/>
                      <w:sz w:val="16"/>
                      <w:szCs w:val="16"/>
                      <w:vertAlign w:val="subscript"/>
                      <w:lang w:eastAsia="ru-UA"/>
                    </w:rPr>
                    <w:t>зв2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jc w:val="center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-</w:t>
                  </w:r>
                </w:p>
              </w:tc>
              <w:tc>
                <w:tcPr>
                  <w:tcW w:w="108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середні за три завершені річні періоди (січень-грудень), що передували прогнозному періоду, звітні фактичні витрати е</w:t>
                  </w:r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лектричної енергії на 2 класі напруги відповідно до форм звітності </w:t>
                  </w:r>
                  <w:hyperlink r:id="rId15" w:anchor="n169" w:tgtFrame="_blank" w:history="1">
                    <w:r w:rsidRPr="003B6FD7">
                      <w:rPr>
                        <w:color w:val="000000" w:themeColor="text1"/>
                        <w:sz w:val="24"/>
                        <w:szCs w:val="24"/>
                        <w:u w:val="single"/>
                        <w:lang w:eastAsia="ru-UA"/>
                      </w:rPr>
                      <w:t>№ 2а-НКРЕКП</w:t>
                    </w:r>
                  </w:hyperlink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, </w:t>
                  </w:r>
                  <w:hyperlink r:id="rId16" w:anchor="n3" w:tgtFrame="_blank" w:history="1">
                    <w:r w:rsidRPr="003B6FD7">
                      <w:rPr>
                        <w:color w:val="000000" w:themeColor="text1"/>
                        <w:sz w:val="24"/>
                        <w:szCs w:val="24"/>
                        <w:u w:val="single"/>
                        <w:lang w:eastAsia="ru-UA"/>
                      </w:rPr>
                      <w:t>№ 2-НКРЕ</w:t>
                    </w:r>
                  </w:hyperlink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 xml:space="preserve"> та № 1Б-ТВЕ, тис. </w:t>
                  </w:r>
                  <w:proofErr w:type="spellStart"/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кВт·год</w:t>
                  </w:r>
                  <w:proofErr w:type="spellEnd"/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;</w:t>
                  </w:r>
                </w:p>
              </w:tc>
            </w:tr>
            <w:tr w:rsidR="003B6FD7" w:rsidRPr="003B6FD7" w:rsidTr="003B6FD7"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b/>
                      <w:bCs/>
                      <w:sz w:val="24"/>
                      <w:szCs w:val="24"/>
                      <w:lang w:eastAsia="ru-UA"/>
                    </w:rPr>
                    <w:t>Е</w:t>
                  </w:r>
                  <w:r w:rsidRPr="003B6FD7">
                    <w:rPr>
                      <w:b/>
                      <w:bCs/>
                      <w:sz w:val="16"/>
                      <w:szCs w:val="16"/>
                      <w:vertAlign w:val="subscript"/>
                      <w:lang w:eastAsia="ru-UA"/>
                    </w:rPr>
                    <w:t>С2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jc w:val="center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-</w:t>
                  </w:r>
                </w:p>
              </w:tc>
              <w:tc>
                <w:tcPr>
                  <w:tcW w:w="108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 xml:space="preserve">середні за три завершені річні періоди (січень-грудень), що передували прогнозному періоду, обсяги розподілу </w:t>
                  </w:r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електричної енергії споживачам на 2 класі напруги відповідно до форм звітності </w:t>
                  </w:r>
                  <w:hyperlink r:id="rId17" w:anchor="n169" w:tgtFrame="_blank" w:history="1">
                    <w:r w:rsidRPr="003B6FD7">
                      <w:rPr>
                        <w:color w:val="000000" w:themeColor="text1"/>
                        <w:sz w:val="24"/>
                        <w:szCs w:val="24"/>
                        <w:u w:val="single"/>
                        <w:lang w:eastAsia="ru-UA"/>
                      </w:rPr>
                      <w:t>№ 2а-НКРЕКП</w:t>
                    </w:r>
                  </w:hyperlink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, </w:t>
                  </w:r>
                  <w:hyperlink r:id="rId18" w:anchor="n3" w:tgtFrame="_blank" w:history="1">
                    <w:r w:rsidRPr="003B6FD7">
                      <w:rPr>
                        <w:color w:val="000000" w:themeColor="text1"/>
                        <w:sz w:val="24"/>
                        <w:szCs w:val="24"/>
                        <w:u w:val="single"/>
                        <w:lang w:eastAsia="ru-UA"/>
                      </w:rPr>
                      <w:t>№ 2-НКРЕ</w:t>
                    </w:r>
                  </w:hyperlink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 xml:space="preserve"> та № 1Б-ТВЕ, тис. </w:t>
                  </w:r>
                  <w:proofErr w:type="spellStart"/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кВт·год</w:t>
                  </w:r>
                  <w:proofErr w:type="spellEnd"/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;</w:t>
                  </w:r>
                </w:p>
              </w:tc>
            </w:tr>
            <w:tr w:rsidR="003B6FD7" w:rsidRPr="003B6FD7" w:rsidTr="003B6FD7"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b/>
                      <w:bCs/>
                      <w:sz w:val="24"/>
                      <w:szCs w:val="24"/>
                      <w:lang w:eastAsia="ru-UA"/>
                    </w:rPr>
                    <w:t>ПЕ</w:t>
                  </w:r>
                  <w:r w:rsidRPr="003B6FD7">
                    <w:rPr>
                      <w:b/>
                      <w:bCs/>
                      <w:sz w:val="16"/>
                      <w:szCs w:val="16"/>
                      <w:vertAlign w:val="subscript"/>
                      <w:lang w:eastAsia="ru-UA"/>
                    </w:rPr>
                    <w:t>2тве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jc w:val="center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-</w:t>
                  </w:r>
                </w:p>
              </w:tc>
              <w:tc>
                <w:tcPr>
                  <w:tcW w:w="108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 xml:space="preserve">показник ефективності технологічних витрат електричної енергії, параметр регулювання, що має довготерміновий строк дії, який встановлюється НКРЕКП на регуляторний період на 2 класі напруги, %. Якщо оператор системи розподілу не переходить на стимулююче регулювання, то значення дорівнює 1; </w:t>
                  </w:r>
                  <w:r w:rsidRPr="003B6FD7">
                    <w:rPr>
                      <w:b/>
                      <w:color w:val="7030A0"/>
                      <w:sz w:val="24"/>
                      <w:szCs w:val="24"/>
                      <w:lang w:eastAsia="ru-UA"/>
                    </w:rPr>
                    <w:t>(на 2023 рік значення дорівнює 0)</w:t>
                  </w:r>
                </w:p>
              </w:tc>
            </w:tr>
            <w:tr w:rsidR="003B6FD7" w:rsidRPr="003B6FD7" w:rsidTr="003B6FD7"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b/>
                      <w:bCs/>
                      <w:sz w:val="24"/>
                      <w:szCs w:val="24"/>
                      <w:lang w:eastAsia="ru-UA"/>
                    </w:rPr>
                    <w:t>m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jc w:val="center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-</w:t>
                  </w:r>
                </w:p>
              </w:tc>
              <w:tc>
                <w:tcPr>
                  <w:tcW w:w="108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порядковий номер року з початку застосування стимулюючого регулювання.</w:t>
                  </w:r>
                </w:p>
              </w:tc>
            </w:tr>
          </w:tbl>
          <w:p w:rsidR="00E0649A" w:rsidRPr="003B6FD7" w:rsidRDefault="00E0649A" w:rsidP="00E0649A">
            <w:pPr>
              <w:ind w:firstLine="466"/>
              <w:jc w:val="both"/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E0649A" w:rsidRPr="003B6FD7" w:rsidTr="00D10D41">
        <w:tc>
          <w:tcPr>
            <w:tcW w:w="708" w:type="dxa"/>
            <w:vAlign w:val="center"/>
          </w:tcPr>
          <w:p w:rsidR="00E0649A" w:rsidRPr="003B6FD7" w:rsidRDefault="003B6FD7" w:rsidP="00E0649A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2.8</w:t>
            </w:r>
          </w:p>
        </w:tc>
        <w:tc>
          <w:tcPr>
            <w:tcW w:w="7349" w:type="dxa"/>
            <w:vAlign w:val="center"/>
          </w:tcPr>
          <w:p w:rsidR="003B6FD7" w:rsidRPr="003B6FD7" w:rsidRDefault="003B6FD7" w:rsidP="003B6FD7">
            <w:pPr>
              <w:shd w:val="clear" w:color="auto" w:fill="FFFFFF"/>
              <w:spacing w:after="150"/>
              <w:ind w:firstLine="450"/>
              <w:jc w:val="both"/>
              <w:rPr>
                <w:color w:val="333333"/>
                <w:sz w:val="24"/>
                <w:szCs w:val="24"/>
                <w:lang w:eastAsia="ru-UA"/>
              </w:rPr>
            </w:pPr>
            <w:r w:rsidRPr="003B6FD7">
              <w:rPr>
                <w:color w:val="333333"/>
                <w:sz w:val="24"/>
                <w:szCs w:val="24"/>
                <w:lang w:eastAsia="ru-UA"/>
              </w:rPr>
              <w:t>2.8. ЕКПТВЕ 1 класу напруги (</w:t>
            </w:r>
            <w:r w:rsidRPr="003B6FD7">
              <w:rPr>
                <w:b/>
                <w:bCs/>
                <w:color w:val="333333"/>
                <w:sz w:val="24"/>
                <w:szCs w:val="24"/>
                <w:lang w:eastAsia="ru-UA"/>
              </w:rPr>
              <w:t>К</w:t>
            </w:r>
            <w:r w:rsidRPr="003B6FD7">
              <w:rPr>
                <w:b/>
                <w:bCs/>
                <w:color w:val="333333"/>
                <w:sz w:val="16"/>
                <w:szCs w:val="16"/>
                <w:vertAlign w:val="superscript"/>
                <w:lang w:eastAsia="ru-UA"/>
              </w:rPr>
              <w:t>m</w:t>
            </w:r>
            <w:r w:rsidRPr="003B6FD7">
              <w:rPr>
                <w:b/>
                <w:bCs/>
                <w:color w:val="333333"/>
                <w:sz w:val="16"/>
                <w:szCs w:val="16"/>
                <w:vertAlign w:val="subscript"/>
                <w:lang w:eastAsia="ru-UA"/>
              </w:rPr>
              <w:t>П1</w:t>
            </w:r>
            <w:r w:rsidRPr="003B6FD7">
              <w:rPr>
                <w:color w:val="333333"/>
                <w:sz w:val="24"/>
                <w:szCs w:val="24"/>
                <w:lang w:eastAsia="ru-UA"/>
              </w:rPr>
              <w:t>) визначається за формулою</w:t>
            </w:r>
          </w:p>
          <w:tbl>
            <w:tblPr>
              <w:tblW w:w="5000" w:type="pct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6"/>
              <w:gridCol w:w="942"/>
              <w:gridCol w:w="50"/>
              <w:gridCol w:w="5432"/>
              <w:gridCol w:w="463"/>
            </w:tblGrid>
            <w:tr w:rsidR="003B6FD7" w:rsidRPr="003B6FD7" w:rsidTr="003B6FD7">
              <w:tc>
                <w:tcPr>
                  <w:tcW w:w="123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jc w:val="center"/>
                    <w:rPr>
                      <w:sz w:val="24"/>
                      <w:szCs w:val="24"/>
                      <w:lang w:eastAsia="ru-UA"/>
                    </w:rPr>
                  </w:pPr>
                  <w:bookmarkStart w:id="3" w:name="n327"/>
                  <w:bookmarkEnd w:id="3"/>
                  <w:r w:rsidRPr="003B6FD7">
                    <w:rPr>
                      <w:noProof/>
                      <w:color w:val="0000FF"/>
                      <w:sz w:val="24"/>
                      <w:szCs w:val="24"/>
                      <w:lang w:eastAsia="ru-UA"/>
                    </w:rPr>
                    <w:drawing>
                      <wp:inline distT="0" distB="0" distL="0" distR="0">
                        <wp:extent cx="4134485" cy="588645"/>
                        <wp:effectExtent l="0" t="0" r="0" b="1905"/>
                        <wp:docPr id="3" name="Рисунок 3" descr="https://zakon.rada.gov.ua/laws/file/imgs/84/p468741n327-1.gif">
                          <a:hlinkClick xmlns:a="http://schemas.openxmlformats.org/drawingml/2006/main" r:id="rId1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https://zakon.rada.gov.ua/laws/file/imgs/84/p468741n327-1.gif">
                                  <a:hlinkClick r:id="rId1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4485" cy="588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jc w:val="right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(2)</w:t>
                  </w:r>
                </w:p>
              </w:tc>
            </w:tr>
            <w:tr w:rsidR="003B6FD7" w:rsidRPr="003B6FD7" w:rsidTr="003B6FD7"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bookmarkStart w:id="4" w:name="n328"/>
                  <w:bookmarkEnd w:id="4"/>
                  <w:r w:rsidRPr="003B6FD7">
                    <w:rPr>
                      <w:sz w:val="24"/>
                      <w:szCs w:val="24"/>
                      <w:lang w:eastAsia="ru-UA"/>
                    </w:rPr>
                    <w:t>де</w:t>
                  </w:r>
                </w:p>
              </w:tc>
              <w:tc>
                <w:tcPr>
                  <w:tcW w:w="172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rFonts w:ascii="Arial Unicode MS" w:eastAsia="Arial Unicode MS" w:hAnsi="Arial Unicode MS" w:cs="Arial Unicode MS"/>
                      <w:b/>
                      <w:bCs/>
                      <w:sz w:val="24"/>
                      <w:szCs w:val="24"/>
                      <w:lang w:eastAsia="ru-UA"/>
                    </w:rPr>
                    <w:t>Δ</w:t>
                  </w:r>
                  <w:r w:rsidRPr="003B6FD7">
                    <w:rPr>
                      <w:sz w:val="24"/>
                      <w:szCs w:val="24"/>
                      <w:lang w:eastAsia="ru-UA"/>
                    </w:rPr>
                    <w:t>Е</w:t>
                  </w:r>
                  <w:r w:rsidRPr="003B6FD7">
                    <w:rPr>
                      <w:b/>
                      <w:bCs/>
                      <w:sz w:val="16"/>
                      <w:szCs w:val="16"/>
                      <w:vertAlign w:val="subscript"/>
                      <w:lang w:eastAsia="ru-UA"/>
                    </w:rPr>
                    <w:t>зв1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jc w:val="center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-</w:t>
                  </w:r>
                </w:p>
              </w:tc>
              <w:tc>
                <w:tcPr>
                  <w:tcW w:w="110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 xml:space="preserve">середні за три завершені річні періоди (січень-грудень), що передували прогнозному періоду, звітні фактичні витрати електричної енергії на 1 класі напруги відповідно до </w:t>
                  </w:r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форм звітності </w:t>
                  </w:r>
                  <w:hyperlink r:id="rId21" w:anchor="n169" w:tgtFrame="_blank" w:history="1">
                    <w:r w:rsidRPr="003B6FD7">
                      <w:rPr>
                        <w:color w:val="000000" w:themeColor="text1"/>
                        <w:sz w:val="24"/>
                        <w:szCs w:val="24"/>
                        <w:u w:val="single"/>
                        <w:lang w:eastAsia="ru-UA"/>
                      </w:rPr>
                      <w:t>№ 2а-НКРЕКП</w:t>
                    </w:r>
                  </w:hyperlink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, </w:t>
                  </w:r>
                  <w:hyperlink r:id="rId22" w:anchor="n3" w:tgtFrame="_blank" w:history="1">
                    <w:r w:rsidRPr="003B6FD7">
                      <w:rPr>
                        <w:color w:val="000000" w:themeColor="text1"/>
                        <w:sz w:val="24"/>
                        <w:szCs w:val="24"/>
                        <w:u w:val="single"/>
                        <w:lang w:eastAsia="ru-UA"/>
                      </w:rPr>
                      <w:t>№ 2-НКРЕ</w:t>
                    </w:r>
                  </w:hyperlink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 xml:space="preserve"> та № 1Б-ТВЕ, тис. </w:t>
                  </w:r>
                  <w:proofErr w:type="spellStart"/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кВт·год</w:t>
                  </w:r>
                  <w:proofErr w:type="spellEnd"/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;</w:t>
                  </w:r>
                </w:p>
              </w:tc>
            </w:tr>
            <w:tr w:rsidR="003B6FD7" w:rsidRPr="003B6FD7" w:rsidTr="003B6FD7"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</w:p>
              </w:tc>
              <w:tc>
                <w:tcPr>
                  <w:tcW w:w="172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ПЕ</w:t>
                  </w:r>
                  <w:r w:rsidRPr="003B6FD7">
                    <w:rPr>
                      <w:b/>
                      <w:bCs/>
                      <w:sz w:val="16"/>
                      <w:szCs w:val="16"/>
                      <w:vertAlign w:val="subscript"/>
                      <w:lang w:eastAsia="ru-UA"/>
                    </w:rPr>
                    <w:t>1тве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jc w:val="center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-</w:t>
                  </w:r>
                </w:p>
              </w:tc>
              <w:tc>
                <w:tcPr>
                  <w:tcW w:w="110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показник ефективності технологічних витрат електричної енергії, параметр регулювання, що має довготерміновий строк дії, який встановлюється НКРЕКП на регуляторний період на 1 класі напруги, %. Якщо оператор системи розподілу не переходить на стимулююче регулювання, то значення дорівнює 0,5;</w:t>
                  </w:r>
                </w:p>
              </w:tc>
            </w:tr>
            <w:tr w:rsidR="003B6FD7" w:rsidRPr="003B6FD7" w:rsidTr="003B6FD7"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</w:p>
              </w:tc>
              <w:tc>
                <w:tcPr>
                  <w:tcW w:w="172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Е</w:t>
                  </w:r>
                  <w:r w:rsidRPr="003B6FD7">
                    <w:rPr>
                      <w:b/>
                      <w:bCs/>
                      <w:sz w:val="16"/>
                      <w:szCs w:val="16"/>
                      <w:vertAlign w:val="subscript"/>
                      <w:lang w:eastAsia="ru-UA"/>
                    </w:rPr>
                    <w:t>C1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jc w:val="center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-</w:t>
                  </w:r>
                </w:p>
              </w:tc>
              <w:tc>
                <w:tcPr>
                  <w:tcW w:w="110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 xml:space="preserve">середні за три завершені річні періоди (січень-грудень), що передували прогнозному періоду, обсяги розподілу </w:t>
                  </w:r>
                  <w:r w:rsidRPr="003B6FD7">
                    <w:rPr>
                      <w:sz w:val="24"/>
                      <w:szCs w:val="24"/>
                      <w:lang w:eastAsia="ru-UA"/>
                    </w:rPr>
                    <w:lastRenderedPageBreak/>
                    <w:t xml:space="preserve">електричної </w:t>
                  </w:r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енергії споживачам на 1 класі напруги відповідно до форм звітності </w:t>
                  </w:r>
                  <w:hyperlink r:id="rId23" w:anchor="n169" w:tgtFrame="_blank" w:history="1">
                    <w:r w:rsidRPr="003B6FD7">
                      <w:rPr>
                        <w:color w:val="000000" w:themeColor="text1"/>
                        <w:sz w:val="24"/>
                        <w:szCs w:val="24"/>
                        <w:u w:val="single"/>
                        <w:lang w:eastAsia="ru-UA"/>
                      </w:rPr>
                      <w:t>№ 2а-НКРЕКП</w:t>
                    </w:r>
                  </w:hyperlink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, </w:t>
                  </w:r>
                  <w:hyperlink r:id="rId24" w:anchor="n3" w:tgtFrame="_blank" w:history="1">
                    <w:r w:rsidRPr="003B6FD7">
                      <w:rPr>
                        <w:color w:val="000000" w:themeColor="text1"/>
                        <w:sz w:val="24"/>
                        <w:szCs w:val="24"/>
                        <w:u w:val="single"/>
                        <w:lang w:eastAsia="ru-UA"/>
                      </w:rPr>
                      <w:t>№ 2-НКРЕ</w:t>
                    </w:r>
                  </w:hyperlink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 xml:space="preserve"> та № 1Б-ТВЕ, тис. </w:t>
                  </w:r>
                  <w:proofErr w:type="spellStart"/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кВт·год</w:t>
                  </w:r>
                  <w:proofErr w:type="spellEnd"/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.</w:t>
                  </w:r>
                </w:p>
              </w:tc>
            </w:tr>
          </w:tbl>
          <w:p w:rsidR="00E0649A" w:rsidRPr="003B6FD7" w:rsidRDefault="00E0649A" w:rsidP="00E0649A">
            <w:pPr>
              <w:pStyle w:val="a7"/>
              <w:jc w:val="both"/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394" w:type="dxa"/>
            <w:gridSpan w:val="2"/>
            <w:vAlign w:val="center"/>
          </w:tcPr>
          <w:p w:rsidR="003B6FD7" w:rsidRPr="003B6FD7" w:rsidRDefault="003B6FD7" w:rsidP="003B6FD7">
            <w:pPr>
              <w:shd w:val="clear" w:color="auto" w:fill="FFFFFF"/>
              <w:spacing w:after="150"/>
              <w:ind w:firstLine="450"/>
              <w:jc w:val="both"/>
              <w:rPr>
                <w:color w:val="333333"/>
                <w:sz w:val="24"/>
                <w:szCs w:val="24"/>
                <w:lang w:eastAsia="ru-UA"/>
              </w:rPr>
            </w:pPr>
            <w:r w:rsidRPr="003B6FD7">
              <w:rPr>
                <w:color w:val="333333"/>
                <w:sz w:val="24"/>
                <w:szCs w:val="24"/>
                <w:lang w:eastAsia="ru-UA"/>
              </w:rPr>
              <w:lastRenderedPageBreak/>
              <w:t>2.8. ЕКПТВЕ 1 класу напруги (</w:t>
            </w:r>
            <w:r w:rsidRPr="003B6FD7">
              <w:rPr>
                <w:b/>
                <w:bCs/>
                <w:color w:val="333333"/>
                <w:sz w:val="24"/>
                <w:szCs w:val="24"/>
                <w:lang w:eastAsia="ru-UA"/>
              </w:rPr>
              <w:t>К</w:t>
            </w:r>
            <w:r w:rsidRPr="003B6FD7">
              <w:rPr>
                <w:b/>
                <w:bCs/>
                <w:color w:val="333333"/>
                <w:sz w:val="16"/>
                <w:szCs w:val="16"/>
                <w:vertAlign w:val="superscript"/>
                <w:lang w:eastAsia="ru-UA"/>
              </w:rPr>
              <w:t>m</w:t>
            </w:r>
            <w:r w:rsidRPr="003B6FD7">
              <w:rPr>
                <w:b/>
                <w:bCs/>
                <w:color w:val="333333"/>
                <w:sz w:val="16"/>
                <w:szCs w:val="16"/>
                <w:vertAlign w:val="subscript"/>
                <w:lang w:eastAsia="ru-UA"/>
              </w:rPr>
              <w:t>П1</w:t>
            </w:r>
            <w:r w:rsidRPr="003B6FD7">
              <w:rPr>
                <w:color w:val="333333"/>
                <w:sz w:val="24"/>
                <w:szCs w:val="24"/>
                <w:lang w:eastAsia="ru-UA"/>
              </w:rPr>
              <w:t>) визначається за формулою</w:t>
            </w:r>
          </w:p>
          <w:tbl>
            <w:tblPr>
              <w:tblW w:w="5000" w:type="pct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9"/>
              <w:gridCol w:w="947"/>
              <w:gridCol w:w="50"/>
              <w:gridCol w:w="5467"/>
              <w:gridCol w:w="465"/>
            </w:tblGrid>
            <w:tr w:rsidR="003B6FD7" w:rsidRPr="003B6FD7" w:rsidTr="003B6FD7">
              <w:tc>
                <w:tcPr>
                  <w:tcW w:w="123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jc w:val="center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noProof/>
                      <w:color w:val="0000FF"/>
                      <w:sz w:val="24"/>
                      <w:szCs w:val="24"/>
                      <w:lang w:eastAsia="ru-UA"/>
                    </w:rPr>
                    <w:drawing>
                      <wp:inline distT="0" distB="0" distL="0" distR="0">
                        <wp:extent cx="4134485" cy="588645"/>
                        <wp:effectExtent l="0" t="0" r="0" b="1905"/>
                        <wp:docPr id="4" name="Рисунок 4" descr="https://zakon.rada.gov.ua/laws/file/imgs/84/p468741n327-1.gif">
                          <a:hlinkClick xmlns:a="http://schemas.openxmlformats.org/drawingml/2006/main" r:id="rId1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https://zakon.rada.gov.ua/laws/file/imgs/84/p468741n327-1.gif">
                                  <a:hlinkClick r:id="rId1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4485" cy="588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jc w:val="right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(2)</w:t>
                  </w:r>
                </w:p>
              </w:tc>
            </w:tr>
            <w:tr w:rsidR="003B6FD7" w:rsidRPr="003B6FD7" w:rsidTr="003B6FD7"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де</w:t>
                  </w:r>
                </w:p>
              </w:tc>
              <w:tc>
                <w:tcPr>
                  <w:tcW w:w="172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rFonts w:ascii="Arial Unicode MS" w:eastAsia="Arial Unicode MS" w:hAnsi="Arial Unicode MS" w:cs="Arial Unicode MS"/>
                      <w:b/>
                      <w:bCs/>
                      <w:sz w:val="24"/>
                      <w:szCs w:val="24"/>
                      <w:lang w:eastAsia="ru-UA"/>
                    </w:rPr>
                    <w:t>Δ</w:t>
                  </w:r>
                  <w:r w:rsidRPr="003B6FD7">
                    <w:rPr>
                      <w:sz w:val="24"/>
                      <w:szCs w:val="24"/>
                      <w:lang w:eastAsia="ru-UA"/>
                    </w:rPr>
                    <w:t>Е</w:t>
                  </w:r>
                  <w:r w:rsidRPr="003B6FD7">
                    <w:rPr>
                      <w:b/>
                      <w:bCs/>
                      <w:sz w:val="16"/>
                      <w:szCs w:val="16"/>
                      <w:vertAlign w:val="subscript"/>
                      <w:lang w:eastAsia="ru-UA"/>
                    </w:rPr>
                    <w:t>зв1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jc w:val="center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-</w:t>
                  </w:r>
                </w:p>
              </w:tc>
              <w:tc>
                <w:tcPr>
                  <w:tcW w:w="110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 xml:space="preserve">середні за три завершені річні періоди (січень-грудень), що передували </w:t>
                  </w:r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прогнозному періоду, звітні фактичні витрати електричної енергії на 1 класі напруги відповідно до форм звітності </w:t>
                  </w:r>
                  <w:hyperlink r:id="rId25" w:anchor="n169" w:tgtFrame="_blank" w:history="1">
                    <w:r w:rsidRPr="003B6FD7">
                      <w:rPr>
                        <w:color w:val="000000" w:themeColor="text1"/>
                        <w:sz w:val="24"/>
                        <w:szCs w:val="24"/>
                        <w:u w:val="single"/>
                        <w:lang w:eastAsia="ru-UA"/>
                      </w:rPr>
                      <w:t>№ 2а-НКРЕКП</w:t>
                    </w:r>
                  </w:hyperlink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, </w:t>
                  </w:r>
                  <w:hyperlink r:id="rId26" w:anchor="n3" w:tgtFrame="_blank" w:history="1">
                    <w:r w:rsidRPr="003B6FD7">
                      <w:rPr>
                        <w:color w:val="000000" w:themeColor="text1"/>
                        <w:sz w:val="24"/>
                        <w:szCs w:val="24"/>
                        <w:u w:val="single"/>
                        <w:lang w:eastAsia="ru-UA"/>
                      </w:rPr>
                      <w:t>№ 2-НКРЕ</w:t>
                    </w:r>
                  </w:hyperlink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 xml:space="preserve"> та № 1Б-ТВЕ, тис. </w:t>
                  </w:r>
                  <w:proofErr w:type="spellStart"/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кВт·год</w:t>
                  </w:r>
                  <w:proofErr w:type="spellEnd"/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;</w:t>
                  </w:r>
                </w:p>
              </w:tc>
            </w:tr>
            <w:tr w:rsidR="003B6FD7" w:rsidRPr="003B6FD7" w:rsidTr="003B6FD7"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</w:p>
              </w:tc>
              <w:tc>
                <w:tcPr>
                  <w:tcW w:w="172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ПЕ</w:t>
                  </w:r>
                  <w:r w:rsidRPr="003B6FD7">
                    <w:rPr>
                      <w:b/>
                      <w:bCs/>
                      <w:sz w:val="16"/>
                      <w:szCs w:val="16"/>
                      <w:vertAlign w:val="subscript"/>
                      <w:lang w:eastAsia="ru-UA"/>
                    </w:rPr>
                    <w:t>1тве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jc w:val="center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-</w:t>
                  </w:r>
                </w:p>
              </w:tc>
              <w:tc>
                <w:tcPr>
                  <w:tcW w:w="110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 xml:space="preserve">показник ефективності технологічних витрат електричної енергії, параметр регулювання, що має довготерміновий строк дії, який встановлюється НКРЕКП на регуляторний період на 1 класі напруги, %. Якщо оператор системи розподілу не переходить на стимулююче регулювання, то значення дорівнює 0,5; </w:t>
                  </w:r>
                  <w:r w:rsidRPr="003B6FD7">
                    <w:rPr>
                      <w:b/>
                      <w:color w:val="7030A0"/>
                      <w:sz w:val="24"/>
                      <w:szCs w:val="24"/>
                      <w:lang w:eastAsia="ru-UA"/>
                    </w:rPr>
                    <w:t>(на 2023 рік значення дорівнює 0)</w:t>
                  </w:r>
                </w:p>
              </w:tc>
            </w:tr>
            <w:tr w:rsidR="003B6FD7" w:rsidRPr="003B6FD7" w:rsidTr="003B6FD7"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</w:p>
              </w:tc>
              <w:tc>
                <w:tcPr>
                  <w:tcW w:w="172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Е</w:t>
                  </w:r>
                  <w:r w:rsidRPr="003B6FD7">
                    <w:rPr>
                      <w:b/>
                      <w:bCs/>
                      <w:sz w:val="16"/>
                      <w:szCs w:val="16"/>
                      <w:vertAlign w:val="subscript"/>
                      <w:lang w:eastAsia="ru-UA"/>
                    </w:rPr>
                    <w:t>C1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jc w:val="center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>-</w:t>
                  </w:r>
                </w:p>
              </w:tc>
              <w:tc>
                <w:tcPr>
                  <w:tcW w:w="110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FD7" w:rsidRPr="003B6FD7" w:rsidRDefault="003B6FD7" w:rsidP="003B6FD7">
                  <w:pPr>
                    <w:spacing w:before="150" w:after="150"/>
                    <w:rPr>
                      <w:sz w:val="24"/>
                      <w:szCs w:val="24"/>
                      <w:lang w:eastAsia="ru-UA"/>
                    </w:rPr>
                  </w:pPr>
                  <w:r w:rsidRPr="003B6FD7">
                    <w:rPr>
                      <w:sz w:val="24"/>
                      <w:szCs w:val="24"/>
                      <w:lang w:eastAsia="ru-UA"/>
                    </w:rPr>
                    <w:t xml:space="preserve">середні за три завершені річні періоди (січень-грудень), що </w:t>
                  </w:r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передували прогнозному періоду, обсяги розподілу електричної енергії споживачам на 1 класі напруги відповідно до форм звітності </w:t>
                  </w:r>
                  <w:hyperlink r:id="rId27" w:anchor="n169" w:tgtFrame="_blank" w:history="1">
                    <w:r w:rsidRPr="003B6FD7">
                      <w:rPr>
                        <w:color w:val="000000" w:themeColor="text1"/>
                        <w:sz w:val="24"/>
                        <w:szCs w:val="24"/>
                        <w:u w:val="single"/>
                        <w:lang w:eastAsia="ru-UA"/>
                      </w:rPr>
                      <w:t>№ 2а-НКРЕКП</w:t>
                    </w:r>
                  </w:hyperlink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, </w:t>
                  </w:r>
                  <w:hyperlink r:id="rId28" w:anchor="n3" w:tgtFrame="_blank" w:history="1">
                    <w:r w:rsidRPr="003B6FD7">
                      <w:rPr>
                        <w:color w:val="000000" w:themeColor="text1"/>
                        <w:sz w:val="24"/>
                        <w:szCs w:val="24"/>
                        <w:u w:val="single"/>
                        <w:lang w:eastAsia="ru-UA"/>
                      </w:rPr>
                      <w:t>№ 2-НКРЕ</w:t>
                    </w:r>
                  </w:hyperlink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 xml:space="preserve"> та № 1Б-ТВЕ, тис. </w:t>
                  </w:r>
                  <w:proofErr w:type="spellStart"/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>кВт·год</w:t>
                  </w:r>
                  <w:proofErr w:type="spellEnd"/>
                  <w:r w:rsidRPr="003B6FD7">
                    <w:rPr>
                      <w:color w:val="000000" w:themeColor="text1"/>
                      <w:sz w:val="24"/>
                      <w:szCs w:val="24"/>
                      <w:lang w:eastAsia="ru-UA"/>
                    </w:rPr>
                    <w:t xml:space="preserve">. </w:t>
                  </w:r>
                </w:p>
              </w:tc>
            </w:tr>
          </w:tbl>
          <w:p w:rsidR="00E0649A" w:rsidRPr="003B6FD7" w:rsidRDefault="00E0649A" w:rsidP="00E0649A">
            <w:pPr>
              <w:ind w:firstLine="466"/>
              <w:jc w:val="both"/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:rsidR="00D10D41" w:rsidRPr="003B6FD7" w:rsidRDefault="00D10D41" w:rsidP="00D10D41">
      <w:pPr>
        <w:pStyle w:val="2"/>
        <w:ind w:firstLine="709"/>
        <w:rPr>
          <w:sz w:val="16"/>
          <w:szCs w:val="16"/>
        </w:rPr>
      </w:pPr>
      <w:r w:rsidRPr="003B6FD7">
        <w:rPr>
          <w:sz w:val="16"/>
          <w:szCs w:val="16"/>
        </w:rPr>
        <w:lastRenderedPageBreak/>
        <w:t>* – зміни виділені за принципом:</w:t>
      </w:r>
    </w:p>
    <w:p w:rsidR="00D10D41" w:rsidRPr="003B6FD7" w:rsidRDefault="00D10D41" w:rsidP="00D10D41">
      <w:pPr>
        <w:pStyle w:val="2"/>
        <w:ind w:firstLine="709"/>
        <w:rPr>
          <w:sz w:val="16"/>
          <w:szCs w:val="16"/>
        </w:rPr>
      </w:pPr>
      <w:r w:rsidRPr="003B6FD7">
        <w:rPr>
          <w:sz w:val="16"/>
          <w:szCs w:val="16"/>
        </w:rPr>
        <w:t xml:space="preserve">те, що підлягає включенню – </w:t>
      </w:r>
      <w:r w:rsidRPr="003B6FD7">
        <w:rPr>
          <w:b/>
          <w:i/>
          <w:color w:val="FF0000"/>
          <w:sz w:val="16"/>
          <w:szCs w:val="16"/>
        </w:rPr>
        <w:t>курсивом</w:t>
      </w:r>
      <w:r w:rsidRPr="003B6FD7">
        <w:rPr>
          <w:sz w:val="16"/>
          <w:szCs w:val="16"/>
        </w:rPr>
        <w:t>;</w:t>
      </w:r>
    </w:p>
    <w:p w:rsidR="00D10D41" w:rsidRPr="003B6FD7" w:rsidRDefault="00D10D41" w:rsidP="00D10D41">
      <w:pPr>
        <w:ind w:firstLine="709"/>
        <w:jc w:val="both"/>
        <w:rPr>
          <w:sz w:val="16"/>
          <w:szCs w:val="16"/>
        </w:rPr>
      </w:pPr>
      <w:r w:rsidRPr="003B6FD7">
        <w:rPr>
          <w:sz w:val="16"/>
          <w:szCs w:val="16"/>
        </w:rPr>
        <w:t xml:space="preserve">новий текст – </w:t>
      </w:r>
      <w:r w:rsidRPr="003B6FD7">
        <w:rPr>
          <w:b/>
          <w:color w:val="7030A0"/>
          <w:sz w:val="16"/>
          <w:szCs w:val="16"/>
        </w:rPr>
        <w:t>напівжирним шрифтом</w:t>
      </w:r>
      <w:r w:rsidRPr="003B6FD7">
        <w:rPr>
          <w:sz w:val="16"/>
          <w:szCs w:val="16"/>
        </w:rPr>
        <w:t>.</w:t>
      </w:r>
    </w:p>
    <w:p w:rsidR="00D10D41" w:rsidRPr="003B6FD7" w:rsidRDefault="00D10D41" w:rsidP="00D10D41">
      <w:pPr>
        <w:jc w:val="both"/>
        <w:rPr>
          <w:sz w:val="16"/>
          <w:szCs w:val="16"/>
        </w:rPr>
      </w:pPr>
    </w:p>
    <w:p w:rsidR="00CB1D00" w:rsidRPr="003B6FD7" w:rsidRDefault="003B6FD7"/>
    <w:sectPr w:rsidR="00CB1D00" w:rsidRPr="003B6FD7" w:rsidSect="00152EFB">
      <w:footerReference w:type="default" r:id="rId29"/>
      <w:pgSz w:w="16840" w:h="11907" w:orient="landscape" w:code="9"/>
      <w:pgMar w:top="426" w:right="851" w:bottom="709" w:left="851" w:header="720" w:footer="5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421" w:rsidRDefault="00143421">
      <w:r>
        <w:separator/>
      </w:r>
    </w:p>
  </w:endnote>
  <w:endnote w:type="continuationSeparator" w:id="0">
    <w:p w:rsidR="00143421" w:rsidRDefault="00143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559" w:type="dxa"/>
      <w:tblLayout w:type="fixed"/>
      <w:tblLook w:val="0000" w:firstRow="0" w:lastRow="0" w:firstColumn="0" w:lastColumn="0" w:noHBand="0" w:noVBand="0"/>
    </w:tblPr>
    <w:tblGrid>
      <w:gridCol w:w="6487"/>
      <w:gridCol w:w="3119"/>
      <w:gridCol w:w="5953"/>
    </w:tblGrid>
    <w:tr w:rsidR="006B213F">
      <w:tc>
        <w:tcPr>
          <w:tcW w:w="6487" w:type="dxa"/>
        </w:tcPr>
        <w:p w:rsidR="006B213F" w:rsidRPr="009150DF" w:rsidRDefault="003B6FD7">
          <w:pPr>
            <w:pStyle w:val="a3"/>
            <w:rPr>
              <w:sz w:val="14"/>
              <w:szCs w:val="14"/>
            </w:rPr>
          </w:pPr>
        </w:p>
      </w:tc>
      <w:tc>
        <w:tcPr>
          <w:tcW w:w="3119" w:type="dxa"/>
        </w:tcPr>
        <w:p w:rsidR="006B213F" w:rsidRPr="008C4BDD" w:rsidRDefault="003B6FD7" w:rsidP="008C4BDD">
          <w:pPr>
            <w:pStyle w:val="a3"/>
            <w:jc w:val="center"/>
            <w:rPr>
              <w:sz w:val="14"/>
              <w:szCs w:val="14"/>
              <w:lang w:val="en-US"/>
            </w:rPr>
          </w:pPr>
        </w:p>
      </w:tc>
      <w:tc>
        <w:tcPr>
          <w:tcW w:w="5953" w:type="dxa"/>
        </w:tcPr>
        <w:p w:rsidR="006B213F" w:rsidRPr="009150DF" w:rsidRDefault="003B6FD7" w:rsidP="009150DF">
          <w:pPr>
            <w:pStyle w:val="a3"/>
            <w:jc w:val="right"/>
            <w:rPr>
              <w:sz w:val="14"/>
              <w:szCs w:val="14"/>
            </w:rPr>
          </w:pPr>
        </w:p>
      </w:tc>
    </w:tr>
  </w:tbl>
  <w:p w:rsidR="006B213F" w:rsidRPr="009150DF" w:rsidRDefault="003B6FD7" w:rsidP="009150DF">
    <w:pPr>
      <w:pStyle w:val="a5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421" w:rsidRDefault="00143421">
      <w:r>
        <w:separator/>
      </w:r>
    </w:p>
  </w:footnote>
  <w:footnote w:type="continuationSeparator" w:id="0">
    <w:p w:rsidR="00143421" w:rsidRDefault="00143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D41"/>
    <w:rsid w:val="0008692F"/>
    <w:rsid w:val="000A3573"/>
    <w:rsid w:val="000A5CF4"/>
    <w:rsid w:val="000B7D74"/>
    <w:rsid w:val="00134951"/>
    <w:rsid w:val="00143421"/>
    <w:rsid w:val="00152EFB"/>
    <w:rsid w:val="00160107"/>
    <w:rsid w:val="00170822"/>
    <w:rsid w:val="001D6694"/>
    <w:rsid w:val="002A79D2"/>
    <w:rsid w:val="002B5B4E"/>
    <w:rsid w:val="002D2D5F"/>
    <w:rsid w:val="002E01A4"/>
    <w:rsid w:val="003200C5"/>
    <w:rsid w:val="00332EDE"/>
    <w:rsid w:val="003429AC"/>
    <w:rsid w:val="00344F80"/>
    <w:rsid w:val="00355AB5"/>
    <w:rsid w:val="00386C8F"/>
    <w:rsid w:val="003A04D5"/>
    <w:rsid w:val="003B1798"/>
    <w:rsid w:val="003B6FD7"/>
    <w:rsid w:val="004D2A50"/>
    <w:rsid w:val="005256C5"/>
    <w:rsid w:val="005A7EC0"/>
    <w:rsid w:val="005C55B5"/>
    <w:rsid w:val="005C5A15"/>
    <w:rsid w:val="00614C20"/>
    <w:rsid w:val="006164A5"/>
    <w:rsid w:val="006173C5"/>
    <w:rsid w:val="00623B3F"/>
    <w:rsid w:val="00635214"/>
    <w:rsid w:val="00641900"/>
    <w:rsid w:val="00664160"/>
    <w:rsid w:val="006756C6"/>
    <w:rsid w:val="006E23B2"/>
    <w:rsid w:val="007025D3"/>
    <w:rsid w:val="007766AC"/>
    <w:rsid w:val="007925DD"/>
    <w:rsid w:val="00827416"/>
    <w:rsid w:val="0083297A"/>
    <w:rsid w:val="00862042"/>
    <w:rsid w:val="00877C16"/>
    <w:rsid w:val="008E5EB3"/>
    <w:rsid w:val="009111AF"/>
    <w:rsid w:val="00970D4D"/>
    <w:rsid w:val="009727B8"/>
    <w:rsid w:val="009C12E6"/>
    <w:rsid w:val="009D6E51"/>
    <w:rsid w:val="009F0CDD"/>
    <w:rsid w:val="00A54CCC"/>
    <w:rsid w:val="00A55A67"/>
    <w:rsid w:val="00AB27A8"/>
    <w:rsid w:val="00AC12AF"/>
    <w:rsid w:val="00AC3463"/>
    <w:rsid w:val="00B04AFA"/>
    <w:rsid w:val="00B500C5"/>
    <w:rsid w:val="00B57C4C"/>
    <w:rsid w:val="00BD00DB"/>
    <w:rsid w:val="00C13BE8"/>
    <w:rsid w:val="00C718CF"/>
    <w:rsid w:val="00CB2EF6"/>
    <w:rsid w:val="00CC5021"/>
    <w:rsid w:val="00D10D41"/>
    <w:rsid w:val="00D33063"/>
    <w:rsid w:val="00D3463F"/>
    <w:rsid w:val="00D71136"/>
    <w:rsid w:val="00D82BE6"/>
    <w:rsid w:val="00E0649A"/>
    <w:rsid w:val="00E20407"/>
    <w:rsid w:val="00E24F7A"/>
    <w:rsid w:val="00E27A64"/>
    <w:rsid w:val="00E367E4"/>
    <w:rsid w:val="00E524A3"/>
    <w:rsid w:val="00E531A0"/>
    <w:rsid w:val="00E556A8"/>
    <w:rsid w:val="00E75DB2"/>
    <w:rsid w:val="00EF04D0"/>
    <w:rsid w:val="00F922CB"/>
    <w:rsid w:val="00F92896"/>
    <w:rsid w:val="00FA5D6B"/>
    <w:rsid w:val="00FA5D77"/>
    <w:rsid w:val="00FB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6668D534"/>
  <w15:chartTrackingRefBased/>
  <w15:docId w15:val="{F8CB8FE0-33BE-40BF-998B-E3202E814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0D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10D41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rsid w:val="00D10D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D10D41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basedOn w:val="a0"/>
    <w:link w:val="a5"/>
    <w:rsid w:val="00D10D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D10D41"/>
    <w:pPr>
      <w:jc w:val="both"/>
    </w:pPr>
    <w:rPr>
      <w:sz w:val="28"/>
    </w:rPr>
  </w:style>
  <w:style w:type="character" w:customStyle="1" w:styleId="20">
    <w:name w:val="Основний текст 2 Знак"/>
    <w:basedOn w:val="a0"/>
    <w:link w:val="2"/>
    <w:rsid w:val="00D10D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unhideWhenUsed/>
    <w:rsid w:val="00D10D41"/>
    <w:pPr>
      <w:spacing w:before="100" w:beforeAutospacing="1" w:after="100" w:afterAutospacing="1"/>
    </w:pPr>
    <w:rPr>
      <w:rFonts w:eastAsiaTheme="minorEastAsia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E0649A"/>
    <w:rPr>
      <w:color w:val="0000FF"/>
      <w:u w:val="single"/>
    </w:rPr>
  </w:style>
  <w:style w:type="paragraph" w:customStyle="1" w:styleId="rvps2">
    <w:name w:val="rvps2"/>
    <w:basedOn w:val="a"/>
    <w:rsid w:val="003B6FD7"/>
    <w:pPr>
      <w:spacing w:before="100" w:beforeAutospacing="1" w:after="100" w:afterAutospacing="1"/>
    </w:pPr>
    <w:rPr>
      <w:sz w:val="24"/>
      <w:szCs w:val="24"/>
      <w:lang w:val="ru-UA" w:eastAsia="ru-UA"/>
    </w:rPr>
  </w:style>
  <w:style w:type="character" w:customStyle="1" w:styleId="rvts9">
    <w:name w:val="rvts9"/>
    <w:basedOn w:val="a0"/>
    <w:rsid w:val="003B6FD7"/>
  </w:style>
  <w:style w:type="character" w:customStyle="1" w:styleId="rvts37">
    <w:name w:val="rvts37"/>
    <w:basedOn w:val="a0"/>
    <w:rsid w:val="003B6FD7"/>
  </w:style>
  <w:style w:type="character" w:customStyle="1" w:styleId="rvts40">
    <w:name w:val="rvts40"/>
    <w:basedOn w:val="a0"/>
    <w:rsid w:val="003B6FD7"/>
  </w:style>
  <w:style w:type="paragraph" w:customStyle="1" w:styleId="rvps12">
    <w:name w:val="rvps12"/>
    <w:basedOn w:val="a"/>
    <w:rsid w:val="003B6FD7"/>
    <w:pPr>
      <w:spacing w:before="100" w:beforeAutospacing="1" w:after="100" w:afterAutospacing="1"/>
    </w:pPr>
    <w:rPr>
      <w:sz w:val="24"/>
      <w:szCs w:val="24"/>
      <w:lang w:val="ru-UA" w:eastAsia="ru-UA"/>
    </w:rPr>
  </w:style>
  <w:style w:type="paragraph" w:customStyle="1" w:styleId="rvps11">
    <w:name w:val="rvps11"/>
    <w:basedOn w:val="a"/>
    <w:rsid w:val="003B6FD7"/>
    <w:pPr>
      <w:spacing w:before="100" w:beforeAutospacing="1" w:after="100" w:afterAutospacing="1"/>
    </w:pPr>
    <w:rPr>
      <w:sz w:val="24"/>
      <w:szCs w:val="24"/>
      <w:lang w:val="ru-UA" w:eastAsia="ru-UA"/>
    </w:rPr>
  </w:style>
  <w:style w:type="paragraph" w:customStyle="1" w:styleId="rvps14">
    <w:name w:val="rvps14"/>
    <w:basedOn w:val="a"/>
    <w:rsid w:val="003B6FD7"/>
    <w:pPr>
      <w:spacing w:before="100" w:beforeAutospacing="1" w:after="100" w:afterAutospacing="1"/>
    </w:pPr>
    <w:rPr>
      <w:sz w:val="24"/>
      <w:szCs w:val="24"/>
      <w:lang w:val="ru-UA" w:eastAsia="ru-UA"/>
    </w:rPr>
  </w:style>
  <w:style w:type="character" w:customStyle="1" w:styleId="rvts80">
    <w:name w:val="rvts80"/>
    <w:basedOn w:val="a0"/>
    <w:rsid w:val="003B6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1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81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8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34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144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8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40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1532-13" TargetMode="External"/><Relationship Id="rId13" Type="http://schemas.openxmlformats.org/officeDocument/2006/relationships/hyperlink" Target="https://zakon.rada.gov.ua/laws/show/v2897874-19" TargetMode="External"/><Relationship Id="rId18" Type="http://schemas.openxmlformats.org/officeDocument/2006/relationships/hyperlink" Target="https://zakon.rada.gov.ua/laws/show/z1792-12" TargetMode="External"/><Relationship Id="rId26" Type="http://schemas.openxmlformats.org/officeDocument/2006/relationships/hyperlink" Target="https://zakon.rada.gov.ua/laws/show/z1792-1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zakon.rada.gov.ua/laws/show/v2897874-19" TargetMode="External"/><Relationship Id="rId7" Type="http://schemas.openxmlformats.org/officeDocument/2006/relationships/hyperlink" Target="https://zakon.rada.gov.ua/laws/show/v0981874-17" TargetMode="External"/><Relationship Id="rId12" Type="http://schemas.openxmlformats.org/officeDocument/2006/relationships/hyperlink" Target="https://zakon.rada.gov.ua/laws/show/z1792-12" TargetMode="External"/><Relationship Id="rId17" Type="http://schemas.openxmlformats.org/officeDocument/2006/relationships/hyperlink" Target="https://zakon.rada.gov.ua/laws/show/v2897874-19" TargetMode="External"/><Relationship Id="rId25" Type="http://schemas.openxmlformats.org/officeDocument/2006/relationships/hyperlink" Target="https://zakon.rada.gov.ua/laws/show/v2897874-1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z1792-12" TargetMode="External"/><Relationship Id="rId20" Type="http://schemas.openxmlformats.org/officeDocument/2006/relationships/image" Target="media/image2.gif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v0981874-17" TargetMode="External"/><Relationship Id="rId11" Type="http://schemas.openxmlformats.org/officeDocument/2006/relationships/hyperlink" Target="https://zakon.rada.gov.ua/laws/show/v2897874-19" TargetMode="External"/><Relationship Id="rId24" Type="http://schemas.openxmlformats.org/officeDocument/2006/relationships/hyperlink" Target="https://zakon.rada.gov.ua/laws/show/z1792-12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v2897874-19" TargetMode="External"/><Relationship Id="rId23" Type="http://schemas.openxmlformats.org/officeDocument/2006/relationships/hyperlink" Target="https://zakon.rada.gov.ua/laws/show/v2897874-19" TargetMode="External"/><Relationship Id="rId28" Type="http://schemas.openxmlformats.org/officeDocument/2006/relationships/hyperlink" Target="https://zakon.rada.gov.ua/laws/show/z1792-12" TargetMode="External"/><Relationship Id="rId10" Type="http://schemas.openxmlformats.org/officeDocument/2006/relationships/image" Target="media/image1.gif"/><Relationship Id="rId19" Type="http://schemas.openxmlformats.org/officeDocument/2006/relationships/hyperlink" Target="https://zakon.rada.gov.ua/laws/file/imgs/84/p468741n327-1.emf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file/imgs/84/p468741n324.emf" TargetMode="External"/><Relationship Id="rId14" Type="http://schemas.openxmlformats.org/officeDocument/2006/relationships/hyperlink" Target="https://zakon.rada.gov.ua/laws/show/z1792-12" TargetMode="External"/><Relationship Id="rId22" Type="http://schemas.openxmlformats.org/officeDocument/2006/relationships/hyperlink" Target="https://zakon.rada.gov.ua/laws/show/z1792-12" TargetMode="External"/><Relationship Id="rId27" Type="http://schemas.openxmlformats.org/officeDocument/2006/relationships/hyperlink" Target="https://zakon.rada.gov.ua/laws/show/v2897874-19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Глущенко</dc:creator>
  <cp:keywords/>
  <dc:description/>
  <cp:lastModifiedBy>Владислав Харченко</cp:lastModifiedBy>
  <cp:revision>10</cp:revision>
  <cp:lastPrinted>2020-09-09T05:42:00Z</cp:lastPrinted>
  <dcterms:created xsi:type="dcterms:W3CDTF">2020-09-01T09:47:00Z</dcterms:created>
  <dcterms:modified xsi:type="dcterms:W3CDTF">2022-11-07T08:50:00Z</dcterms:modified>
</cp:coreProperties>
</file>