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43" w:rsidRPr="009F102D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102D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9F102D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9F102D">
        <w:rPr>
          <w:rFonts w:ascii="Times New Roman" w:hAnsi="Times New Roman" w:cs="Times New Roman"/>
          <w:b/>
          <w:sz w:val="27"/>
          <w:szCs w:val="27"/>
        </w:rPr>
        <w:t xml:space="preserve">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:rsidR="008A543E" w:rsidRPr="009F102D" w:rsidRDefault="008A543E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308" w:type="dxa"/>
        <w:tblLayout w:type="fixed"/>
        <w:tblLook w:val="04A0" w:firstRow="1" w:lastRow="0" w:firstColumn="1" w:lastColumn="0" w:noHBand="0" w:noVBand="1"/>
      </w:tblPr>
      <w:tblGrid>
        <w:gridCol w:w="7654"/>
        <w:gridCol w:w="7654"/>
      </w:tblGrid>
      <w:tr w:rsidR="00DF31AD" w:rsidRPr="009F102D" w:rsidTr="003D5AAE">
        <w:trPr>
          <w:trHeight w:val="610"/>
        </w:trPr>
        <w:tc>
          <w:tcPr>
            <w:tcW w:w="7654" w:type="dxa"/>
            <w:vAlign w:val="center"/>
          </w:tcPr>
          <w:p w:rsidR="003D5AAE" w:rsidRPr="009F102D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ПОЛОЖЕННЯ ДІЮЧОЇ РЕДАКЦІЇ</w:t>
            </w:r>
          </w:p>
        </w:tc>
        <w:tc>
          <w:tcPr>
            <w:tcW w:w="7654" w:type="dxa"/>
            <w:vAlign w:val="center"/>
          </w:tcPr>
          <w:p w:rsidR="00DF31AD" w:rsidRPr="009F102D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ЗМІСТ ПОЛОЖЕННЬ ПРОЄКТУ ПОСТАНОВИ</w:t>
            </w:r>
          </w:p>
        </w:tc>
      </w:tr>
      <w:tr w:rsidR="0040578D" w:rsidRPr="009F102D" w:rsidTr="00D02755">
        <w:trPr>
          <w:trHeight w:val="567"/>
        </w:trPr>
        <w:tc>
          <w:tcPr>
            <w:tcW w:w="15308" w:type="dxa"/>
            <w:gridSpan w:val="2"/>
            <w:vAlign w:val="center"/>
          </w:tcPr>
          <w:p w:rsidR="0040578D" w:rsidRPr="009F102D" w:rsidRDefault="00BE7F19" w:rsidP="009F102D">
            <w:pPr>
              <w:pStyle w:val="3"/>
              <w:spacing w:before="0" w:beforeAutospacing="0" w:after="160" w:afterAutospacing="0"/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9F102D">
              <w:rPr>
                <w:rFonts w:eastAsia="Times New Roman"/>
                <w:sz w:val="24"/>
                <w:szCs w:val="24"/>
              </w:rPr>
              <w:t xml:space="preserve">Додаток 22 до </w:t>
            </w:r>
            <w:r w:rsidR="0040578D" w:rsidRPr="009F102D">
              <w:rPr>
                <w:rFonts w:eastAsia="Times New Roman"/>
                <w:sz w:val="24"/>
                <w:szCs w:val="24"/>
              </w:rPr>
              <w:t>Порядк</w:t>
            </w:r>
            <w:r w:rsidRPr="009F102D">
              <w:rPr>
                <w:rFonts w:eastAsia="Times New Roman"/>
                <w:sz w:val="24"/>
                <w:szCs w:val="24"/>
              </w:rPr>
              <w:t>у</w:t>
            </w:r>
            <w:r w:rsidR="0040578D" w:rsidRPr="009F102D">
              <w:rPr>
                <w:rFonts w:eastAsia="Times New Roman"/>
                <w:sz w:val="24"/>
                <w:szCs w:val="24"/>
              </w:rPr>
              <w:t xml:space="preserve">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DF31AD" w:rsidRPr="009F102D" w:rsidTr="007E7097">
        <w:tc>
          <w:tcPr>
            <w:tcW w:w="7654" w:type="dxa"/>
          </w:tcPr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1) сума сплаченого податку на прибуток у звітному році в частині здійснення ліцензованої діяльності з розподілу електричної енергії;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2) сплачена у звітному році сума частини чистого прибутку (дивідендів) на державну частку акцій за підсумками попереднього року, що передує звітному року;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3) сума обґрунтованих перевитрат статей витрат (крім статті "витрати, пов'язані з купівлею електричної енергії з метою компенсації технологічних витрат електричної енергії на її розподіл") структури тарифів у звітному році з урахуванням витрат, які були капіталізовані за бухгалтерським обліком;</w:t>
            </w:r>
          </w:p>
          <w:p w:rsidR="00BE7F19" w:rsidRPr="009F102D" w:rsidRDefault="00BE7F19" w:rsidP="009F102D">
            <w:pPr>
              <w:pStyle w:val="a4"/>
              <w:spacing w:before="0" w:beforeAutospacing="0" w:after="0" w:afterAutospacing="0"/>
              <w:jc w:val="both"/>
            </w:pPr>
            <w:r w:rsidRPr="009F102D">
              <w:t xml:space="preserve">4) фактичні витрати, понесені у звітному році, на сплату банківських відсотків (але не вище облікової ставки НБУ) по кредитних коштах, залучених у банківських установах, для покриття різниці між вартістю заходів з приєднань, виконаних у звітному році, та сумою, отриманою від замовників послуги з приєднання. При цьому заходи по таких </w:t>
            </w:r>
            <w:r w:rsidRPr="009F102D">
              <w:lastRenderedPageBreak/>
              <w:t>приєднаннях мають бути включені до інвестиційної програми ліцензіата та виконані в повному обсязі;</w:t>
            </w:r>
          </w:p>
          <w:p w:rsidR="00BE7F19" w:rsidRPr="009F102D" w:rsidRDefault="00BE7F19" w:rsidP="009F102D">
            <w:pPr>
              <w:pStyle w:val="a4"/>
              <w:spacing w:before="0" w:beforeAutospacing="0" w:after="0" w:afterAutospacing="0"/>
              <w:jc w:val="both"/>
            </w:pPr>
          </w:p>
          <w:p w:rsidR="00BE7F19" w:rsidRPr="009F102D" w:rsidRDefault="00BE7F19" w:rsidP="009F102D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Відсутній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3D5AAE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5) сума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BE7F19" w:rsidRPr="009F102D" w:rsidRDefault="00BE7F19" w:rsidP="009F102D">
            <w:pPr>
              <w:pStyle w:val="a4"/>
              <w:spacing w:before="0" w:beforeAutospacing="0" w:after="0" w:afterAutospacing="0"/>
              <w:jc w:val="both"/>
            </w:pPr>
          </w:p>
          <w:p w:rsidR="00BE7F1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085CF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085CF9" w:rsidRPr="009F102D" w:rsidRDefault="000B5AB0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Відсутній</w:t>
            </w:r>
          </w:p>
          <w:p w:rsidR="000B5AB0" w:rsidRPr="009F102D" w:rsidRDefault="000B5AB0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0B5AB0" w:rsidRPr="009F102D" w:rsidRDefault="000B5AB0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0B5AB0" w:rsidRPr="009F102D" w:rsidRDefault="000B5AB0" w:rsidP="009F102D">
            <w:pPr>
              <w:pStyle w:val="a4"/>
              <w:spacing w:before="0" w:beforeAutospacing="0" w:after="160" w:afterAutospacing="0"/>
              <w:jc w:val="both"/>
              <w:rPr>
                <w:b/>
                <w:sz w:val="28"/>
              </w:rPr>
            </w:pPr>
          </w:p>
          <w:p w:rsidR="00085CF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10.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</w:t>
            </w:r>
            <w:r w:rsidRPr="009F102D">
              <w:lastRenderedPageBreak/>
              <w:t>вартість визначається як добуток вартості заходу, передбаченої в інвестиційній програмі, та коефіцієнта 1,10 (10 %).</w:t>
            </w:r>
          </w:p>
          <w:p w:rsidR="007E4CC2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Визначена сума необ'єктивного перевищення вартості заходів інвестиційної програми підлягає вилученню зі структури тарифів ліцензіата.</w:t>
            </w:r>
          </w:p>
          <w:p w:rsidR="00CA5E31" w:rsidRPr="009F102D" w:rsidRDefault="00CA5E31" w:rsidP="009F10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</w:tcPr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>…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1) сума сплаченого податку на прибуток у звітному році в частині здійснення ліцензованої діяльності з розподілу електричної енергії;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2) сплачена у звітному році сума частини чистого прибутку (дивідендів) на державну частку акцій за підсумками попереднього року, що передує звітному року;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3) сума обґрунтованих перевитрат статей витрат (крім статті "витрати, пов'язані з купівлею електричної енергії з метою компенсації технологічних витрат електричної енергії на її розподіл") структури тарифів у звітному році з урахуванням витрат, які були капіталізовані за бухгалтерським обліком;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4) фактичні витрати, понесені у звітному році, на сплату банківських відсотків (але не вище облікової ставки НБУ) по кредитних коштах, залучених у банківських установах, для покриття різниці між вартістю заходів з приєднань, виконаних у звітному році, та сумою, отриманою від замовників послуги з приєднання. При цьому заходи по таких </w:t>
            </w:r>
            <w:r w:rsidRPr="009F102D">
              <w:lastRenderedPageBreak/>
              <w:t>приєднаннях мають бути включені до інвестиційної програми ліцензіата та виконані в повному обсязі;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5) вартість понаднормативних витрат електричної енергії за 2022 рік, у разі зміни структури споживання за 2022 рік, що призвела до збільшення економічного коефіцієнта прогнозованих технологічних витрат електричної енергії більше ніж на 10 %;</w:t>
            </w:r>
          </w:p>
          <w:p w:rsidR="003D5AAE" w:rsidRPr="009F102D" w:rsidRDefault="00BE7F19" w:rsidP="009F102D">
            <w:pPr>
              <w:pStyle w:val="a4"/>
              <w:spacing w:before="0" w:beforeAutospacing="0" w:after="0" w:afterAutospacing="0"/>
              <w:jc w:val="both"/>
            </w:pPr>
            <w:r w:rsidRPr="009F102D">
              <w:rPr>
                <w:b/>
              </w:rPr>
              <w:t>6</w:t>
            </w:r>
            <w:r w:rsidRPr="009F102D">
              <w:t>) сума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BE7F19" w:rsidRPr="009F102D" w:rsidRDefault="00BE7F19" w:rsidP="009F102D">
            <w:pPr>
              <w:pStyle w:val="a4"/>
              <w:spacing w:before="0" w:beforeAutospacing="0" w:after="160" w:afterAutospacing="0"/>
              <w:jc w:val="both"/>
            </w:pPr>
          </w:p>
          <w:p w:rsidR="00BE7F1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085CF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085CF9" w:rsidRPr="009F102D" w:rsidRDefault="00085CF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10. 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році, визначена згідно з пунктом 7 цього додатка, не коригується на індекс споживчих цін на товари та послуги.</w:t>
            </w:r>
          </w:p>
          <w:p w:rsidR="00085CF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rPr>
                <w:b/>
              </w:rPr>
              <w:t>1</w:t>
            </w:r>
            <w:r w:rsidR="000B5AB0" w:rsidRPr="009F102D">
              <w:rPr>
                <w:b/>
              </w:rPr>
              <w:t>1</w:t>
            </w:r>
            <w:r w:rsidRPr="009F102D">
              <w:t xml:space="preserve">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</w:t>
            </w:r>
            <w:r w:rsidRPr="009F102D">
              <w:lastRenderedPageBreak/>
              <w:t>вартість визначається як добуток вартості заходу, передбаченої в інвестиційній програмі, та коефіцієнта 1,10 (10 %).</w:t>
            </w:r>
          </w:p>
          <w:p w:rsidR="00BE7F19" w:rsidRPr="009F102D" w:rsidRDefault="00085CF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Визначена сума необ'єктивного перевищення вартості заходів інвестиційної програми підлягає вилученню зі структури тарифів ліцензіата.</w:t>
            </w:r>
          </w:p>
          <w:p w:rsidR="00CA5E31" w:rsidRPr="009F102D" w:rsidRDefault="00CA5E31" w:rsidP="009F10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2755" w:rsidRPr="009F102D" w:rsidTr="00D02755">
        <w:tc>
          <w:tcPr>
            <w:tcW w:w="15308" w:type="dxa"/>
            <w:gridSpan w:val="2"/>
            <w:vAlign w:val="center"/>
          </w:tcPr>
          <w:p w:rsidR="00D02755" w:rsidRPr="009F102D" w:rsidRDefault="00D02755" w:rsidP="009F102D">
            <w:pPr>
              <w:pStyle w:val="a4"/>
              <w:spacing w:before="0" w:beforeAutospacing="0" w:after="160" w:afterAutospacing="0"/>
              <w:jc w:val="center"/>
              <w:rPr>
                <w:b/>
              </w:rPr>
            </w:pPr>
            <w:r w:rsidRPr="009F102D">
              <w:rPr>
                <w:rFonts w:eastAsia="Times New Roman"/>
                <w:b/>
              </w:rPr>
              <w:lastRenderedPageBreak/>
              <w:t>Додаток 2</w:t>
            </w:r>
            <w:r w:rsidR="002E4DBB" w:rsidRPr="009F102D">
              <w:rPr>
                <w:rFonts w:eastAsia="Times New Roman"/>
                <w:b/>
              </w:rPr>
              <w:t>3</w:t>
            </w:r>
            <w:r w:rsidRPr="009F102D">
              <w:rPr>
                <w:rFonts w:eastAsia="Times New Roman"/>
                <w:b/>
              </w:rPr>
      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D02755" w:rsidRPr="009F102D" w:rsidTr="007E7097">
        <w:tc>
          <w:tcPr>
            <w:tcW w:w="7654" w:type="dxa"/>
          </w:tcPr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</w:p>
          <w:p w:rsidR="00D02755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Відсутній</w:t>
            </w:r>
          </w:p>
        </w:tc>
        <w:tc>
          <w:tcPr>
            <w:tcW w:w="7654" w:type="dxa"/>
          </w:tcPr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</w:p>
          <w:p w:rsidR="00D02755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</w:pPr>
          </w:p>
          <w:p w:rsidR="00B1693B" w:rsidRPr="009F102D" w:rsidRDefault="00B1693B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10. При здійсненні заходів контролю за результатами діяльності з постачання електричної енергії у 2022 році підсумкова сума надлишково отриманого або недоотриманого доходу від здійснення ліцензованої діяльності у звітному році, визначена згідно з пунктом 7 цього додатка, не коригується на індекс споживчих цін на товари та послуги.</w:t>
            </w:r>
          </w:p>
        </w:tc>
      </w:tr>
      <w:tr w:rsidR="00D514C2" w:rsidRPr="009F102D" w:rsidTr="006A338A">
        <w:tc>
          <w:tcPr>
            <w:tcW w:w="15308" w:type="dxa"/>
            <w:gridSpan w:val="2"/>
            <w:vAlign w:val="center"/>
          </w:tcPr>
          <w:p w:rsidR="00D514C2" w:rsidRPr="009F102D" w:rsidRDefault="006A338A" w:rsidP="009F102D">
            <w:pPr>
              <w:pStyle w:val="a4"/>
              <w:spacing w:before="0" w:beforeAutospacing="0" w:after="160" w:afterAutospacing="0"/>
              <w:jc w:val="center"/>
            </w:pPr>
            <w:r w:rsidRPr="009F102D">
              <w:rPr>
                <w:rFonts w:eastAsia="Times New Roman"/>
                <w:b/>
              </w:rPr>
              <w:t>Додаток 2</w:t>
            </w:r>
            <w:r w:rsidRPr="009F102D">
              <w:rPr>
                <w:rFonts w:eastAsia="Times New Roman"/>
                <w:b/>
              </w:rPr>
              <w:t>5</w:t>
            </w:r>
            <w:r w:rsidRPr="009F102D">
              <w:rPr>
                <w:rFonts w:eastAsia="Times New Roman"/>
                <w:b/>
              </w:rPr>
      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D514C2" w:rsidRPr="009F102D" w:rsidTr="007E7097">
        <w:tc>
          <w:tcPr>
            <w:tcW w:w="7654" w:type="dxa"/>
          </w:tcPr>
          <w:p w:rsidR="00A10F03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A10F03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тарифу на послуги з передачі електричної енергії.</w:t>
            </w:r>
          </w:p>
          <w:p w:rsidR="00A10F03" w:rsidRDefault="00A10F03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Відсутній</w:t>
            </w:r>
          </w:p>
          <w:p w:rsidR="00576E99" w:rsidRDefault="00576E9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576E99" w:rsidRDefault="00576E99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576E99" w:rsidRPr="00576E99" w:rsidRDefault="00576E99" w:rsidP="009F102D">
            <w:pPr>
              <w:pStyle w:val="a4"/>
              <w:spacing w:before="0" w:beforeAutospacing="0" w:after="160" w:afterAutospacing="0"/>
              <w:jc w:val="both"/>
              <w:rPr>
                <w:b/>
                <w:sz w:val="32"/>
              </w:rPr>
            </w:pPr>
          </w:p>
          <w:p w:rsidR="00D514C2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10.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</w:tc>
        <w:tc>
          <w:tcPr>
            <w:tcW w:w="7654" w:type="dxa"/>
          </w:tcPr>
          <w:p w:rsidR="00D514C2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>…</w:t>
            </w:r>
          </w:p>
          <w:p w:rsidR="00A10F03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тарифу на послуги з передачі електричної енергії.</w:t>
            </w:r>
          </w:p>
          <w:p w:rsidR="00A10F03" w:rsidRPr="009F102D" w:rsidRDefault="00A10F03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10. При здійсненні заходів контролю за результатами діяльності з передачі електричної енергії у 2022 році підсумкова сума надлишково отриманого або недоотриманого доходу від здійснення ліцензованої діяльності у звітному році, визначена згідно з пунктом 7 цього додатка, не коригується на індекс споживчих цін на товари та послуги.</w:t>
            </w:r>
          </w:p>
          <w:p w:rsidR="00A10F03" w:rsidRPr="009F102D" w:rsidRDefault="00A10F03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rPr>
                <w:b/>
              </w:rPr>
              <w:t>1</w:t>
            </w:r>
            <w:r w:rsidRPr="009F102D">
              <w:rPr>
                <w:b/>
              </w:rPr>
              <w:t>1</w:t>
            </w:r>
            <w:r w:rsidRPr="009F102D">
              <w:t>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</w:tc>
      </w:tr>
      <w:tr w:rsidR="005E15FF" w:rsidRPr="009F102D" w:rsidTr="005E15FF">
        <w:tc>
          <w:tcPr>
            <w:tcW w:w="15308" w:type="dxa"/>
            <w:gridSpan w:val="2"/>
            <w:vAlign w:val="center"/>
          </w:tcPr>
          <w:p w:rsidR="005E15FF" w:rsidRPr="009F102D" w:rsidRDefault="005E15FF" w:rsidP="009F102D">
            <w:pPr>
              <w:pStyle w:val="a4"/>
              <w:spacing w:before="0" w:beforeAutospacing="0" w:after="160" w:afterAutospacing="0"/>
              <w:jc w:val="center"/>
            </w:pPr>
            <w:r w:rsidRPr="009F102D">
              <w:rPr>
                <w:rFonts w:eastAsia="Times New Roman"/>
                <w:b/>
              </w:rPr>
              <w:lastRenderedPageBreak/>
              <w:t>Додаток 2</w:t>
            </w:r>
            <w:r w:rsidRPr="009F102D">
              <w:rPr>
                <w:rFonts w:eastAsia="Times New Roman"/>
                <w:b/>
              </w:rPr>
              <w:t>6</w:t>
            </w:r>
            <w:r w:rsidRPr="009F102D">
              <w:rPr>
                <w:rFonts w:eastAsia="Times New Roman"/>
                <w:b/>
              </w:rPr>
      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5E15FF" w:rsidRPr="009F102D" w:rsidTr="007E7097">
        <w:tc>
          <w:tcPr>
            <w:tcW w:w="7654" w:type="dxa"/>
          </w:tcPr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тарифу на послуги з диспетчерського (</w:t>
            </w:r>
            <w:proofErr w:type="spellStart"/>
            <w:r w:rsidRPr="009F102D">
              <w:t>оперативно</w:t>
            </w:r>
            <w:proofErr w:type="spellEnd"/>
            <w:r w:rsidRPr="009F102D">
              <w:t>-технологічного) управління.</w:t>
            </w: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Відсутній</w:t>
            </w: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</w:p>
          <w:p w:rsidR="00D72D1A" w:rsidRPr="004B7B15" w:rsidRDefault="00D72D1A" w:rsidP="009F102D">
            <w:pPr>
              <w:pStyle w:val="a4"/>
              <w:spacing w:before="0" w:beforeAutospacing="0" w:after="160" w:afterAutospacing="0"/>
              <w:jc w:val="both"/>
              <w:rPr>
                <w:b/>
                <w:sz w:val="10"/>
              </w:rPr>
            </w:pPr>
          </w:p>
          <w:p w:rsidR="005E15FF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10.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</w:tc>
        <w:tc>
          <w:tcPr>
            <w:tcW w:w="7654" w:type="dxa"/>
          </w:tcPr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>…</w:t>
            </w: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цього додатка, коригується на індекс споживчих цін на товари та послуги з грудня звітного року до грудня попереднього року (використовується 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тарифу на послуги з диспетчерського (</w:t>
            </w:r>
            <w:proofErr w:type="spellStart"/>
            <w:r w:rsidRPr="009F102D">
              <w:t>оперативно</w:t>
            </w:r>
            <w:proofErr w:type="spellEnd"/>
            <w:r w:rsidRPr="009F102D">
              <w:t>-технологічного) управління.</w:t>
            </w:r>
          </w:p>
          <w:p w:rsidR="00D72D1A" w:rsidRPr="009F102D" w:rsidRDefault="00D72D1A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10. При здійсненні заходів контролю за результатами діяльності з диспетчерського (</w:t>
            </w:r>
            <w:proofErr w:type="spellStart"/>
            <w:r w:rsidRPr="009F102D">
              <w:rPr>
                <w:b/>
              </w:rPr>
              <w:t>оперативно</w:t>
            </w:r>
            <w:proofErr w:type="spellEnd"/>
            <w:r w:rsidRPr="009F102D">
              <w:rPr>
                <w:b/>
              </w:rPr>
              <w:t xml:space="preserve">-технологічного) управління у 2022 році підсумкова сума надлишково отриманого або недоотриманого доходу від здійснення ліцензованої діяльності у звітному році, </w:t>
            </w:r>
            <w:r w:rsidRPr="009F102D">
              <w:rPr>
                <w:b/>
              </w:rPr>
              <w:lastRenderedPageBreak/>
              <w:t>визначена згідно з пунктом 7 цього додатка, не коригується на індекс споживчих цін на товари та послуги.</w:t>
            </w:r>
          </w:p>
          <w:p w:rsidR="005E15FF" w:rsidRPr="009F102D" w:rsidRDefault="00D72D1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rPr>
                <w:b/>
              </w:rPr>
              <w:t>1</w:t>
            </w:r>
            <w:r w:rsidR="003F40C1" w:rsidRPr="009F102D">
              <w:rPr>
                <w:b/>
              </w:rPr>
              <w:t>1</w:t>
            </w:r>
            <w:r w:rsidRPr="009F102D">
              <w:t>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</w:tc>
      </w:tr>
      <w:tr w:rsidR="003F40C1" w:rsidRPr="009F102D" w:rsidTr="003F40C1">
        <w:tc>
          <w:tcPr>
            <w:tcW w:w="15308" w:type="dxa"/>
            <w:gridSpan w:val="2"/>
            <w:vAlign w:val="center"/>
          </w:tcPr>
          <w:p w:rsidR="003F40C1" w:rsidRPr="009F102D" w:rsidRDefault="003F40C1" w:rsidP="009F102D">
            <w:pPr>
              <w:pStyle w:val="a4"/>
              <w:spacing w:before="0" w:beforeAutospacing="0" w:after="160" w:afterAutospacing="0"/>
              <w:jc w:val="center"/>
            </w:pPr>
            <w:r w:rsidRPr="009F102D">
              <w:rPr>
                <w:rFonts w:eastAsia="Times New Roman"/>
                <w:b/>
              </w:rPr>
              <w:t>Додаток 2</w:t>
            </w:r>
            <w:r w:rsidRPr="009F102D">
              <w:rPr>
                <w:rFonts w:eastAsia="Times New Roman"/>
                <w:b/>
              </w:rPr>
              <w:t>7</w:t>
            </w:r>
            <w:r w:rsidRPr="009F102D">
              <w:rPr>
                <w:rFonts w:eastAsia="Times New Roman"/>
                <w:b/>
              </w:rPr>
      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5E15FF" w:rsidRPr="009F102D" w:rsidTr="007E7097">
        <w:tc>
          <w:tcPr>
            <w:tcW w:w="7654" w:type="dxa"/>
          </w:tcPr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5E15FF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1) збільшена на 10 % сума невиконання інвестиційної програми на звітний рік (за результатами діяльності 2021 року). Двократна сума невиконання інвестиційної програми на звітний рік (за результатами діяльності за рік, починаючи з 2022 року);</w:t>
            </w:r>
          </w:p>
          <w:p w:rsidR="00821746" w:rsidRPr="009F102D" w:rsidRDefault="00821746" w:rsidP="00821746">
            <w:pPr>
              <w:pStyle w:val="a4"/>
              <w:spacing w:before="0" w:beforeAutospacing="0" w:after="0" w:afterAutospacing="0"/>
              <w:jc w:val="both"/>
            </w:pPr>
          </w:p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18050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дельта за статтею "операційні контрольовані витрати" (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D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ОКВ) тис. грн, що визначається за формулою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18051"/>
            <w:bookmarkEnd w:id="0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DОКВ = ОКВ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т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ОКВ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у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18052"/>
            <w:bookmarkEnd w:id="1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 ОКВ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т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витрати за статтею "операційні контрольовані витрати", враховані при розрахунку тарифу на звітний рік, тис. грн;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18053"/>
            <w:bookmarkEnd w:id="2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ОКВ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у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уточнені операційні контрольовані витрати з розподілу електричної енергії у звітному році, що розраховуються згідно з главою 6 Порядку N 1175, тис. грн.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" w:name="18054"/>
            <w:bookmarkEnd w:id="3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цьому при уточненні операційних контрольованих витрат з розподілу електричної енергії для першого року другого та наступних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періодів регулювання, економію операційних контрольованих витрат за попередній регуляторний період (за винятком останнього року), визначати з урахуванням фактичних витрат, які капіталізовані за бухгалтерським обліком, поза заходами затвердженої інвестиційної програми;</w:t>
            </w:r>
            <w:bookmarkEnd w:id="4"/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1746" w:rsidRPr="009F102D" w:rsidRDefault="0082174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00FA" w:rsidRPr="009F102D" w:rsidRDefault="00FD00FA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00FA" w:rsidRPr="009F102D" w:rsidRDefault="00FD00FA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FD00FA" w:rsidRPr="009F102D" w:rsidRDefault="00FD00FA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сплачена у звітному році сума частини чистого прибутку (дивідендів) на державну частку акцій;</w:t>
            </w:r>
          </w:p>
          <w:p w:rsidR="00B36F96" w:rsidRPr="009F102D" w:rsidRDefault="00FD00FA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суми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надії",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Pr="009F102D" w:rsidRDefault="00FD00FA" w:rsidP="009F102D">
            <w:pPr>
              <w:ind w:left="2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Відсутній</w:t>
            </w: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6F96" w:rsidRPr="00581665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36"/>
                <w:szCs w:val="24"/>
              </w:rPr>
            </w:pPr>
          </w:p>
          <w:p w:rsidR="004741D8" w:rsidRPr="009F102D" w:rsidRDefault="004741D8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B36F96" w:rsidRPr="009F102D" w:rsidRDefault="00B36F96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41D8" w:rsidRPr="009F102D" w:rsidRDefault="004741D8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Від'ємна сума, визначена згідно з пунктом 7 цієї Методики, коригується на індекс споживчих цін на товари та послуги з грудня звітного року до грудня попереднього року (використовується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інформація, оприлюднена на офіційному </w:t>
            </w:r>
            <w:proofErr w:type="spellStart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3A2D94" w:rsidRPr="009F102D" w:rsidRDefault="003A2D94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2D94" w:rsidRPr="009F102D" w:rsidRDefault="003A2D94" w:rsidP="009F102D">
            <w:pPr>
              <w:ind w:left="2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Відсутній</w:t>
            </w:r>
          </w:p>
          <w:p w:rsidR="003A2D94" w:rsidRPr="009F102D" w:rsidRDefault="003A2D94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1279" w:rsidRPr="009F102D" w:rsidRDefault="00781279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1279" w:rsidRPr="009F102D" w:rsidRDefault="00781279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1279" w:rsidRPr="009F102D" w:rsidRDefault="00781279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1279" w:rsidRPr="00FB0D8A" w:rsidRDefault="00781279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</w:p>
          <w:p w:rsidR="004741D8" w:rsidRPr="009F102D" w:rsidRDefault="004741D8" w:rsidP="009F102D">
            <w:pPr>
              <w:ind w:lef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  <w:p w:rsidR="00B36F96" w:rsidRPr="009F102D" w:rsidRDefault="004741D8" w:rsidP="00FB0D8A">
            <w:pPr>
              <w:ind w:left="22"/>
              <w:jc w:val="both"/>
              <w:rPr>
                <w:rFonts w:ascii="Times New Roman" w:hAnsi="Times New Roman" w:cs="Times New Roman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Визначена сума необ'єктивного перевищення вартості заходів інвестиційної програми підлягає вилученню у двократному розмірі зі структури тарифів ліцензіата.</w:t>
            </w:r>
            <w:bookmarkStart w:id="5" w:name="_GoBack"/>
            <w:bookmarkEnd w:id="5"/>
          </w:p>
        </w:tc>
        <w:tc>
          <w:tcPr>
            <w:tcW w:w="7654" w:type="dxa"/>
          </w:tcPr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lastRenderedPageBreak/>
              <w:t>…</w:t>
            </w:r>
          </w:p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5E15F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1) збільшена на 10 % сума невиконання інвестиційної програми на звітний рік (за результатами діяльності 2021 року).</w:t>
            </w:r>
            <w:r w:rsidRPr="009F102D">
              <w:t xml:space="preserve"> </w:t>
            </w:r>
            <w:r w:rsidRPr="009F102D">
              <w:rPr>
                <w:b/>
              </w:rPr>
              <w:t>Сума невиконання інвестиційної програми на звітний рік (за результатами діяльності 2022 року).</w:t>
            </w:r>
            <w:r w:rsidRPr="009F102D">
              <w:t xml:space="preserve"> Двократна сума невиконання інвестиційної програми на звітний рік (за результатами діяльності за рік, починаючи з </w:t>
            </w:r>
            <w:r w:rsidRPr="009F102D">
              <w:rPr>
                <w:b/>
              </w:rPr>
              <w:t>202</w:t>
            </w:r>
            <w:r w:rsidRPr="009F102D">
              <w:rPr>
                <w:b/>
              </w:rPr>
              <w:t>3</w:t>
            </w:r>
            <w:r w:rsidRPr="009F102D">
              <w:t xml:space="preserve"> року);</w:t>
            </w:r>
          </w:p>
          <w:p w:rsidR="00B1485F" w:rsidRPr="009F102D" w:rsidRDefault="00B1485F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дельта за статтею "операційні контрольовані витрати" (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D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ОКВ) тис. грн, що визначається за формулою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DОКВ = ОКВ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т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ОКВ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у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 ОКВ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т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витрати за статтею "операційні контрольовані витрати", враховані при розрахунку тарифу на звітний рік, тис. грн;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ОКВ 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у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уточнені операційні контрольовані витрати з розподілу електричної енергії у звітному році, що розраховуються згідно з главою 6 Порядку N 1175</w:t>
            </w:r>
            <w:r w:rsidR="00CA652D" w:rsidRPr="009F1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52D" w:rsidRPr="009F10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результатами діяльності за рік, починаючи з другого та наступних регуляторних періодів (а для першого періоду регулювання при визначенні </w:t>
            </w:r>
            <w:proofErr w:type="spellStart"/>
            <w:r w:rsidR="00CA652D" w:rsidRPr="009F102D">
              <w:rPr>
                <w:rFonts w:ascii="Times New Roman" w:hAnsi="Times New Roman" w:cs="Times New Roman"/>
                <w:b/>
                <w:sz w:val="24"/>
                <w:szCs w:val="24"/>
              </w:rPr>
              <w:t>ОКВ</w:t>
            </w:r>
            <w:r w:rsidR="00CA652D" w:rsidRPr="009F102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у</w:t>
            </w:r>
            <w:proofErr w:type="spellEnd"/>
            <w:r w:rsidR="00CA652D" w:rsidRPr="009F10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показник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ІЦВ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t-1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ф</m:t>
                  </m:r>
                </m:sup>
              </m:sSubSup>
            </m:oMath>
            <w:r w:rsidR="00CA652D" w:rsidRPr="009F102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приймається на </w:t>
            </w:r>
            <w:r w:rsidR="00CA652D" w:rsidRPr="009F102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 xml:space="preserve">рівні </w:t>
            </w:r>
            <w:r w:rsidR="00CA652D" w:rsidRPr="009F102D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прогнозованого індексу цін виробників промислової продукції для року t-1 (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ІЦВ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t-1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п</m:t>
                  </m:r>
                </m:sup>
              </m:sSubSup>
            </m:oMath>
            <w:r w:rsidR="00CA652D" w:rsidRPr="009F102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))</w:t>
            </w: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тис. грн.</w:t>
            </w:r>
          </w:p>
          <w:p w:rsidR="00B1485F" w:rsidRPr="009F102D" w:rsidRDefault="00B1485F" w:rsidP="009F102D">
            <w:pPr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цьому при уточненні операційних контрольованих витрат з розподілу електричної енергії для першого року другого та наступних періодів регулювання, економію операційних контрольованих витрат за попередній регуляторний період (за винятком останнього року), визначати з урахуванням фактичних витрат, які капіталізовані за бухгалтерським обліком, поза заходами затвердженої інвестиційної програми;</w:t>
            </w:r>
          </w:p>
          <w:p w:rsidR="00B1485F" w:rsidRPr="009F102D" w:rsidRDefault="00B1485F" w:rsidP="00821746">
            <w:pPr>
              <w:pStyle w:val="a4"/>
              <w:spacing w:before="0" w:beforeAutospacing="0" w:after="0" w:afterAutospacing="0"/>
              <w:jc w:val="both"/>
            </w:pPr>
          </w:p>
          <w:p w:rsidR="00B36F96" w:rsidRPr="009F102D" w:rsidRDefault="00B36F96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B36F96" w:rsidRPr="009F102D" w:rsidRDefault="00B36F96" w:rsidP="00821746">
            <w:pPr>
              <w:pStyle w:val="a4"/>
              <w:spacing w:before="0" w:beforeAutospacing="0" w:after="0" w:afterAutospacing="0"/>
              <w:jc w:val="both"/>
            </w:pPr>
          </w:p>
          <w:p w:rsidR="00FD00FA" w:rsidRPr="009F102D" w:rsidRDefault="00FD00F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FD00FA" w:rsidRPr="009F102D" w:rsidRDefault="00FD00F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1) сплачена у звітному році сума частини чистого прибутку (дивідендів) на державну частку акцій;</w:t>
            </w:r>
          </w:p>
          <w:p w:rsidR="00B36F96" w:rsidRPr="009F102D" w:rsidRDefault="00FD00FA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2) суми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надії",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FD00FA" w:rsidRPr="009F102D" w:rsidRDefault="00FD00FA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3) вартість понаднормативних витрат електричної енергії за 2022 рік, у разі зміні структури споживання за 2022 рік, що призвела до збільшення економічного коефіцієнта прогнозованих технологічних витрат електричної енергії більше ніж на 10 %.</w:t>
            </w:r>
          </w:p>
          <w:p w:rsidR="00DD3D32" w:rsidRPr="009F102D" w:rsidRDefault="004741D8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>…</w:t>
            </w:r>
          </w:p>
          <w:p w:rsidR="004741D8" w:rsidRPr="009F102D" w:rsidRDefault="004741D8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t xml:space="preserve">9. Від'ємна сума, визначена згідно з пунктом 7 цієї Методики, коригується на індекс споживчих цін на товари та послуги з грудня звітного року до грудня попереднього року (використовується </w:t>
            </w:r>
            <w:r w:rsidRPr="009F102D">
              <w:lastRenderedPageBreak/>
              <w:t xml:space="preserve">інформація, оприлюднена на офіційному </w:t>
            </w:r>
            <w:proofErr w:type="spellStart"/>
            <w:r w:rsidRPr="009F102D">
              <w:t>вебсайті</w:t>
            </w:r>
            <w:proofErr w:type="spellEnd"/>
            <w:r w:rsidRPr="009F102D">
              <w:t xml:space="preserve"> Державної служби статистики України) та підлягає включенню до структури тарифів ліцензіата.</w:t>
            </w:r>
          </w:p>
          <w:p w:rsidR="003A2D94" w:rsidRPr="009F102D" w:rsidRDefault="003A2D94" w:rsidP="009F102D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10. 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році, визначена згідно з пунктом 7 цього додатка, не коригується на індекс споживчих цін на товари та послуги.</w:t>
            </w:r>
          </w:p>
          <w:p w:rsidR="004741D8" w:rsidRPr="009F102D" w:rsidRDefault="00781279" w:rsidP="009F102D">
            <w:pPr>
              <w:pStyle w:val="a4"/>
              <w:spacing w:before="0" w:beforeAutospacing="0" w:after="160" w:afterAutospacing="0"/>
              <w:jc w:val="both"/>
            </w:pPr>
            <w:r w:rsidRPr="009F102D">
              <w:rPr>
                <w:b/>
              </w:rPr>
              <w:t>11</w:t>
            </w:r>
            <w:r w:rsidR="004741D8" w:rsidRPr="009F102D">
              <w:t>. Сума необ'єктивного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вартістю, що склалась за підсумками виконання інвестиційної програми, та граничним рівнем вартості. Гранична вартість визначається як добуток вартості заходу, передбаченої в інвестиційній програмі, та коефіцієнта 1,10 (10 %).</w:t>
            </w:r>
          </w:p>
          <w:p w:rsidR="00DD3D32" w:rsidRPr="009F102D" w:rsidRDefault="00781279" w:rsidP="00FB0D8A">
            <w:pPr>
              <w:pStyle w:val="a4"/>
              <w:spacing w:before="0" w:beforeAutospacing="0" w:after="160" w:afterAutospacing="0"/>
              <w:jc w:val="both"/>
              <w:rPr>
                <w:b/>
              </w:rPr>
            </w:pPr>
            <w:r w:rsidRPr="009F102D">
              <w:rPr>
                <w:b/>
              </w:rPr>
              <w:t>Визначена сума необ’єктивного перевищення вартості заходів інвестиційної програми підлягає вилученню зі структури тарифів ліцензіата, починаючи з 2023 року – у п’ятикратному розмірі (за результатами діяльності 2021 року та 2022 року – у двократному розмірі).</w:t>
            </w:r>
          </w:p>
        </w:tc>
      </w:tr>
    </w:tbl>
    <w:p w:rsidR="00432349" w:rsidRPr="009F102D" w:rsidRDefault="00432349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  <w:gridCol w:w="5933"/>
        <w:gridCol w:w="3064"/>
      </w:tblGrid>
      <w:tr w:rsidR="00876C1D" w:rsidRPr="009F102D" w:rsidTr="00AF7BAE">
        <w:trPr>
          <w:trHeight w:val="644"/>
          <w:jc w:val="center"/>
        </w:trPr>
        <w:tc>
          <w:tcPr>
            <w:tcW w:w="2028" w:type="pct"/>
          </w:tcPr>
          <w:p w:rsidR="00876C1D" w:rsidRPr="009F102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Директор Департаменту ліцензійного контролю</w:t>
            </w:r>
          </w:p>
        </w:tc>
        <w:tc>
          <w:tcPr>
            <w:tcW w:w="1960" w:type="pct"/>
          </w:tcPr>
          <w:p w:rsidR="00876C1D" w:rsidRPr="009F102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012" w:type="pct"/>
            <w:vAlign w:val="center"/>
          </w:tcPr>
          <w:p w:rsidR="00876C1D" w:rsidRPr="009F102D" w:rsidRDefault="00876C1D" w:rsidP="00AF7BAE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F102D">
              <w:rPr>
                <w:rFonts w:ascii="Times New Roman" w:hAnsi="Times New Roman" w:cs="Times New Roman"/>
                <w:b/>
                <w:sz w:val="27"/>
                <w:szCs w:val="27"/>
              </w:rPr>
              <w:t>Я. Зеленюк</w:t>
            </w:r>
          </w:p>
        </w:tc>
      </w:tr>
    </w:tbl>
    <w:p w:rsidR="00876C1D" w:rsidRPr="009F102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sectPr w:rsidR="00876C1D" w:rsidRPr="009F102D" w:rsidSect="0040578D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69A" w:rsidRDefault="0064569A" w:rsidP="00E82F7A">
      <w:pPr>
        <w:spacing w:after="0" w:line="240" w:lineRule="auto"/>
      </w:pPr>
      <w:r>
        <w:separator/>
      </w:r>
    </w:p>
  </w:endnote>
  <w:endnote w:type="continuationSeparator" w:id="0">
    <w:p w:rsidR="0064569A" w:rsidRDefault="0064569A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69A" w:rsidRDefault="0064569A" w:rsidP="00E82F7A">
      <w:pPr>
        <w:spacing w:after="0" w:line="240" w:lineRule="auto"/>
      </w:pPr>
      <w:r>
        <w:separator/>
      </w:r>
    </w:p>
  </w:footnote>
  <w:footnote w:type="continuationSeparator" w:id="0">
    <w:p w:rsidR="0064569A" w:rsidRDefault="0064569A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Content>
      <w:p w:rsidR="00A25031" w:rsidRPr="00E82F7A" w:rsidRDefault="00A2503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25031" w:rsidRPr="00E82F7A" w:rsidRDefault="00A25031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3E7C"/>
    <w:rsid w:val="00012958"/>
    <w:rsid w:val="000147F3"/>
    <w:rsid w:val="000170C6"/>
    <w:rsid w:val="00021604"/>
    <w:rsid w:val="00027FE0"/>
    <w:rsid w:val="0004744E"/>
    <w:rsid w:val="00054641"/>
    <w:rsid w:val="00055888"/>
    <w:rsid w:val="000700F7"/>
    <w:rsid w:val="00070BA8"/>
    <w:rsid w:val="000725AD"/>
    <w:rsid w:val="000726B0"/>
    <w:rsid w:val="00072B57"/>
    <w:rsid w:val="0007634B"/>
    <w:rsid w:val="00081B66"/>
    <w:rsid w:val="00085CF9"/>
    <w:rsid w:val="00091A8C"/>
    <w:rsid w:val="00092646"/>
    <w:rsid w:val="000A1F13"/>
    <w:rsid w:val="000A3F17"/>
    <w:rsid w:val="000A75AA"/>
    <w:rsid w:val="000A7685"/>
    <w:rsid w:val="000B5AB0"/>
    <w:rsid w:val="000C607F"/>
    <w:rsid w:val="000D3C0A"/>
    <w:rsid w:val="000E0131"/>
    <w:rsid w:val="000E0EAB"/>
    <w:rsid w:val="000E7505"/>
    <w:rsid w:val="000F7F02"/>
    <w:rsid w:val="0010682E"/>
    <w:rsid w:val="00113D08"/>
    <w:rsid w:val="001220B0"/>
    <w:rsid w:val="00124A2F"/>
    <w:rsid w:val="0012527A"/>
    <w:rsid w:val="00125DE4"/>
    <w:rsid w:val="001271E8"/>
    <w:rsid w:val="00131132"/>
    <w:rsid w:val="00132C2F"/>
    <w:rsid w:val="00142373"/>
    <w:rsid w:val="00142D61"/>
    <w:rsid w:val="001529E2"/>
    <w:rsid w:val="0015638C"/>
    <w:rsid w:val="001563FA"/>
    <w:rsid w:val="0016381E"/>
    <w:rsid w:val="001657B7"/>
    <w:rsid w:val="001729EC"/>
    <w:rsid w:val="001756C3"/>
    <w:rsid w:val="00175730"/>
    <w:rsid w:val="00176371"/>
    <w:rsid w:val="0018792B"/>
    <w:rsid w:val="00190398"/>
    <w:rsid w:val="001908C1"/>
    <w:rsid w:val="001A1EA1"/>
    <w:rsid w:val="001B03C0"/>
    <w:rsid w:val="001B49D9"/>
    <w:rsid w:val="001B73DD"/>
    <w:rsid w:val="001C0FB6"/>
    <w:rsid w:val="001F70C5"/>
    <w:rsid w:val="0020185F"/>
    <w:rsid w:val="002031A0"/>
    <w:rsid w:val="00206CC9"/>
    <w:rsid w:val="00216CEA"/>
    <w:rsid w:val="00226B32"/>
    <w:rsid w:val="002270F6"/>
    <w:rsid w:val="00233A21"/>
    <w:rsid w:val="00240063"/>
    <w:rsid w:val="002436E0"/>
    <w:rsid w:val="002460C7"/>
    <w:rsid w:val="002463F8"/>
    <w:rsid w:val="002512B8"/>
    <w:rsid w:val="00257310"/>
    <w:rsid w:val="002605A8"/>
    <w:rsid w:val="002764BA"/>
    <w:rsid w:val="0028277C"/>
    <w:rsid w:val="00283EC6"/>
    <w:rsid w:val="0028439B"/>
    <w:rsid w:val="00286D28"/>
    <w:rsid w:val="00287F16"/>
    <w:rsid w:val="002A10E3"/>
    <w:rsid w:val="002B1486"/>
    <w:rsid w:val="002B46B6"/>
    <w:rsid w:val="002B6B6B"/>
    <w:rsid w:val="002B70E6"/>
    <w:rsid w:val="002C1461"/>
    <w:rsid w:val="002C4180"/>
    <w:rsid w:val="002C4A50"/>
    <w:rsid w:val="002C6B07"/>
    <w:rsid w:val="002D72D4"/>
    <w:rsid w:val="002E3FDA"/>
    <w:rsid w:val="002E4DBB"/>
    <w:rsid w:val="002F4732"/>
    <w:rsid w:val="002F7BC4"/>
    <w:rsid w:val="00304D9E"/>
    <w:rsid w:val="00307BFC"/>
    <w:rsid w:val="003204CD"/>
    <w:rsid w:val="00323427"/>
    <w:rsid w:val="003358B2"/>
    <w:rsid w:val="00336F1B"/>
    <w:rsid w:val="00341F78"/>
    <w:rsid w:val="00356237"/>
    <w:rsid w:val="003574A6"/>
    <w:rsid w:val="0038109F"/>
    <w:rsid w:val="003858E3"/>
    <w:rsid w:val="00385C88"/>
    <w:rsid w:val="003866D5"/>
    <w:rsid w:val="003875D9"/>
    <w:rsid w:val="00390345"/>
    <w:rsid w:val="003945D0"/>
    <w:rsid w:val="003A2D94"/>
    <w:rsid w:val="003A3D50"/>
    <w:rsid w:val="003B2E51"/>
    <w:rsid w:val="003D28AF"/>
    <w:rsid w:val="003D5AAE"/>
    <w:rsid w:val="003D76EB"/>
    <w:rsid w:val="003F0EB5"/>
    <w:rsid w:val="003F40C1"/>
    <w:rsid w:val="004013B5"/>
    <w:rsid w:val="0040578D"/>
    <w:rsid w:val="00405A25"/>
    <w:rsid w:val="004221F0"/>
    <w:rsid w:val="00424616"/>
    <w:rsid w:val="00426601"/>
    <w:rsid w:val="00426F3E"/>
    <w:rsid w:val="00432349"/>
    <w:rsid w:val="00447D4A"/>
    <w:rsid w:val="004510B4"/>
    <w:rsid w:val="004605B7"/>
    <w:rsid w:val="00460A1B"/>
    <w:rsid w:val="004646C3"/>
    <w:rsid w:val="00470891"/>
    <w:rsid w:val="00472088"/>
    <w:rsid w:val="004741D8"/>
    <w:rsid w:val="004755E3"/>
    <w:rsid w:val="00476035"/>
    <w:rsid w:val="0048208D"/>
    <w:rsid w:val="004868D7"/>
    <w:rsid w:val="00493FF8"/>
    <w:rsid w:val="00496021"/>
    <w:rsid w:val="004A1FF9"/>
    <w:rsid w:val="004A20EF"/>
    <w:rsid w:val="004B7B15"/>
    <w:rsid w:val="004C4CEC"/>
    <w:rsid w:val="004F1AF3"/>
    <w:rsid w:val="004F7F11"/>
    <w:rsid w:val="00510E01"/>
    <w:rsid w:val="005158DE"/>
    <w:rsid w:val="0051660A"/>
    <w:rsid w:val="00524256"/>
    <w:rsid w:val="00527221"/>
    <w:rsid w:val="00530C00"/>
    <w:rsid w:val="00530CD9"/>
    <w:rsid w:val="005350FF"/>
    <w:rsid w:val="0056170A"/>
    <w:rsid w:val="00565758"/>
    <w:rsid w:val="005669FF"/>
    <w:rsid w:val="0057168F"/>
    <w:rsid w:val="00576BC1"/>
    <w:rsid w:val="00576E99"/>
    <w:rsid w:val="00581665"/>
    <w:rsid w:val="00581C2C"/>
    <w:rsid w:val="005977EB"/>
    <w:rsid w:val="005A7420"/>
    <w:rsid w:val="005B0085"/>
    <w:rsid w:val="005B7CF9"/>
    <w:rsid w:val="005C6021"/>
    <w:rsid w:val="005C6AC5"/>
    <w:rsid w:val="005E15FF"/>
    <w:rsid w:val="005E2BB4"/>
    <w:rsid w:val="005E7BE8"/>
    <w:rsid w:val="00604177"/>
    <w:rsid w:val="00612C8C"/>
    <w:rsid w:val="00614869"/>
    <w:rsid w:val="00616735"/>
    <w:rsid w:val="00621B87"/>
    <w:rsid w:val="00632DEE"/>
    <w:rsid w:val="00634519"/>
    <w:rsid w:val="00636EFE"/>
    <w:rsid w:val="0064519E"/>
    <w:rsid w:val="0064569A"/>
    <w:rsid w:val="00661FEC"/>
    <w:rsid w:val="006719BC"/>
    <w:rsid w:val="0067785D"/>
    <w:rsid w:val="00680E43"/>
    <w:rsid w:val="00682D44"/>
    <w:rsid w:val="006905A0"/>
    <w:rsid w:val="00693C9C"/>
    <w:rsid w:val="00694AFF"/>
    <w:rsid w:val="006A338A"/>
    <w:rsid w:val="006A69B6"/>
    <w:rsid w:val="006B7893"/>
    <w:rsid w:val="006B7DDC"/>
    <w:rsid w:val="006D6FC0"/>
    <w:rsid w:val="006F034A"/>
    <w:rsid w:val="006F08B1"/>
    <w:rsid w:val="006F255E"/>
    <w:rsid w:val="00704A18"/>
    <w:rsid w:val="007076DB"/>
    <w:rsid w:val="00707B90"/>
    <w:rsid w:val="00710666"/>
    <w:rsid w:val="00721FC5"/>
    <w:rsid w:val="00726A22"/>
    <w:rsid w:val="00746593"/>
    <w:rsid w:val="007706E5"/>
    <w:rsid w:val="0077164D"/>
    <w:rsid w:val="00776745"/>
    <w:rsid w:val="00777FB7"/>
    <w:rsid w:val="00781279"/>
    <w:rsid w:val="007819EB"/>
    <w:rsid w:val="007A5C23"/>
    <w:rsid w:val="007B517D"/>
    <w:rsid w:val="007C247D"/>
    <w:rsid w:val="007C5D7D"/>
    <w:rsid w:val="007C7199"/>
    <w:rsid w:val="007D6196"/>
    <w:rsid w:val="007E4CC2"/>
    <w:rsid w:val="007E7097"/>
    <w:rsid w:val="007F1D27"/>
    <w:rsid w:val="007F21C4"/>
    <w:rsid w:val="007F25A5"/>
    <w:rsid w:val="0080041E"/>
    <w:rsid w:val="00803ECC"/>
    <w:rsid w:val="00807AE7"/>
    <w:rsid w:val="00811987"/>
    <w:rsid w:val="008126B4"/>
    <w:rsid w:val="00812A3D"/>
    <w:rsid w:val="0081641E"/>
    <w:rsid w:val="00821746"/>
    <w:rsid w:val="00822B30"/>
    <w:rsid w:val="00824A91"/>
    <w:rsid w:val="0084268E"/>
    <w:rsid w:val="00844F01"/>
    <w:rsid w:val="008536B0"/>
    <w:rsid w:val="008624EF"/>
    <w:rsid w:val="008668DD"/>
    <w:rsid w:val="00873181"/>
    <w:rsid w:val="00876C1D"/>
    <w:rsid w:val="00881A5D"/>
    <w:rsid w:val="00884687"/>
    <w:rsid w:val="008A0411"/>
    <w:rsid w:val="008A543E"/>
    <w:rsid w:val="008A6DE7"/>
    <w:rsid w:val="008A7E00"/>
    <w:rsid w:val="008B321F"/>
    <w:rsid w:val="008B793F"/>
    <w:rsid w:val="008C2421"/>
    <w:rsid w:val="008C2A20"/>
    <w:rsid w:val="008E0721"/>
    <w:rsid w:val="008E721D"/>
    <w:rsid w:val="00906035"/>
    <w:rsid w:val="00906428"/>
    <w:rsid w:val="009102E9"/>
    <w:rsid w:val="009135BA"/>
    <w:rsid w:val="009270B4"/>
    <w:rsid w:val="00932B1F"/>
    <w:rsid w:val="00950E51"/>
    <w:rsid w:val="00951683"/>
    <w:rsid w:val="0095249B"/>
    <w:rsid w:val="00953230"/>
    <w:rsid w:val="00960FBC"/>
    <w:rsid w:val="00964E93"/>
    <w:rsid w:val="00970373"/>
    <w:rsid w:val="00980319"/>
    <w:rsid w:val="009817BF"/>
    <w:rsid w:val="00983148"/>
    <w:rsid w:val="009A266B"/>
    <w:rsid w:val="009A4DD6"/>
    <w:rsid w:val="009A7094"/>
    <w:rsid w:val="009B367F"/>
    <w:rsid w:val="009B6D1D"/>
    <w:rsid w:val="009E130E"/>
    <w:rsid w:val="009F102D"/>
    <w:rsid w:val="00A00B82"/>
    <w:rsid w:val="00A10F03"/>
    <w:rsid w:val="00A13719"/>
    <w:rsid w:val="00A159F7"/>
    <w:rsid w:val="00A16BDC"/>
    <w:rsid w:val="00A17DB4"/>
    <w:rsid w:val="00A20E64"/>
    <w:rsid w:val="00A25031"/>
    <w:rsid w:val="00A2790F"/>
    <w:rsid w:val="00A27DEB"/>
    <w:rsid w:val="00A358EF"/>
    <w:rsid w:val="00A420C8"/>
    <w:rsid w:val="00A42363"/>
    <w:rsid w:val="00A444D8"/>
    <w:rsid w:val="00A52BDC"/>
    <w:rsid w:val="00A66C21"/>
    <w:rsid w:val="00A76B1E"/>
    <w:rsid w:val="00A81E08"/>
    <w:rsid w:val="00A87031"/>
    <w:rsid w:val="00A96F08"/>
    <w:rsid w:val="00AA4B7A"/>
    <w:rsid w:val="00AA5868"/>
    <w:rsid w:val="00AA7B75"/>
    <w:rsid w:val="00AB0402"/>
    <w:rsid w:val="00AB5EF4"/>
    <w:rsid w:val="00AC6BC9"/>
    <w:rsid w:val="00AD4BE8"/>
    <w:rsid w:val="00AD69E4"/>
    <w:rsid w:val="00AF7BAE"/>
    <w:rsid w:val="00B04EA0"/>
    <w:rsid w:val="00B11403"/>
    <w:rsid w:val="00B1485F"/>
    <w:rsid w:val="00B1693B"/>
    <w:rsid w:val="00B22305"/>
    <w:rsid w:val="00B22E44"/>
    <w:rsid w:val="00B24ADB"/>
    <w:rsid w:val="00B26554"/>
    <w:rsid w:val="00B34A03"/>
    <w:rsid w:val="00B36F96"/>
    <w:rsid w:val="00B74585"/>
    <w:rsid w:val="00B80662"/>
    <w:rsid w:val="00B81CFD"/>
    <w:rsid w:val="00BA050A"/>
    <w:rsid w:val="00BA0839"/>
    <w:rsid w:val="00BB0556"/>
    <w:rsid w:val="00BC5B9D"/>
    <w:rsid w:val="00BC6F3C"/>
    <w:rsid w:val="00BE7F19"/>
    <w:rsid w:val="00C00C25"/>
    <w:rsid w:val="00C01219"/>
    <w:rsid w:val="00C03EBF"/>
    <w:rsid w:val="00C161CC"/>
    <w:rsid w:val="00C173DF"/>
    <w:rsid w:val="00C234DD"/>
    <w:rsid w:val="00C255BF"/>
    <w:rsid w:val="00C3169E"/>
    <w:rsid w:val="00C33A37"/>
    <w:rsid w:val="00C40C71"/>
    <w:rsid w:val="00C41AB8"/>
    <w:rsid w:val="00C60666"/>
    <w:rsid w:val="00C61685"/>
    <w:rsid w:val="00C634D3"/>
    <w:rsid w:val="00C64683"/>
    <w:rsid w:val="00C6752B"/>
    <w:rsid w:val="00C92B62"/>
    <w:rsid w:val="00CA1F81"/>
    <w:rsid w:val="00CA5E31"/>
    <w:rsid w:val="00CA6437"/>
    <w:rsid w:val="00CA652D"/>
    <w:rsid w:val="00CB45B7"/>
    <w:rsid w:val="00CB6334"/>
    <w:rsid w:val="00CC0547"/>
    <w:rsid w:val="00CC243B"/>
    <w:rsid w:val="00CE423C"/>
    <w:rsid w:val="00CE565A"/>
    <w:rsid w:val="00CE663A"/>
    <w:rsid w:val="00CF10C5"/>
    <w:rsid w:val="00CF2015"/>
    <w:rsid w:val="00CF5851"/>
    <w:rsid w:val="00CF610C"/>
    <w:rsid w:val="00CF6808"/>
    <w:rsid w:val="00CF7F6C"/>
    <w:rsid w:val="00D02755"/>
    <w:rsid w:val="00D03F59"/>
    <w:rsid w:val="00D100F5"/>
    <w:rsid w:val="00D12B50"/>
    <w:rsid w:val="00D16AF7"/>
    <w:rsid w:val="00D415DF"/>
    <w:rsid w:val="00D50CE1"/>
    <w:rsid w:val="00D514C2"/>
    <w:rsid w:val="00D5543A"/>
    <w:rsid w:val="00D56761"/>
    <w:rsid w:val="00D66054"/>
    <w:rsid w:val="00D71D7B"/>
    <w:rsid w:val="00D72D1A"/>
    <w:rsid w:val="00D778DB"/>
    <w:rsid w:val="00D81686"/>
    <w:rsid w:val="00DA1742"/>
    <w:rsid w:val="00DA17B7"/>
    <w:rsid w:val="00DC0D95"/>
    <w:rsid w:val="00DD3D32"/>
    <w:rsid w:val="00DF2778"/>
    <w:rsid w:val="00DF31AD"/>
    <w:rsid w:val="00DF4E43"/>
    <w:rsid w:val="00E058FE"/>
    <w:rsid w:val="00E05C39"/>
    <w:rsid w:val="00E065BD"/>
    <w:rsid w:val="00E13FF8"/>
    <w:rsid w:val="00E17B43"/>
    <w:rsid w:val="00E31929"/>
    <w:rsid w:val="00E45077"/>
    <w:rsid w:val="00E50069"/>
    <w:rsid w:val="00E51940"/>
    <w:rsid w:val="00E51D4A"/>
    <w:rsid w:val="00E53808"/>
    <w:rsid w:val="00E54AF2"/>
    <w:rsid w:val="00E561F5"/>
    <w:rsid w:val="00E81BA0"/>
    <w:rsid w:val="00E81FE9"/>
    <w:rsid w:val="00E8221B"/>
    <w:rsid w:val="00E82311"/>
    <w:rsid w:val="00E82F7A"/>
    <w:rsid w:val="00E8463D"/>
    <w:rsid w:val="00E92CFC"/>
    <w:rsid w:val="00E965D8"/>
    <w:rsid w:val="00EA0532"/>
    <w:rsid w:val="00EA45AD"/>
    <w:rsid w:val="00EC296B"/>
    <w:rsid w:val="00ED1461"/>
    <w:rsid w:val="00ED516B"/>
    <w:rsid w:val="00ED7296"/>
    <w:rsid w:val="00EE0BF6"/>
    <w:rsid w:val="00F06D8F"/>
    <w:rsid w:val="00F06F89"/>
    <w:rsid w:val="00F07B62"/>
    <w:rsid w:val="00F134F3"/>
    <w:rsid w:val="00F26527"/>
    <w:rsid w:val="00F3102A"/>
    <w:rsid w:val="00F31587"/>
    <w:rsid w:val="00F3160C"/>
    <w:rsid w:val="00F53D5B"/>
    <w:rsid w:val="00F63065"/>
    <w:rsid w:val="00F63505"/>
    <w:rsid w:val="00F654C1"/>
    <w:rsid w:val="00F72948"/>
    <w:rsid w:val="00F82938"/>
    <w:rsid w:val="00F93AF1"/>
    <w:rsid w:val="00F9499F"/>
    <w:rsid w:val="00F965DB"/>
    <w:rsid w:val="00F96DC9"/>
    <w:rsid w:val="00FA0DCA"/>
    <w:rsid w:val="00FB0D8A"/>
    <w:rsid w:val="00FB15BD"/>
    <w:rsid w:val="00FB1C33"/>
    <w:rsid w:val="00FC0BBD"/>
    <w:rsid w:val="00FC1552"/>
    <w:rsid w:val="00FC19A5"/>
    <w:rsid w:val="00FD00FA"/>
    <w:rsid w:val="00FD74CD"/>
    <w:rsid w:val="00FF0E4F"/>
    <w:rsid w:val="00FF40C1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A0DC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9C32E-80F7-4EB7-AE6C-9DB52475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7</Pages>
  <Words>12003</Words>
  <Characters>6842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43</cp:revision>
  <dcterms:created xsi:type="dcterms:W3CDTF">2022-01-31T13:02:00Z</dcterms:created>
  <dcterms:modified xsi:type="dcterms:W3CDTF">2022-10-18T15:23:00Z</dcterms:modified>
</cp:coreProperties>
</file>