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54A2" w:rsidRPr="000A23CF" w:rsidRDefault="00D454A2" w:rsidP="00D454A2">
      <w:pPr>
        <w:pStyle w:val="a3"/>
        <w:spacing w:before="70" w:line="242" w:lineRule="auto"/>
        <w:ind w:hanging="7"/>
        <w:jc w:val="center"/>
        <w:rPr>
          <w:b/>
        </w:rPr>
      </w:pPr>
      <w:r w:rsidRPr="000A23CF">
        <w:rPr>
          <w:b/>
        </w:rPr>
        <w:t>НАЦІОНАЛЬНА КОМІСІЯ, ЩО ЗДІЙСНЮ</w:t>
      </w:r>
      <w:r w:rsidR="001371DF">
        <w:rPr>
          <w:b/>
        </w:rPr>
        <w:t xml:space="preserve">Є </w:t>
      </w:r>
      <w:r w:rsidRPr="000A23CF">
        <w:rPr>
          <w:b/>
        </w:rPr>
        <w:t>ДЕРЖАВНЕ</w:t>
      </w:r>
      <w:r w:rsidRPr="000A23CF">
        <w:rPr>
          <w:b/>
          <w:spacing w:val="-51"/>
        </w:rPr>
        <w:t xml:space="preserve"> </w:t>
      </w:r>
      <w:r w:rsidRPr="000A23CF">
        <w:rPr>
          <w:b/>
        </w:rPr>
        <w:t>РЕГУЛЮВАННЯ У СФЕРАХ ЕНЕРГЕТИКИ ТА КОМУНАЛЬНИХ ПОСЛУГ</w:t>
      </w:r>
    </w:p>
    <w:p w:rsidR="00D454A2" w:rsidRPr="0085062D" w:rsidRDefault="00D454A2" w:rsidP="00D454A2">
      <w:pPr>
        <w:pStyle w:val="1"/>
        <w:spacing w:before="1"/>
        <w:ind w:left="460" w:right="299" w:firstLine="541"/>
        <w:jc w:val="center"/>
        <w:rPr>
          <w:sz w:val="24"/>
        </w:rPr>
      </w:pPr>
    </w:p>
    <w:p w:rsidR="00D454A2" w:rsidRDefault="00D454A2" w:rsidP="00D454A2">
      <w:pPr>
        <w:pStyle w:val="1"/>
        <w:spacing w:before="1"/>
        <w:ind w:left="460" w:right="299" w:firstLine="541"/>
        <w:jc w:val="center"/>
      </w:pPr>
      <w:r>
        <w:t>АНАЛІЗ ВПЛИВУ</w:t>
      </w:r>
    </w:p>
    <w:p w:rsidR="00D454A2" w:rsidRDefault="00D454A2" w:rsidP="00D454A2">
      <w:pPr>
        <w:pStyle w:val="1"/>
        <w:spacing w:before="1"/>
        <w:ind w:left="460" w:right="299" w:firstLine="541"/>
        <w:jc w:val="center"/>
        <w:rPr>
          <w:w w:val="110"/>
        </w:rPr>
      </w:pPr>
      <w:r w:rsidRPr="000A23CF">
        <w:t xml:space="preserve">проєкту постанови НКРЕКП </w:t>
      </w:r>
      <w:r w:rsidRPr="00832E58">
        <w:t>«</w:t>
      </w:r>
      <w:r w:rsidR="00832E58" w:rsidRPr="00832E58">
        <w:rPr>
          <w:rStyle w:val="rvts23"/>
          <w:color w:val="000000"/>
        </w:rPr>
        <w:t xml:space="preserve">Про </w:t>
      </w:r>
      <w:r w:rsidR="00832E58">
        <w:rPr>
          <w:rStyle w:val="rvts23"/>
          <w:color w:val="000000"/>
        </w:rPr>
        <w:t>затвердження</w:t>
      </w:r>
      <w:r w:rsidR="00832E58" w:rsidRPr="00832E58">
        <w:rPr>
          <w:rStyle w:val="rvts23"/>
          <w:color w:val="000000"/>
        </w:rPr>
        <w:t xml:space="preserve"> </w:t>
      </w:r>
      <w:r w:rsidR="00832E58">
        <w:rPr>
          <w:rStyle w:val="rvts23"/>
          <w:color w:val="000000"/>
        </w:rPr>
        <w:t>З</w:t>
      </w:r>
      <w:r w:rsidR="00832E58" w:rsidRPr="00832E58">
        <w:rPr>
          <w:rStyle w:val="rvts23"/>
          <w:color w:val="000000"/>
        </w:rPr>
        <w:t xml:space="preserve">мін </w:t>
      </w:r>
      <w:r w:rsidR="00832E58" w:rsidRPr="00832E58">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832E58">
        <w:t>»,</w:t>
      </w:r>
      <w:r w:rsidRPr="000A23CF">
        <w:t xml:space="preserve"> що ма</w:t>
      </w:r>
      <w:r w:rsidR="00FF318B">
        <w:t>є</w:t>
      </w:r>
      <w:r w:rsidRPr="000A23CF">
        <w:t xml:space="preserve"> ознаки регуляторного </w:t>
      </w:r>
      <w:r w:rsidRPr="000A23CF">
        <w:rPr>
          <w:w w:val="110"/>
        </w:rPr>
        <w:t>акта</w:t>
      </w:r>
    </w:p>
    <w:p w:rsidR="00D454A2" w:rsidRPr="0085062D" w:rsidRDefault="00D454A2" w:rsidP="00D454A2">
      <w:pPr>
        <w:pStyle w:val="a3"/>
        <w:spacing w:before="10"/>
        <w:rPr>
          <w:sz w:val="32"/>
        </w:rPr>
      </w:pPr>
    </w:p>
    <w:p w:rsidR="00D454A2" w:rsidRPr="0005234D" w:rsidRDefault="00D454A2" w:rsidP="0005234D">
      <w:pPr>
        <w:pStyle w:val="a9"/>
        <w:numPr>
          <w:ilvl w:val="1"/>
          <w:numId w:val="3"/>
        </w:numPr>
        <w:tabs>
          <w:tab w:val="left" w:pos="3726"/>
        </w:tabs>
        <w:ind w:hanging="363"/>
        <w:jc w:val="center"/>
        <w:rPr>
          <w:b/>
        </w:rPr>
      </w:pPr>
      <w:r w:rsidRPr="0005234D">
        <w:rPr>
          <w:b/>
          <w:sz w:val="28"/>
        </w:rPr>
        <w:t>Визначення проблеми</w:t>
      </w:r>
    </w:p>
    <w:p w:rsidR="00D454A2" w:rsidRPr="0085062D" w:rsidRDefault="00D454A2" w:rsidP="00F46893">
      <w:pPr>
        <w:pStyle w:val="a3"/>
        <w:spacing w:before="6"/>
        <w:ind w:firstLine="709"/>
        <w:jc w:val="both"/>
        <w:rPr>
          <w:b/>
        </w:rPr>
      </w:pPr>
    </w:p>
    <w:p w:rsidR="00F46893" w:rsidRPr="00F46893" w:rsidRDefault="00F46893" w:rsidP="00E725A2">
      <w:pPr>
        <w:ind w:firstLine="851"/>
        <w:jc w:val="both"/>
        <w:rPr>
          <w:sz w:val="28"/>
          <w:szCs w:val="28"/>
        </w:rPr>
      </w:pPr>
      <w:r w:rsidRPr="00F46893">
        <w:rPr>
          <w:sz w:val="28"/>
          <w:szCs w:val="28"/>
        </w:rPr>
        <w:t xml:space="preserve">Відповідно до статті 1 Закону України «Про Національну комісію, що здійснює державне регулювання у сферах енергетики та комунальних послуг» (далі – Закон) Національна комісія, що здійснює державне регулювання у сферах енергетики та комунальних послуг (далі – НКРЕКП), є постійно діючим </w:t>
      </w:r>
      <w:r w:rsidR="000E4786">
        <w:rPr>
          <w:sz w:val="28"/>
          <w:szCs w:val="28"/>
        </w:rPr>
        <w:t>центральним органом виконавчої влади зі спеціальним статусом, що здійснює</w:t>
      </w:r>
      <w:r w:rsidRPr="00F46893">
        <w:rPr>
          <w:sz w:val="28"/>
          <w:szCs w:val="28"/>
        </w:rPr>
        <w:t xml:space="preserve"> державне регулювання, моніторинг та контроль за діяльністю суб’єктів господарювання у сферах енергетики та комунальних послуг.</w:t>
      </w:r>
    </w:p>
    <w:p w:rsidR="00F46893" w:rsidRPr="00F46893" w:rsidRDefault="00F46893" w:rsidP="00E725A2">
      <w:pPr>
        <w:ind w:firstLine="851"/>
        <w:jc w:val="both"/>
        <w:rPr>
          <w:sz w:val="28"/>
          <w:szCs w:val="28"/>
        </w:rPr>
      </w:pPr>
      <w:r w:rsidRPr="00F46893">
        <w:rPr>
          <w:sz w:val="28"/>
          <w:szCs w:val="28"/>
        </w:rPr>
        <w:t>Відповідно до статті 3 Закону НКРЕКП здійснює державне регулювання, зокрема, шляхом державного контролю та застосування заходів впливу.</w:t>
      </w:r>
    </w:p>
    <w:p w:rsidR="00F46893" w:rsidRPr="00F46893" w:rsidRDefault="00F46893" w:rsidP="00E725A2">
      <w:pPr>
        <w:ind w:firstLine="851"/>
        <w:jc w:val="both"/>
        <w:rPr>
          <w:sz w:val="28"/>
          <w:szCs w:val="28"/>
        </w:rPr>
      </w:pPr>
      <w:r w:rsidRPr="00F46893">
        <w:rPr>
          <w:sz w:val="28"/>
          <w:szCs w:val="28"/>
        </w:rPr>
        <w:t>Відповідно до частини першої статті 19 Закону НКРЕКП здійснює державний контроль за дотриманням суб’єктами господарювання, що провадять діяльність у сферах енергетики та комунальних послуг,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нею порядків контролю.</w:t>
      </w:r>
    </w:p>
    <w:p w:rsidR="00FE2413" w:rsidRPr="00FE2413" w:rsidRDefault="00F46893" w:rsidP="00E725A2">
      <w:pPr>
        <w:ind w:firstLine="851"/>
        <w:jc w:val="both"/>
        <w:rPr>
          <w:sz w:val="28"/>
          <w:szCs w:val="28"/>
        </w:rPr>
      </w:pPr>
      <w:r w:rsidRPr="00F46893">
        <w:rPr>
          <w:sz w:val="28"/>
          <w:szCs w:val="28"/>
        </w:rPr>
        <w:t>З огляду на наведене, Національною комісією, що здійснює державне регулювання у сферах енергетики та комунальних послуг</w:t>
      </w:r>
      <w:r w:rsidR="000E4786">
        <w:rPr>
          <w:sz w:val="28"/>
          <w:szCs w:val="28"/>
        </w:rPr>
        <w:t>,</w:t>
      </w:r>
      <w:r w:rsidRPr="00F46893">
        <w:rPr>
          <w:sz w:val="28"/>
          <w:szCs w:val="28"/>
        </w:rPr>
        <w:t xml:space="preserve"> постановою від 14.06.2018 №</w:t>
      </w:r>
      <w:r w:rsidR="00E528D5">
        <w:rPr>
          <w:sz w:val="28"/>
          <w:szCs w:val="28"/>
        </w:rPr>
        <w:t> </w:t>
      </w:r>
      <w:r w:rsidRPr="00F46893">
        <w:rPr>
          <w:sz w:val="28"/>
          <w:szCs w:val="28"/>
        </w:rPr>
        <w:t xml:space="preserve">428 затверджено Порядок контролю за дотриманням ліцензіатами, що провадять діяльність у сферах енергетики та комунальних послуг, </w:t>
      </w:r>
      <w:r w:rsidRPr="00FE2413">
        <w:rPr>
          <w:sz w:val="28"/>
          <w:szCs w:val="28"/>
        </w:rPr>
        <w:t>законодавства у відповідних сферах та ліцензійних умов (далі – Порядок контролю).</w:t>
      </w:r>
    </w:p>
    <w:p w:rsidR="00FE2413" w:rsidRDefault="00FE2413" w:rsidP="00E725A2">
      <w:pPr>
        <w:ind w:firstLine="851"/>
        <w:jc w:val="both"/>
        <w:rPr>
          <w:sz w:val="28"/>
          <w:szCs w:val="28"/>
        </w:rPr>
      </w:pPr>
      <w:r w:rsidRPr="00FE2413">
        <w:rPr>
          <w:sz w:val="28"/>
          <w:szCs w:val="28"/>
        </w:rPr>
        <w:t>Додатками</w:t>
      </w:r>
      <w:r>
        <w:rPr>
          <w:sz w:val="28"/>
          <w:szCs w:val="28"/>
        </w:rPr>
        <w:t xml:space="preserve"> 22</w:t>
      </w:r>
      <w:r w:rsidR="00535A90">
        <w:rPr>
          <w:sz w:val="28"/>
          <w:szCs w:val="28"/>
        </w:rPr>
        <w:t xml:space="preserve">, </w:t>
      </w:r>
      <w:r w:rsidR="000A7168">
        <w:rPr>
          <w:sz w:val="28"/>
          <w:szCs w:val="28"/>
        </w:rPr>
        <w:t>23, 25 – 27 до Порядку контролю є, відповідно:</w:t>
      </w:r>
    </w:p>
    <w:p w:rsidR="000A7168" w:rsidRPr="000A7168" w:rsidRDefault="000A7168" w:rsidP="003471EF">
      <w:pPr>
        <w:pStyle w:val="a9"/>
        <w:ind w:left="0" w:firstLine="851"/>
        <w:jc w:val="both"/>
        <w:rPr>
          <w:sz w:val="28"/>
          <w:szCs w:val="28"/>
        </w:rPr>
      </w:pPr>
      <w:r w:rsidRPr="000A7168">
        <w:rPr>
          <w:sz w:val="28"/>
          <w:szCs w:val="28"/>
        </w:rPr>
        <w:t>Методика визначення сум надлишково отриманого або недоотриманого доходу від здійснення ліцензованої діяльності з розподілу електричної енергії</w:t>
      </w:r>
      <w:r>
        <w:rPr>
          <w:sz w:val="28"/>
          <w:szCs w:val="28"/>
        </w:rPr>
        <w:t>;</w:t>
      </w:r>
    </w:p>
    <w:p w:rsidR="00FE2413" w:rsidRDefault="000A7168" w:rsidP="003471EF">
      <w:pPr>
        <w:pStyle w:val="a9"/>
        <w:ind w:left="0" w:firstLine="851"/>
        <w:jc w:val="both"/>
        <w:rPr>
          <w:sz w:val="28"/>
          <w:szCs w:val="28"/>
        </w:rPr>
      </w:pPr>
      <w:r w:rsidRPr="000A7168">
        <w:rPr>
          <w:sz w:val="28"/>
          <w:szCs w:val="28"/>
        </w:rPr>
        <w:t>Методика</w:t>
      </w:r>
      <w:r>
        <w:rPr>
          <w:sz w:val="28"/>
          <w:szCs w:val="28"/>
        </w:rPr>
        <w:t xml:space="preserve"> </w:t>
      </w:r>
      <w:r w:rsidRPr="000A7168">
        <w:rPr>
          <w:sz w:val="28"/>
          <w:szCs w:val="28"/>
        </w:rPr>
        <w:t>визначення сум надлишково отриманого або недоотриманого доходу постачальників універсальних послуг від здійснення ліцензованої діяльності з постачання електричної енергії споживачу</w:t>
      </w:r>
      <w:r>
        <w:rPr>
          <w:sz w:val="28"/>
          <w:szCs w:val="28"/>
        </w:rPr>
        <w:t>;</w:t>
      </w:r>
    </w:p>
    <w:p w:rsidR="000A7168" w:rsidRDefault="000A7168" w:rsidP="003471EF">
      <w:pPr>
        <w:pStyle w:val="a9"/>
        <w:ind w:left="0" w:firstLine="851"/>
        <w:jc w:val="both"/>
        <w:rPr>
          <w:sz w:val="28"/>
          <w:szCs w:val="28"/>
        </w:rPr>
      </w:pPr>
      <w:r w:rsidRPr="000A7168">
        <w:rPr>
          <w:sz w:val="28"/>
          <w:szCs w:val="28"/>
        </w:rPr>
        <w:t>Методика</w:t>
      </w:r>
      <w:r>
        <w:rPr>
          <w:sz w:val="28"/>
          <w:szCs w:val="28"/>
        </w:rPr>
        <w:t xml:space="preserve"> </w:t>
      </w:r>
      <w:r w:rsidRPr="000A7168">
        <w:rPr>
          <w:sz w:val="28"/>
          <w:szCs w:val="28"/>
        </w:rPr>
        <w:t>визначення сум надлишково отриманого або недоотриманого доходу оператора системи передачі від здійснення діяльності з передачі електричної енергії</w:t>
      </w:r>
      <w:r>
        <w:rPr>
          <w:sz w:val="28"/>
          <w:szCs w:val="28"/>
        </w:rPr>
        <w:t>;</w:t>
      </w:r>
    </w:p>
    <w:p w:rsidR="000A7168" w:rsidRDefault="000A7168" w:rsidP="003471EF">
      <w:pPr>
        <w:pStyle w:val="a9"/>
        <w:ind w:left="0" w:firstLine="851"/>
        <w:jc w:val="both"/>
        <w:rPr>
          <w:sz w:val="28"/>
          <w:szCs w:val="28"/>
        </w:rPr>
      </w:pPr>
      <w:r w:rsidRPr="000A7168">
        <w:rPr>
          <w:sz w:val="28"/>
          <w:szCs w:val="28"/>
        </w:rPr>
        <w:t>Методика</w:t>
      </w:r>
      <w:r>
        <w:rPr>
          <w:sz w:val="28"/>
          <w:szCs w:val="28"/>
        </w:rPr>
        <w:t xml:space="preserve"> </w:t>
      </w:r>
      <w:r w:rsidRPr="000A7168">
        <w:rPr>
          <w:sz w:val="28"/>
          <w:szCs w:val="28"/>
        </w:rPr>
        <w:t xml:space="preserve">визначення сум надлишково отриманого або недоотриманого </w:t>
      </w:r>
      <w:r w:rsidRPr="000A7168">
        <w:rPr>
          <w:sz w:val="28"/>
          <w:szCs w:val="28"/>
        </w:rPr>
        <w:lastRenderedPageBreak/>
        <w:t>доходу оператора системи передачі від здійснення діяльності з диспетчерського (</w:t>
      </w:r>
      <w:proofErr w:type="spellStart"/>
      <w:r w:rsidRPr="000A7168">
        <w:rPr>
          <w:sz w:val="28"/>
          <w:szCs w:val="28"/>
        </w:rPr>
        <w:t>оперативно</w:t>
      </w:r>
      <w:proofErr w:type="spellEnd"/>
      <w:r w:rsidRPr="000A7168">
        <w:rPr>
          <w:sz w:val="28"/>
          <w:szCs w:val="28"/>
        </w:rPr>
        <w:t>-технологічного) управління</w:t>
      </w:r>
      <w:r>
        <w:rPr>
          <w:sz w:val="28"/>
          <w:szCs w:val="28"/>
        </w:rPr>
        <w:t>;</w:t>
      </w:r>
    </w:p>
    <w:p w:rsidR="00FE2413" w:rsidRPr="00626F21" w:rsidRDefault="000A7168" w:rsidP="003471EF">
      <w:pPr>
        <w:pStyle w:val="a9"/>
        <w:ind w:left="0" w:firstLine="851"/>
        <w:jc w:val="both"/>
        <w:rPr>
          <w:sz w:val="28"/>
          <w:szCs w:val="28"/>
        </w:rPr>
      </w:pPr>
      <w:r w:rsidRPr="00626F21">
        <w:rPr>
          <w:sz w:val="28"/>
          <w:szCs w:val="28"/>
        </w:rPr>
        <w:t>Методика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 які перейшли на стимулююче регулювання</w:t>
      </w:r>
      <w:r w:rsidR="00934037" w:rsidRPr="00626F21">
        <w:rPr>
          <w:sz w:val="28"/>
          <w:szCs w:val="28"/>
        </w:rPr>
        <w:t xml:space="preserve"> (далі </w:t>
      </w:r>
      <w:r w:rsidR="00090A5B">
        <w:rPr>
          <w:sz w:val="28"/>
          <w:szCs w:val="28"/>
        </w:rPr>
        <w:t xml:space="preserve">разом </w:t>
      </w:r>
      <w:r w:rsidR="00934037" w:rsidRPr="00626F21">
        <w:rPr>
          <w:sz w:val="28"/>
          <w:szCs w:val="28"/>
        </w:rPr>
        <w:t>– Методики).</w:t>
      </w:r>
    </w:p>
    <w:p w:rsidR="00641944" w:rsidRPr="00641944" w:rsidRDefault="00641944" w:rsidP="00E725A2">
      <w:pPr>
        <w:ind w:firstLine="851"/>
        <w:jc w:val="both"/>
        <w:rPr>
          <w:sz w:val="28"/>
          <w:szCs w:val="28"/>
        </w:rPr>
      </w:pPr>
      <w:r w:rsidRPr="00641944">
        <w:rPr>
          <w:sz w:val="28"/>
          <w:szCs w:val="28"/>
        </w:rPr>
        <w:t>Законами України «Про ринок електричної енергії» та «Про Національну комісію, що здійснює державне регулювання у сферах енергетики та комунальних послуг» передбачено створення сприятливих умов для залучення інвестицій у розвиток ринків у сферах енергетики та комунальних послуг, а також, що методики (порядки) встановлення (формування) тарифів, зокрема на послуги з розподілу електричної енергії, мають забезпечувати справедливі норми прибутку на інвестований капітал, а також короткострокові та довгострокові стимули операторам систем розподілу до підвищення ефективності.</w:t>
      </w:r>
    </w:p>
    <w:p w:rsidR="00641944" w:rsidRPr="00641944" w:rsidRDefault="00641944" w:rsidP="00E725A2">
      <w:pPr>
        <w:ind w:firstLine="851"/>
        <w:jc w:val="both"/>
        <w:rPr>
          <w:sz w:val="28"/>
          <w:szCs w:val="28"/>
        </w:rPr>
      </w:pPr>
      <w:r w:rsidRPr="00641944">
        <w:rPr>
          <w:sz w:val="28"/>
          <w:szCs w:val="28"/>
        </w:rPr>
        <w:t>На виконання частини шостої статті 7 Закону протягом 2020 року відбулось реформування системи цінового регулювання, а саме удосконалено нормативну базу НКРЕКП (прийняту у 2013 році), яка дозволила запровадити стимулююче регулювання для операторів систем розподілу.</w:t>
      </w:r>
    </w:p>
    <w:p w:rsidR="00641944" w:rsidRPr="00641944" w:rsidRDefault="00641944" w:rsidP="00E725A2">
      <w:pPr>
        <w:ind w:firstLine="851"/>
        <w:jc w:val="both"/>
        <w:rPr>
          <w:sz w:val="28"/>
          <w:szCs w:val="28"/>
        </w:rPr>
      </w:pPr>
      <w:r w:rsidRPr="00641944">
        <w:rPr>
          <w:sz w:val="28"/>
          <w:szCs w:val="28"/>
        </w:rPr>
        <w:t>Згідно з вимогами Закону прийнято постанову НКРЕКП від 05.10.2018 №</w:t>
      </w:r>
      <w:r w:rsidR="001A50F6">
        <w:rPr>
          <w:sz w:val="28"/>
          <w:szCs w:val="28"/>
        </w:rPr>
        <w:t> </w:t>
      </w:r>
      <w:r w:rsidRPr="00641944">
        <w:rPr>
          <w:sz w:val="28"/>
          <w:szCs w:val="28"/>
        </w:rPr>
        <w:t>1175 «Про затвердження Порядку встановлення (формування) тарифів на послуги з розподілу електричної енергії» (далі – Порядок №</w:t>
      </w:r>
      <w:r w:rsidR="001A50F6">
        <w:rPr>
          <w:sz w:val="28"/>
          <w:szCs w:val="28"/>
        </w:rPr>
        <w:t> </w:t>
      </w:r>
      <w:r w:rsidRPr="00641944">
        <w:rPr>
          <w:sz w:val="28"/>
          <w:szCs w:val="28"/>
        </w:rPr>
        <w:t>1175), якою визначено процедуру встановлення тарифів на послуги з розподілу електричної енергії за умови переходу на стимулююче тарифоутворення (проте на перехідний період дозволяється застосування методології «витрати +»).</w:t>
      </w:r>
    </w:p>
    <w:p w:rsidR="00641944" w:rsidRPr="00641944" w:rsidRDefault="00641944" w:rsidP="00E725A2">
      <w:pPr>
        <w:ind w:firstLine="851"/>
        <w:jc w:val="both"/>
        <w:rPr>
          <w:sz w:val="28"/>
          <w:szCs w:val="28"/>
        </w:rPr>
      </w:pPr>
      <w:r w:rsidRPr="00641944">
        <w:rPr>
          <w:sz w:val="28"/>
          <w:szCs w:val="28"/>
        </w:rPr>
        <w:t>Слід зазначити, що постановою НКРЕ від 23.07.2013 №</w:t>
      </w:r>
      <w:r w:rsidR="001A50F6">
        <w:rPr>
          <w:sz w:val="28"/>
          <w:szCs w:val="28"/>
        </w:rPr>
        <w:t> </w:t>
      </w:r>
      <w:r w:rsidRPr="00641944">
        <w:rPr>
          <w:sz w:val="28"/>
          <w:szCs w:val="28"/>
        </w:rPr>
        <w:t xml:space="preserve">1009 «Про встановлення параметрів регулювання, що мають довгостроковий строк дії, для цілей стимулюючого регулювання» </w:t>
      </w:r>
      <w:r w:rsidR="001A50F6" w:rsidRPr="00641944">
        <w:rPr>
          <w:sz w:val="28"/>
          <w:szCs w:val="28"/>
        </w:rPr>
        <w:t>(далі – Постанова №</w:t>
      </w:r>
      <w:r w:rsidR="001A50F6">
        <w:rPr>
          <w:sz w:val="28"/>
          <w:szCs w:val="28"/>
        </w:rPr>
        <w:t> </w:t>
      </w:r>
      <w:r w:rsidR="001A50F6" w:rsidRPr="00641944">
        <w:rPr>
          <w:sz w:val="28"/>
          <w:szCs w:val="28"/>
        </w:rPr>
        <w:t>1009)</w:t>
      </w:r>
      <w:r w:rsidR="001A50F6">
        <w:rPr>
          <w:sz w:val="28"/>
          <w:szCs w:val="28"/>
        </w:rPr>
        <w:t xml:space="preserve"> </w:t>
      </w:r>
      <w:r w:rsidRPr="00641944">
        <w:rPr>
          <w:sz w:val="28"/>
          <w:szCs w:val="28"/>
        </w:rPr>
        <w:t>установлено на перший регуляторний період (3 роки) параметри регулювання, що мають довгостроковий строк дії, для цілей стимулюючого регулювання для суб’єктів господарювання, які мають ліцензію на провадження господарської діяльності з розподілу електричної енергії.</w:t>
      </w:r>
    </w:p>
    <w:p w:rsidR="00641944" w:rsidRPr="00641944" w:rsidRDefault="00641944" w:rsidP="00E725A2">
      <w:pPr>
        <w:ind w:firstLine="851"/>
        <w:jc w:val="both"/>
        <w:rPr>
          <w:sz w:val="28"/>
          <w:szCs w:val="28"/>
        </w:rPr>
      </w:pPr>
      <w:r w:rsidRPr="00641944">
        <w:rPr>
          <w:sz w:val="28"/>
          <w:szCs w:val="28"/>
        </w:rPr>
        <w:t>Протягом 2021 та 2022 років стимулююче регулювання запроваджено для 26 операторів систем розподілу (із загальної кількості 32), яке передбачає тарифоутворення на основі довгострокового регулювання тарифів, спрямованого на залучення інвестицій для будівництва та модернізації інфраструктури електричних мереж та стимулювання ефективності витрат електророзподільних компаній.</w:t>
      </w:r>
    </w:p>
    <w:p w:rsidR="00641944" w:rsidRPr="00641944" w:rsidRDefault="00641944" w:rsidP="00E725A2">
      <w:pPr>
        <w:ind w:firstLine="851"/>
        <w:jc w:val="both"/>
        <w:rPr>
          <w:sz w:val="28"/>
          <w:szCs w:val="28"/>
        </w:rPr>
      </w:pPr>
      <w:r w:rsidRPr="00641944">
        <w:rPr>
          <w:sz w:val="28"/>
          <w:szCs w:val="28"/>
        </w:rPr>
        <w:t>Впровадження стимулюючого регулювання мало на меті надання компаніям дієвих стимулів до скорочення неефективних операційних витрат та покращення, відповідно до взятих операторами систем розподілу зобов’язань, зокрема таких показників діяльності:</w:t>
      </w:r>
    </w:p>
    <w:p w:rsidR="00641944" w:rsidRPr="00465D40" w:rsidRDefault="00641944" w:rsidP="003471EF">
      <w:pPr>
        <w:pStyle w:val="a9"/>
        <w:ind w:left="0" w:firstLine="851"/>
        <w:jc w:val="both"/>
        <w:rPr>
          <w:sz w:val="28"/>
          <w:szCs w:val="28"/>
        </w:rPr>
      </w:pPr>
      <w:r w:rsidRPr="00465D40">
        <w:rPr>
          <w:sz w:val="28"/>
          <w:szCs w:val="28"/>
        </w:rPr>
        <w:t xml:space="preserve">збільшення обсягу інвестицій в розбудову, модернізацію та реконструкцію електричних мереж, із відповідними позитивними наслідками для технічного стану розподільних електричних мереж, безпеки та якості послуг </w:t>
      </w:r>
      <w:r w:rsidRPr="00465D40">
        <w:rPr>
          <w:sz w:val="28"/>
          <w:szCs w:val="28"/>
        </w:rPr>
        <w:lastRenderedPageBreak/>
        <w:t>з розподілу електричної енергії;</w:t>
      </w:r>
    </w:p>
    <w:p w:rsidR="00641944" w:rsidRPr="00641944" w:rsidRDefault="00641944" w:rsidP="003471EF">
      <w:pPr>
        <w:pStyle w:val="a9"/>
        <w:ind w:left="0" w:firstLine="851"/>
        <w:jc w:val="both"/>
        <w:rPr>
          <w:sz w:val="28"/>
          <w:szCs w:val="28"/>
        </w:rPr>
      </w:pPr>
      <w:r w:rsidRPr="00641944">
        <w:rPr>
          <w:sz w:val="28"/>
          <w:szCs w:val="28"/>
        </w:rPr>
        <w:t>зниження величини технологічних витрат електричної енергії в електромережах, покращення показників енергоефективності;</w:t>
      </w:r>
    </w:p>
    <w:p w:rsidR="00641944" w:rsidRPr="00641944" w:rsidRDefault="00641944" w:rsidP="003471EF">
      <w:pPr>
        <w:pStyle w:val="a9"/>
        <w:ind w:left="0" w:firstLine="851"/>
        <w:jc w:val="both"/>
        <w:rPr>
          <w:sz w:val="28"/>
          <w:szCs w:val="28"/>
        </w:rPr>
      </w:pPr>
      <w:r w:rsidRPr="00641944">
        <w:rPr>
          <w:sz w:val="28"/>
          <w:szCs w:val="28"/>
        </w:rPr>
        <w:t>поліпшення показників якості послуг з постачання електричної енергії SAIDI, SAIFI (скорочення кількості та тривалості відключень);</w:t>
      </w:r>
    </w:p>
    <w:p w:rsidR="00641944" w:rsidRPr="00641944" w:rsidRDefault="00641944" w:rsidP="003471EF">
      <w:pPr>
        <w:pStyle w:val="a9"/>
        <w:ind w:left="0" w:firstLine="851"/>
        <w:jc w:val="both"/>
        <w:rPr>
          <w:sz w:val="28"/>
          <w:szCs w:val="28"/>
        </w:rPr>
      </w:pPr>
      <w:r w:rsidRPr="00641944">
        <w:rPr>
          <w:sz w:val="28"/>
          <w:szCs w:val="28"/>
        </w:rPr>
        <w:t>скорочення терміну приєднання та плати за приєднання і, як наслідок, підвищення інвестиційної привабливості для іноземних інвесторів;</w:t>
      </w:r>
    </w:p>
    <w:p w:rsidR="00641944" w:rsidRPr="00641944" w:rsidRDefault="00641944" w:rsidP="003471EF">
      <w:pPr>
        <w:pStyle w:val="a9"/>
        <w:ind w:left="0" w:firstLine="851"/>
        <w:jc w:val="both"/>
        <w:rPr>
          <w:sz w:val="28"/>
          <w:szCs w:val="28"/>
        </w:rPr>
      </w:pPr>
      <w:r w:rsidRPr="00641944">
        <w:rPr>
          <w:sz w:val="28"/>
          <w:szCs w:val="28"/>
        </w:rPr>
        <w:t>збільшення обсягів електрифікації територій для населення, яке отримало земельні ділянки для забудови;</w:t>
      </w:r>
    </w:p>
    <w:p w:rsidR="00641944" w:rsidRPr="00626F21" w:rsidRDefault="00641944" w:rsidP="003471EF">
      <w:pPr>
        <w:pStyle w:val="a9"/>
        <w:ind w:left="0" w:firstLine="851"/>
        <w:jc w:val="both"/>
        <w:rPr>
          <w:sz w:val="28"/>
          <w:szCs w:val="28"/>
        </w:rPr>
      </w:pPr>
      <w:r w:rsidRPr="00626F21">
        <w:rPr>
          <w:sz w:val="28"/>
          <w:szCs w:val="28"/>
        </w:rPr>
        <w:t>підвищення ефективності діяльності операторів систем розподілу.</w:t>
      </w:r>
    </w:p>
    <w:p w:rsidR="00641944" w:rsidRPr="00641944" w:rsidRDefault="00641944" w:rsidP="00E725A2">
      <w:pPr>
        <w:ind w:firstLine="851"/>
        <w:jc w:val="both"/>
        <w:rPr>
          <w:sz w:val="28"/>
          <w:szCs w:val="28"/>
        </w:rPr>
      </w:pPr>
      <w:r w:rsidRPr="00641944">
        <w:rPr>
          <w:sz w:val="28"/>
          <w:szCs w:val="28"/>
        </w:rPr>
        <w:t>Разом з цим, з 24.02.2022 Указом Президента України по всій території України введено воєнний стан. Так, у зв’язку зі ситуацією в країні (активної фази війни з агресором, ведення бойових дій в окремих регіонах України, а також вимушеного переселення громадян із особливо небезпечних регіонів країни) спостерігається, у тому числі на територіях, які перебувають під контролем України, суттєве зниження розрахунків за електричну енергію, зокрема за послуги з розподілу електричної енергії, що ставить під загрозу належне функціонування операторів систем розподілу.</w:t>
      </w:r>
    </w:p>
    <w:p w:rsidR="00641944" w:rsidRPr="00641944" w:rsidRDefault="00641944" w:rsidP="00E725A2">
      <w:pPr>
        <w:ind w:firstLine="851"/>
        <w:jc w:val="both"/>
        <w:rPr>
          <w:sz w:val="28"/>
          <w:szCs w:val="28"/>
        </w:rPr>
      </w:pPr>
      <w:r w:rsidRPr="00641944">
        <w:rPr>
          <w:sz w:val="28"/>
          <w:szCs w:val="28"/>
        </w:rPr>
        <w:t>На сьогодні до НКРЕКП надходять чисельні звернення щодо необхідності удосконалення окремих положень нормативно-правої бази НКРЕКП з питання впровадження стимулюючого регулювання для операторів систем розподілу у зв’язку із особливим періодом діяльності операторів систем розподілу, яким встановлено тарифи на послуги з розподілу електричної енергії із застосуванням стимулюючого регулювання.</w:t>
      </w:r>
    </w:p>
    <w:p w:rsidR="00641944" w:rsidRPr="00641944" w:rsidRDefault="00641944" w:rsidP="00E725A2">
      <w:pPr>
        <w:ind w:firstLine="851"/>
        <w:jc w:val="both"/>
        <w:rPr>
          <w:sz w:val="28"/>
          <w:szCs w:val="28"/>
        </w:rPr>
      </w:pPr>
      <w:r w:rsidRPr="00641944">
        <w:rPr>
          <w:sz w:val="28"/>
          <w:szCs w:val="28"/>
        </w:rPr>
        <w:t>Для винайдення шляхів врегулювання проблемних питань діяльності операторів систем розподілу в умовах воєнного часу було проведено відповідні наради із залученням заінтересованих представників, здійснено моніторинг та аналіз діяльності компаній, опрацьовано питання стосовно можливості виконання компаніями інвестиційних програм, дотримання показників якості та інших показників в цей складний час.</w:t>
      </w:r>
    </w:p>
    <w:p w:rsidR="00641944" w:rsidRPr="00641944" w:rsidRDefault="00641944" w:rsidP="00E725A2">
      <w:pPr>
        <w:ind w:firstLine="851"/>
        <w:jc w:val="both"/>
        <w:rPr>
          <w:sz w:val="28"/>
          <w:szCs w:val="28"/>
        </w:rPr>
      </w:pPr>
      <w:r w:rsidRPr="00641944">
        <w:rPr>
          <w:sz w:val="28"/>
          <w:szCs w:val="28"/>
        </w:rPr>
        <w:t>На сьогодні є необхідність удосконалення методології тарифоутворення для операторів систем розподілу, яким встановлено тарифи на послуги з розподілу електричної енергії із застосуванням стимулюючого регулювання, а саме актуалізації та розширенні переліку окремих положень Порядку № 1175 та Постанови № 1009, згідно з якими, зокрема:</w:t>
      </w:r>
    </w:p>
    <w:p w:rsidR="00641944" w:rsidRPr="00641944" w:rsidRDefault="00641944" w:rsidP="003471EF">
      <w:pPr>
        <w:pStyle w:val="a9"/>
        <w:ind w:left="0" w:firstLine="851"/>
        <w:jc w:val="both"/>
        <w:rPr>
          <w:sz w:val="28"/>
          <w:szCs w:val="28"/>
        </w:rPr>
      </w:pPr>
      <w:r w:rsidRPr="00641944">
        <w:rPr>
          <w:sz w:val="28"/>
          <w:szCs w:val="28"/>
        </w:rPr>
        <w:t>подовжити перший регуляторний період до 4 років (зараз 3 роки);</w:t>
      </w:r>
    </w:p>
    <w:p w:rsidR="00641944" w:rsidRPr="00641944" w:rsidRDefault="00641944" w:rsidP="003471EF">
      <w:pPr>
        <w:pStyle w:val="a9"/>
        <w:ind w:left="0" w:firstLine="851"/>
        <w:jc w:val="both"/>
        <w:rPr>
          <w:sz w:val="28"/>
          <w:szCs w:val="28"/>
        </w:rPr>
      </w:pPr>
      <w:r w:rsidRPr="00641944">
        <w:rPr>
          <w:sz w:val="28"/>
          <w:szCs w:val="28"/>
        </w:rPr>
        <w:t xml:space="preserve">передбачити на 2023 рік регуляторну норму доходу на нову базу активів на нульовому рівні (зараз 16,74%); </w:t>
      </w:r>
    </w:p>
    <w:p w:rsidR="00641944" w:rsidRPr="00641944" w:rsidRDefault="00641944" w:rsidP="003471EF">
      <w:pPr>
        <w:pStyle w:val="a9"/>
        <w:ind w:left="0" w:firstLine="851"/>
        <w:jc w:val="both"/>
        <w:rPr>
          <w:sz w:val="28"/>
          <w:szCs w:val="28"/>
        </w:rPr>
      </w:pPr>
      <w:r w:rsidRPr="00641944">
        <w:rPr>
          <w:sz w:val="28"/>
          <w:szCs w:val="28"/>
        </w:rPr>
        <w:t>подовжити до 14 років строк досягнення цільового показника якості послуг (зараз 13-й рік);</w:t>
      </w:r>
    </w:p>
    <w:p w:rsidR="00641944" w:rsidRPr="00641944" w:rsidRDefault="00641944" w:rsidP="003471EF">
      <w:pPr>
        <w:pStyle w:val="a9"/>
        <w:ind w:left="0" w:firstLine="851"/>
        <w:jc w:val="both"/>
        <w:rPr>
          <w:sz w:val="28"/>
          <w:szCs w:val="28"/>
        </w:rPr>
      </w:pPr>
      <w:r w:rsidRPr="00641944">
        <w:rPr>
          <w:sz w:val="28"/>
          <w:szCs w:val="28"/>
        </w:rPr>
        <w:t>застосувати деякі показники ефективності для 2023 року на нульовому рівні;</w:t>
      </w:r>
    </w:p>
    <w:p w:rsidR="00641944" w:rsidRPr="00641944" w:rsidRDefault="0035344B" w:rsidP="003471EF">
      <w:pPr>
        <w:pStyle w:val="a9"/>
        <w:ind w:left="0" w:firstLine="851"/>
        <w:jc w:val="both"/>
        <w:rPr>
          <w:sz w:val="28"/>
          <w:szCs w:val="28"/>
        </w:rPr>
      </w:pPr>
      <w:r w:rsidRPr="00641944">
        <w:rPr>
          <w:sz w:val="28"/>
          <w:szCs w:val="28"/>
        </w:rPr>
        <w:t xml:space="preserve">не застосовувати </w:t>
      </w:r>
      <w:r w:rsidR="00641944" w:rsidRPr="00641944">
        <w:rPr>
          <w:sz w:val="28"/>
          <w:szCs w:val="28"/>
        </w:rPr>
        <w:t>параметр коригування необхідного доходу за недотримання цільового показника якості послуг для міської (сільської) території для 2022 року;</w:t>
      </w:r>
    </w:p>
    <w:p w:rsidR="00641944" w:rsidRPr="00641944" w:rsidRDefault="0035344B" w:rsidP="003471EF">
      <w:pPr>
        <w:pStyle w:val="a9"/>
        <w:ind w:left="0" w:firstLine="851"/>
        <w:jc w:val="both"/>
        <w:rPr>
          <w:sz w:val="28"/>
          <w:szCs w:val="28"/>
        </w:rPr>
      </w:pPr>
      <w:r w:rsidRPr="00641944">
        <w:rPr>
          <w:sz w:val="28"/>
          <w:szCs w:val="28"/>
        </w:rPr>
        <w:lastRenderedPageBreak/>
        <w:t xml:space="preserve">не застосовувати </w:t>
      </w:r>
      <w:r w:rsidR="00641944" w:rsidRPr="00641944">
        <w:rPr>
          <w:sz w:val="28"/>
          <w:szCs w:val="28"/>
        </w:rPr>
        <w:t>при здійсненні коригування необхідного доходу фактичний індекс цін виробників промислової продукції (використовувати лише прогнозний індекс цін);</w:t>
      </w:r>
    </w:p>
    <w:p w:rsidR="00641944" w:rsidRPr="00626F21" w:rsidRDefault="007E0A62" w:rsidP="003471EF">
      <w:pPr>
        <w:pStyle w:val="a9"/>
        <w:ind w:left="0" w:firstLine="851"/>
        <w:jc w:val="both"/>
        <w:rPr>
          <w:sz w:val="28"/>
          <w:szCs w:val="28"/>
        </w:rPr>
      </w:pPr>
      <w:r w:rsidRPr="00626F21">
        <w:rPr>
          <w:sz w:val="28"/>
          <w:szCs w:val="28"/>
        </w:rPr>
        <w:t xml:space="preserve">не застосовувати </w:t>
      </w:r>
      <w:r w:rsidR="00641944" w:rsidRPr="00626F21">
        <w:rPr>
          <w:sz w:val="28"/>
          <w:szCs w:val="28"/>
        </w:rPr>
        <w:t>коригування необхідного доходу за недотримання цільового показника якості послуг для міської/сільської території для 2022 року.</w:t>
      </w:r>
    </w:p>
    <w:p w:rsidR="00641944" w:rsidRPr="00641944" w:rsidRDefault="00641944" w:rsidP="00E725A2">
      <w:pPr>
        <w:ind w:firstLine="851"/>
        <w:jc w:val="both"/>
        <w:rPr>
          <w:sz w:val="28"/>
          <w:szCs w:val="28"/>
        </w:rPr>
      </w:pPr>
      <w:r w:rsidRPr="00641944">
        <w:rPr>
          <w:sz w:val="28"/>
          <w:szCs w:val="28"/>
        </w:rPr>
        <w:t xml:space="preserve">Крім того, змінами до Порядку № 1175 передбачається удосконалення положень в частині встановлення тарифів для операторів систем розподілу із застосуванням методології «витрати +», зокрема подовжено до 19 років строк досягнення цільового показника якості послуг (зараз строк досягнення – 18-й рік), </w:t>
      </w:r>
      <w:r w:rsidR="003B4903">
        <w:rPr>
          <w:sz w:val="28"/>
          <w:szCs w:val="28"/>
        </w:rPr>
        <w:t xml:space="preserve">а також передбачається </w:t>
      </w:r>
      <w:r w:rsidR="003B4903" w:rsidRPr="00641944">
        <w:rPr>
          <w:sz w:val="28"/>
          <w:szCs w:val="28"/>
        </w:rPr>
        <w:t xml:space="preserve">не застосовувати </w:t>
      </w:r>
      <w:r w:rsidRPr="00641944">
        <w:rPr>
          <w:sz w:val="28"/>
          <w:szCs w:val="28"/>
        </w:rPr>
        <w:t>коригування необхідного доходу за недотримання цільового показника якості послуг для 2022 року.</w:t>
      </w:r>
    </w:p>
    <w:p w:rsidR="00641944" w:rsidRDefault="00641944" w:rsidP="00E725A2">
      <w:pPr>
        <w:ind w:firstLine="851"/>
        <w:jc w:val="both"/>
        <w:rPr>
          <w:sz w:val="28"/>
          <w:szCs w:val="28"/>
        </w:rPr>
      </w:pPr>
      <w:r w:rsidRPr="00641944">
        <w:rPr>
          <w:sz w:val="28"/>
          <w:szCs w:val="28"/>
        </w:rPr>
        <w:t>З огляду на зазначене НКРЕКП розроблено проєкт постанови «Про затвердження Змін до деяких постанов НКРЕ та НКРЕКП»</w:t>
      </w:r>
      <w:r w:rsidR="00F53C77">
        <w:rPr>
          <w:sz w:val="28"/>
          <w:szCs w:val="28"/>
        </w:rPr>
        <w:t>, який схвалено на засіданні, що проводилось у формі відкритого слухання 18.10.2022.</w:t>
      </w:r>
    </w:p>
    <w:p w:rsidR="00D454A2" w:rsidRPr="0085062D" w:rsidRDefault="00F46893" w:rsidP="00E725A2">
      <w:pPr>
        <w:ind w:firstLine="851"/>
        <w:jc w:val="both"/>
        <w:rPr>
          <w:sz w:val="24"/>
        </w:rPr>
      </w:pPr>
      <w:r w:rsidRPr="00F46893">
        <w:rPr>
          <w:sz w:val="28"/>
          <w:szCs w:val="28"/>
        </w:rPr>
        <w:t xml:space="preserve">Таким чином, з метою приведення </w:t>
      </w:r>
      <w:r w:rsidRPr="00832E58">
        <w:rPr>
          <w:sz w:val="28"/>
          <w:szCs w:val="28"/>
        </w:rPr>
        <w:t>Порядку контролю</w:t>
      </w:r>
      <w:r w:rsidR="00506BA2">
        <w:rPr>
          <w:sz w:val="28"/>
          <w:szCs w:val="28"/>
        </w:rPr>
        <w:t xml:space="preserve">, а саме </w:t>
      </w:r>
      <w:proofErr w:type="spellStart"/>
      <w:r w:rsidR="00506BA2">
        <w:rPr>
          <w:sz w:val="28"/>
          <w:szCs w:val="28"/>
        </w:rPr>
        <w:t>Методик</w:t>
      </w:r>
      <w:proofErr w:type="spellEnd"/>
      <w:r w:rsidR="00334933">
        <w:rPr>
          <w:sz w:val="28"/>
          <w:szCs w:val="28"/>
        </w:rPr>
        <w:t>,</w:t>
      </w:r>
      <w:r w:rsidRPr="00832E58">
        <w:rPr>
          <w:sz w:val="28"/>
          <w:szCs w:val="28"/>
        </w:rPr>
        <w:t xml:space="preserve"> </w:t>
      </w:r>
      <w:r w:rsidR="00BF152E" w:rsidRPr="00832E58">
        <w:rPr>
          <w:sz w:val="28"/>
          <w:szCs w:val="28"/>
        </w:rPr>
        <w:t xml:space="preserve">у відповідність </w:t>
      </w:r>
      <w:r w:rsidRPr="00832E58">
        <w:rPr>
          <w:sz w:val="28"/>
          <w:szCs w:val="28"/>
        </w:rPr>
        <w:t xml:space="preserve">до </w:t>
      </w:r>
      <w:r w:rsidR="00334933">
        <w:rPr>
          <w:sz w:val="28"/>
          <w:szCs w:val="28"/>
        </w:rPr>
        <w:t>вказаних змін</w:t>
      </w:r>
      <w:r w:rsidR="00626F21">
        <w:rPr>
          <w:sz w:val="28"/>
          <w:szCs w:val="28"/>
        </w:rPr>
        <w:t xml:space="preserve"> </w:t>
      </w:r>
      <w:r w:rsidRPr="00832E58">
        <w:rPr>
          <w:sz w:val="28"/>
          <w:szCs w:val="28"/>
        </w:rPr>
        <w:t xml:space="preserve">розроблено проєкт рішення </w:t>
      </w:r>
      <w:r w:rsidR="00334933">
        <w:rPr>
          <w:sz w:val="28"/>
          <w:szCs w:val="28"/>
        </w:rPr>
        <w:t xml:space="preserve">НКРЕКП </w:t>
      </w:r>
      <w:r w:rsidRPr="00832E58">
        <w:rPr>
          <w:sz w:val="28"/>
          <w:szCs w:val="28"/>
        </w:rPr>
        <w:t>«</w:t>
      </w:r>
      <w:r w:rsidR="00832E58" w:rsidRPr="00832E58">
        <w:rPr>
          <w:rStyle w:val="rvts23"/>
          <w:color w:val="000000"/>
          <w:sz w:val="28"/>
          <w:szCs w:val="28"/>
        </w:rPr>
        <w:t xml:space="preserve">Про затвердження Змін </w:t>
      </w:r>
      <w:r w:rsidR="00832E58" w:rsidRPr="00832E58">
        <w:rPr>
          <w:sz w:val="28"/>
          <w:szCs w:val="28"/>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832E58">
        <w:rPr>
          <w:sz w:val="28"/>
          <w:szCs w:val="28"/>
        </w:rPr>
        <w:t xml:space="preserve">» (далі </w:t>
      </w:r>
      <w:r w:rsidRPr="00832E58">
        <w:rPr>
          <w:w w:val="90"/>
          <w:sz w:val="28"/>
          <w:szCs w:val="28"/>
        </w:rPr>
        <w:t xml:space="preserve">— </w:t>
      </w:r>
      <w:r w:rsidRPr="00832E58">
        <w:rPr>
          <w:sz w:val="28"/>
          <w:szCs w:val="28"/>
        </w:rPr>
        <w:t xml:space="preserve">Проєкт постанови), яким буде </w:t>
      </w:r>
      <w:r w:rsidR="00334933">
        <w:rPr>
          <w:sz w:val="28"/>
          <w:szCs w:val="28"/>
        </w:rPr>
        <w:t>приведено</w:t>
      </w:r>
      <w:r w:rsidRPr="00832E58">
        <w:rPr>
          <w:sz w:val="28"/>
          <w:szCs w:val="28"/>
        </w:rPr>
        <w:t xml:space="preserve"> Порядок контролю</w:t>
      </w:r>
      <w:r w:rsidR="00334933">
        <w:rPr>
          <w:sz w:val="28"/>
          <w:szCs w:val="28"/>
        </w:rPr>
        <w:t xml:space="preserve"> у відповідність до проєкту постанови </w:t>
      </w:r>
      <w:r w:rsidR="00334933" w:rsidRPr="00641944">
        <w:rPr>
          <w:sz w:val="28"/>
          <w:szCs w:val="28"/>
        </w:rPr>
        <w:t>«Про затвердження Змін до деяких постанов НКРЕ та НКРЕКП»</w:t>
      </w:r>
      <w:r w:rsidR="00334933">
        <w:rPr>
          <w:sz w:val="28"/>
          <w:szCs w:val="28"/>
        </w:rPr>
        <w:t>.</w:t>
      </w:r>
    </w:p>
    <w:p w:rsidR="00D454A2" w:rsidRPr="000A23CF" w:rsidRDefault="00D454A2" w:rsidP="00E725A2">
      <w:pPr>
        <w:pStyle w:val="a3"/>
        <w:spacing w:before="70"/>
        <w:ind w:firstLine="851"/>
      </w:pPr>
      <w:r w:rsidRPr="000A23CF">
        <w:t>Основні групи (підгрупи), на які проблеми справляють вплив:</w:t>
      </w:r>
    </w:p>
    <w:p w:rsidR="00D454A2" w:rsidRPr="000A23CF" w:rsidRDefault="00D454A2" w:rsidP="00D454A2">
      <w:pPr>
        <w:pStyle w:val="a3"/>
        <w:spacing w:before="5"/>
        <w:jc w:val="center"/>
        <w:rPr>
          <w:sz w:val="29"/>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3679"/>
        <w:gridCol w:w="4744"/>
        <w:gridCol w:w="1199"/>
      </w:tblGrid>
      <w:tr w:rsidR="00D454A2" w:rsidRPr="000A23CF" w:rsidTr="00085CA5">
        <w:trPr>
          <w:trHeight w:val="258"/>
        </w:trPr>
        <w:tc>
          <w:tcPr>
            <w:tcW w:w="1912" w:type="pct"/>
            <w:vAlign w:val="center"/>
          </w:tcPr>
          <w:p w:rsidR="00D454A2" w:rsidRPr="000A23CF" w:rsidRDefault="00D454A2" w:rsidP="003032D0">
            <w:pPr>
              <w:pStyle w:val="TableParagraph"/>
              <w:spacing w:line="239" w:lineRule="exact"/>
              <w:ind w:left="948"/>
              <w:rPr>
                <w:b/>
                <w:sz w:val="24"/>
                <w:szCs w:val="24"/>
              </w:rPr>
            </w:pPr>
            <w:r w:rsidRPr="000A23CF">
              <w:rPr>
                <w:b/>
                <w:sz w:val="24"/>
                <w:szCs w:val="24"/>
              </w:rPr>
              <w:t>Групи (підгрупи)</w:t>
            </w:r>
          </w:p>
        </w:tc>
        <w:tc>
          <w:tcPr>
            <w:tcW w:w="2465" w:type="pct"/>
            <w:vAlign w:val="center"/>
          </w:tcPr>
          <w:p w:rsidR="00D454A2" w:rsidRPr="000A23CF" w:rsidRDefault="00D454A2" w:rsidP="003032D0">
            <w:pPr>
              <w:pStyle w:val="TableParagraph"/>
              <w:spacing w:before="5" w:line="234" w:lineRule="exact"/>
              <w:ind w:left="2088" w:right="2060"/>
              <w:jc w:val="center"/>
              <w:rPr>
                <w:b/>
                <w:sz w:val="24"/>
                <w:szCs w:val="24"/>
              </w:rPr>
            </w:pPr>
            <w:r w:rsidRPr="000A23CF">
              <w:rPr>
                <w:b/>
                <w:sz w:val="24"/>
                <w:szCs w:val="24"/>
              </w:rPr>
              <w:t>Так</w:t>
            </w:r>
          </w:p>
        </w:tc>
        <w:tc>
          <w:tcPr>
            <w:tcW w:w="623" w:type="pct"/>
            <w:vAlign w:val="center"/>
          </w:tcPr>
          <w:p w:rsidR="00D454A2" w:rsidRPr="000A23CF" w:rsidRDefault="00D454A2" w:rsidP="003032D0">
            <w:pPr>
              <w:pStyle w:val="TableParagraph"/>
              <w:spacing w:before="5"/>
              <w:ind w:left="176"/>
              <w:jc w:val="center"/>
              <w:rPr>
                <w:b/>
                <w:sz w:val="24"/>
                <w:szCs w:val="24"/>
              </w:rPr>
            </w:pPr>
            <w:proofErr w:type="spellStart"/>
            <w:r w:rsidRPr="000A23CF">
              <w:rPr>
                <w:b/>
                <w:sz w:val="24"/>
                <w:szCs w:val="24"/>
              </w:rPr>
              <w:t>Hi</w:t>
            </w:r>
            <w:proofErr w:type="spellEnd"/>
          </w:p>
        </w:tc>
      </w:tr>
      <w:tr w:rsidR="00D454A2" w:rsidRPr="000A23CF" w:rsidTr="00085CA5">
        <w:trPr>
          <w:trHeight w:val="527"/>
        </w:trPr>
        <w:tc>
          <w:tcPr>
            <w:tcW w:w="1912" w:type="pct"/>
            <w:vAlign w:val="center"/>
          </w:tcPr>
          <w:p w:rsidR="00D454A2" w:rsidRPr="000A23CF" w:rsidRDefault="00D454A2" w:rsidP="003032D0">
            <w:pPr>
              <w:pStyle w:val="TableParagraph"/>
              <w:spacing w:line="230" w:lineRule="exact"/>
              <w:rPr>
                <w:sz w:val="24"/>
                <w:szCs w:val="24"/>
              </w:rPr>
            </w:pPr>
            <w:r w:rsidRPr="000A23CF">
              <w:rPr>
                <w:sz w:val="24"/>
                <w:szCs w:val="24"/>
              </w:rPr>
              <w:t>Громадяни</w:t>
            </w:r>
          </w:p>
        </w:tc>
        <w:tc>
          <w:tcPr>
            <w:tcW w:w="2465" w:type="pct"/>
            <w:vAlign w:val="center"/>
          </w:tcPr>
          <w:p w:rsidR="00D454A2" w:rsidRPr="000A23CF" w:rsidRDefault="00D454A2" w:rsidP="003032D0">
            <w:pPr>
              <w:pStyle w:val="TableParagraph"/>
              <w:ind w:left="0"/>
              <w:rPr>
                <w:sz w:val="24"/>
                <w:szCs w:val="24"/>
              </w:rPr>
            </w:pPr>
          </w:p>
        </w:tc>
        <w:tc>
          <w:tcPr>
            <w:tcW w:w="623" w:type="pct"/>
            <w:vAlign w:val="center"/>
          </w:tcPr>
          <w:p w:rsidR="00D454A2" w:rsidRPr="000A23CF" w:rsidRDefault="00D454A2" w:rsidP="003032D0">
            <w:pPr>
              <w:pStyle w:val="TableParagraph"/>
              <w:spacing w:line="225" w:lineRule="exact"/>
              <w:ind w:left="176"/>
              <w:jc w:val="center"/>
              <w:rPr>
                <w:sz w:val="24"/>
                <w:szCs w:val="24"/>
              </w:rPr>
            </w:pPr>
            <w:proofErr w:type="spellStart"/>
            <w:r w:rsidRPr="000A23CF">
              <w:rPr>
                <w:sz w:val="24"/>
                <w:szCs w:val="24"/>
              </w:rPr>
              <w:t>Hi</w:t>
            </w:r>
            <w:proofErr w:type="spellEnd"/>
          </w:p>
        </w:tc>
      </w:tr>
      <w:tr w:rsidR="00D454A2" w:rsidRPr="000A23CF" w:rsidTr="00FD4F2C">
        <w:trPr>
          <w:trHeight w:val="184"/>
        </w:trPr>
        <w:tc>
          <w:tcPr>
            <w:tcW w:w="1912" w:type="pct"/>
            <w:vAlign w:val="center"/>
          </w:tcPr>
          <w:p w:rsidR="00D454A2" w:rsidRPr="000A23CF" w:rsidRDefault="00D454A2" w:rsidP="003032D0">
            <w:pPr>
              <w:pStyle w:val="TableParagraph"/>
              <w:spacing w:line="218" w:lineRule="exact"/>
              <w:ind w:left="124"/>
              <w:rPr>
                <w:sz w:val="24"/>
                <w:szCs w:val="24"/>
              </w:rPr>
            </w:pPr>
            <w:r w:rsidRPr="000A23CF">
              <w:rPr>
                <w:w w:val="105"/>
                <w:sz w:val="24"/>
                <w:szCs w:val="24"/>
              </w:rPr>
              <w:t>Держава</w:t>
            </w:r>
          </w:p>
        </w:tc>
        <w:tc>
          <w:tcPr>
            <w:tcW w:w="2465" w:type="pct"/>
            <w:vAlign w:val="center"/>
          </w:tcPr>
          <w:p w:rsidR="00D454A2" w:rsidRPr="000A23CF" w:rsidRDefault="00D454A2" w:rsidP="003032D0">
            <w:pPr>
              <w:pStyle w:val="TableParagraph"/>
              <w:spacing w:line="220" w:lineRule="exact"/>
              <w:ind w:left="119"/>
              <w:jc w:val="both"/>
              <w:rPr>
                <w:sz w:val="24"/>
                <w:szCs w:val="24"/>
              </w:rPr>
            </w:pPr>
            <w:r w:rsidRPr="000A23CF">
              <w:rPr>
                <w:sz w:val="24"/>
                <w:szCs w:val="24"/>
              </w:rPr>
              <w:t>Так</w:t>
            </w:r>
          </w:p>
          <w:p w:rsidR="00D454A2" w:rsidRPr="004A15B9" w:rsidRDefault="004A15B9" w:rsidP="00CA443B">
            <w:pPr>
              <w:pStyle w:val="TableParagraph"/>
              <w:spacing w:before="1"/>
              <w:ind w:left="121" w:right="95" w:firstLine="1"/>
              <w:jc w:val="both"/>
              <w:rPr>
                <w:sz w:val="24"/>
                <w:szCs w:val="24"/>
              </w:rPr>
            </w:pPr>
            <w:r>
              <w:rPr>
                <w:sz w:val="24"/>
                <w:szCs w:val="24"/>
              </w:rPr>
              <w:t xml:space="preserve">Відсутність можливості здійснення НКРЕКП державного контролю </w:t>
            </w:r>
            <w:r w:rsidR="003A238F">
              <w:rPr>
                <w:sz w:val="24"/>
                <w:szCs w:val="24"/>
              </w:rPr>
              <w:t xml:space="preserve">у відповідності до </w:t>
            </w:r>
            <w:r w:rsidR="00EF2433" w:rsidRPr="00EF2433">
              <w:rPr>
                <w:sz w:val="24"/>
                <w:szCs w:val="24"/>
              </w:rPr>
              <w:t>Порядку № 1175</w:t>
            </w:r>
            <w:r w:rsidR="00EF2433">
              <w:rPr>
                <w:sz w:val="24"/>
                <w:szCs w:val="24"/>
              </w:rPr>
              <w:t xml:space="preserve"> та </w:t>
            </w:r>
            <w:r w:rsidR="00EF2433" w:rsidRPr="00EF2433">
              <w:rPr>
                <w:sz w:val="24"/>
                <w:szCs w:val="24"/>
              </w:rPr>
              <w:t>Постанови № 1009</w:t>
            </w:r>
          </w:p>
        </w:tc>
        <w:tc>
          <w:tcPr>
            <w:tcW w:w="623" w:type="pct"/>
            <w:vAlign w:val="center"/>
          </w:tcPr>
          <w:p w:rsidR="00D454A2" w:rsidRPr="000A23CF" w:rsidRDefault="00D454A2" w:rsidP="003032D0">
            <w:pPr>
              <w:pStyle w:val="TableParagraph"/>
              <w:ind w:left="176"/>
              <w:jc w:val="center"/>
              <w:rPr>
                <w:sz w:val="24"/>
                <w:szCs w:val="24"/>
              </w:rPr>
            </w:pPr>
          </w:p>
        </w:tc>
      </w:tr>
      <w:tr w:rsidR="00085CA5" w:rsidRPr="000A23CF" w:rsidTr="00085CA5">
        <w:trPr>
          <w:trHeight w:val="1511"/>
        </w:trPr>
        <w:tc>
          <w:tcPr>
            <w:tcW w:w="1912" w:type="pct"/>
            <w:vAlign w:val="center"/>
          </w:tcPr>
          <w:p w:rsidR="00085CA5" w:rsidRPr="000A23CF" w:rsidRDefault="00085CA5" w:rsidP="00832E58">
            <w:pPr>
              <w:pStyle w:val="TableParagraph"/>
              <w:spacing w:line="230" w:lineRule="exact"/>
              <w:ind w:left="118"/>
              <w:rPr>
                <w:sz w:val="24"/>
                <w:szCs w:val="24"/>
              </w:rPr>
            </w:pPr>
            <w:proofErr w:type="spellStart"/>
            <w:r w:rsidRPr="000A23CF">
              <w:rPr>
                <w:sz w:val="24"/>
                <w:szCs w:val="24"/>
              </w:rPr>
              <w:t>Cy</w:t>
            </w:r>
            <w:r>
              <w:rPr>
                <w:sz w:val="24"/>
                <w:szCs w:val="24"/>
              </w:rPr>
              <w:t>б</w:t>
            </w:r>
            <w:r w:rsidRPr="000A23CF">
              <w:rPr>
                <w:sz w:val="24"/>
                <w:szCs w:val="24"/>
              </w:rPr>
              <w:t>’єкти</w:t>
            </w:r>
            <w:proofErr w:type="spellEnd"/>
            <w:r w:rsidRPr="000A23CF">
              <w:rPr>
                <w:sz w:val="24"/>
                <w:szCs w:val="24"/>
              </w:rPr>
              <w:t xml:space="preserve"> господарювання</w:t>
            </w:r>
          </w:p>
        </w:tc>
        <w:tc>
          <w:tcPr>
            <w:tcW w:w="2465" w:type="pct"/>
            <w:vAlign w:val="center"/>
          </w:tcPr>
          <w:p w:rsidR="00085CA5" w:rsidRPr="000A23CF" w:rsidRDefault="00085CA5" w:rsidP="003032D0">
            <w:pPr>
              <w:pStyle w:val="TableParagraph"/>
              <w:spacing w:line="223" w:lineRule="exact"/>
              <w:ind w:left="119"/>
              <w:jc w:val="both"/>
              <w:rPr>
                <w:sz w:val="24"/>
                <w:szCs w:val="24"/>
              </w:rPr>
            </w:pPr>
            <w:r w:rsidRPr="000A23CF">
              <w:rPr>
                <w:sz w:val="24"/>
                <w:szCs w:val="24"/>
              </w:rPr>
              <w:t>Так</w:t>
            </w:r>
          </w:p>
          <w:p w:rsidR="00085CA5" w:rsidRPr="000A23CF" w:rsidRDefault="00934037" w:rsidP="00CA443B">
            <w:pPr>
              <w:pStyle w:val="TableParagraph"/>
              <w:tabs>
                <w:tab w:val="left" w:pos="1869"/>
                <w:tab w:val="left" w:pos="2947"/>
              </w:tabs>
              <w:ind w:left="118" w:right="76" w:firstLine="3"/>
              <w:jc w:val="both"/>
              <w:rPr>
                <w:sz w:val="24"/>
                <w:szCs w:val="24"/>
              </w:rPr>
            </w:pPr>
            <w:r>
              <w:rPr>
                <w:sz w:val="24"/>
                <w:szCs w:val="24"/>
              </w:rPr>
              <w:t xml:space="preserve">При проведенні відповідних перевірок, положення </w:t>
            </w:r>
            <w:proofErr w:type="spellStart"/>
            <w:r>
              <w:rPr>
                <w:sz w:val="24"/>
                <w:szCs w:val="24"/>
              </w:rPr>
              <w:t>Методик</w:t>
            </w:r>
            <w:proofErr w:type="spellEnd"/>
            <w:r>
              <w:rPr>
                <w:sz w:val="24"/>
                <w:szCs w:val="24"/>
              </w:rPr>
              <w:t xml:space="preserve"> не будуть відповідати положенням </w:t>
            </w:r>
            <w:r w:rsidRPr="00EF2433">
              <w:rPr>
                <w:sz w:val="24"/>
                <w:szCs w:val="24"/>
              </w:rPr>
              <w:t>Порядку № 1175</w:t>
            </w:r>
            <w:r>
              <w:rPr>
                <w:sz w:val="24"/>
                <w:szCs w:val="24"/>
              </w:rPr>
              <w:t xml:space="preserve"> та </w:t>
            </w:r>
            <w:r w:rsidRPr="00EF2433">
              <w:rPr>
                <w:sz w:val="24"/>
                <w:szCs w:val="24"/>
              </w:rPr>
              <w:t>Постанови № 1009</w:t>
            </w:r>
          </w:p>
        </w:tc>
        <w:tc>
          <w:tcPr>
            <w:tcW w:w="623" w:type="pct"/>
            <w:vAlign w:val="center"/>
          </w:tcPr>
          <w:p w:rsidR="00085CA5" w:rsidRPr="000A23CF" w:rsidRDefault="00085CA5" w:rsidP="003032D0">
            <w:pPr>
              <w:pStyle w:val="TableParagraph"/>
              <w:ind w:left="0"/>
              <w:rPr>
                <w:sz w:val="24"/>
                <w:szCs w:val="24"/>
              </w:rPr>
            </w:pPr>
          </w:p>
        </w:tc>
      </w:tr>
    </w:tbl>
    <w:p w:rsidR="00E528D5" w:rsidRPr="00085CA5" w:rsidRDefault="00E528D5" w:rsidP="00E528D5">
      <w:pPr>
        <w:pStyle w:val="a9"/>
        <w:tabs>
          <w:tab w:val="left" w:pos="445"/>
        </w:tabs>
        <w:spacing w:line="228" w:lineRule="auto"/>
        <w:ind w:left="237" w:right="136" w:firstLine="0"/>
        <w:jc w:val="both"/>
        <w:rPr>
          <w:sz w:val="28"/>
        </w:rPr>
      </w:pPr>
    </w:p>
    <w:p w:rsidR="00D454A2" w:rsidRPr="000A23CF" w:rsidRDefault="00D454A2" w:rsidP="00D454A2">
      <w:pPr>
        <w:pStyle w:val="a9"/>
        <w:numPr>
          <w:ilvl w:val="1"/>
          <w:numId w:val="3"/>
        </w:numPr>
        <w:tabs>
          <w:tab w:val="left" w:pos="3726"/>
        </w:tabs>
        <w:ind w:hanging="363"/>
        <w:jc w:val="center"/>
        <w:rPr>
          <w:b/>
          <w:sz w:val="28"/>
        </w:rPr>
      </w:pPr>
      <w:r w:rsidRPr="000A23CF">
        <w:rPr>
          <w:b/>
          <w:w w:val="105"/>
          <w:sz w:val="28"/>
        </w:rPr>
        <w:t>Цілі державного</w:t>
      </w:r>
      <w:r w:rsidRPr="000A23CF">
        <w:rPr>
          <w:b/>
          <w:spacing w:val="26"/>
          <w:w w:val="105"/>
          <w:sz w:val="28"/>
        </w:rPr>
        <w:t xml:space="preserve"> </w:t>
      </w:r>
      <w:r w:rsidRPr="000A23CF">
        <w:rPr>
          <w:b/>
          <w:w w:val="105"/>
          <w:sz w:val="28"/>
        </w:rPr>
        <w:t>регулювання</w:t>
      </w:r>
    </w:p>
    <w:p w:rsidR="00D454A2" w:rsidRPr="000A23CF" w:rsidRDefault="00D454A2" w:rsidP="00D454A2">
      <w:pPr>
        <w:pStyle w:val="a3"/>
        <w:spacing w:before="6"/>
        <w:rPr>
          <w:sz w:val="27"/>
        </w:rPr>
      </w:pPr>
    </w:p>
    <w:p w:rsidR="009C53F2" w:rsidRDefault="00D454A2" w:rsidP="000A31AE">
      <w:pPr>
        <w:pStyle w:val="a3"/>
        <w:ind w:left="235" w:right="137" w:firstLine="706"/>
        <w:jc w:val="both"/>
      </w:pPr>
      <w:r w:rsidRPr="00CA443B">
        <w:t xml:space="preserve">Основною метою прийняття </w:t>
      </w:r>
      <w:proofErr w:type="spellStart"/>
      <w:r w:rsidRPr="00CA443B">
        <w:t>про</w:t>
      </w:r>
      <w:r w:rsidR="00772360" w:rsidRPr="00CA443B">
        <w:t>є</w:t>
      </w:r>
      <w:r w:rsidRPr="00CA443B">
        <w:t>кту</w:t>
      </w:r>
      <w:proofErr w:type="spellEnd"/>
      <w:r w:rsidRPr="00CA443B">
        <w:t xml:space="preserve"> регуляторного </w:t>
      </w:r>
      <w:proofErr w:type="spellStart"/>
      <w:r w:rsidRPr="00CA443B">
        <w:t>акта</w:t>
      </w:r>
      <w:proofErr w:type="spellEnd"/>
      <w:r w:rsidRPr="00CA443B">
        <w:t xml:space="preserve"> є </w:t>
      </w:r>
      <w:r w:rsidR="00552DB5">
        <w:t xml:space="preserve">забезпечення </w:t>
      </w:r>
      <w:r w:rsidR="000A31AE" w:rsidRPr="000A31AE">
        <w:t>здійсн</w:t>
      </w:r>
      <w:r w:rsidR="000A31AE">
        <w:t>ення</w:t>
      </w:r>
      <w:r w:rsidR="000A31AE" w:rsidRPr="000A31AE">
        <w:t xml:space="preserve"> </w:t>
      </w:r>
      <w:r w:rsidR="000A31AE">
        <w:t xml:space="preserve">НКРЕКП </w:t>
      </w:r>
      <w:r w:rsidR="000A31AE" w:rsidRPr="000A31AE">
        <w:t>державн</w:t>
      </w:r>
      <w:r w:rsidR="000A31AE">
        <w:t>ого</w:t>
      </w:r>
      <w:r w:rsidR="000A31AE" w:rsidRPr="000A31AE">
        <w:t xml:space="preserve"> контрол</w:t>
      </w:r>
      <w:r w:rsidR="000A31AE">
        <w:t>ю</w:t>
      </w:r>
      <w:r w:rsidR="000A31AE" w:rsidRPr="000A31AE">
        <w:t xml:space="preserve"> за дотриманням суб’єктами господарювання, що провадять діяльність</w:t>
      </w:r>
      <w:r w:rsidR="000A31AE">
        <w:t xml:space="preserve"> </w:t>
      </w:r>
      <w:r w:rsidR="003D07CA">
        <w:t xml:space="preserve">у сфері електроенергетики, </w:t>
      </w:r>
      <w:r w:rsidR="000A31AE" w:rsidRPr="000A31AE">
        <w:t>законодавства та</w:t>
      </w:r>
      <w:r w:rsidR="003D07CA">
        <w:t xml:space="preserve"> відповідних</w:t>
      </w:r>
      <w:r w:rsidR="000A31AE" w:rsidRPr="000A31AE">
        <w:t xml:space="preserve"> </w:t>
      </w:r>
      <w:r w:rsidR="003D07CA">
        <w:t>л</w:t>
      </w:r>
      <w:r w:rsidR="000A31AE">
        <w:t xml:space="preserve">іцензійних умов </w:t>
      </w:r>
      <w:r w:rsidR="000A31AE" w:rsidRPr="000A31AE">
        <w:t xml:space="preserve">шляхом проведення планових та позапланових виїзних, а також невиїзних перевірок відповідно до </w:t>
      </w:r>
      <w:r w:rsidR="000A31AE">
        <w:t>П</w:t>
      </w:r>
      <w:r w:rsidR="000A31AE" w:rsidRPr="000A31AE">
        <w:t>орядк</w:t>
      </w:r>
      <w:r w:rsidR="000A31AE">
        <w:t>у</w:t>
      </w:r>
      <w:r w:rsidR="000A31AE" w:rsidRPr="000A31AE">
        <w:t xml:space="preserve"> контролю</w:t>
      </w:r>
      <w:r w:rsidR="003D07CA">
        <w:t xml:space="preserve"> та з урахуванням положень </w:t>
      </w:r>
      <w:r w:rsidR="003D07CA" w:rsidRPr="003D07CA">
        <w:t>Порядку № 1175 та Постанови № 1009</w:t>
      </w:r>
      <w:r w:rsidR="004E735D">
        <w:t>.</w:t>
      </w:r>
    </w:p>
    <w:p w:rsidR="0085062D" w:rsidRPr="000A23CF" w:rsidRDefault="0085062D" w:rsidP="00D454A2">
      <w:pPr>
        <w:pStyle w:val="a3"/>
        <w:spacing w:before="9"/>
        <w:rPr>
          <w:sz w:val="27"/>
        </w:rPr>
      </w:pPr>
    </w:p>
    <w:p w:rsidR="00D454A2" w:rsidRPr="0005234D" w:rsidRDefault="00D454A2" w:rsidP="00E97C1A">
      <w:pPr>
        <w:pStyle w:val="a9"/>
        <w:numPr>
          <w:ilvl w:val="1"/>
          <w:numId w:val="3"/>
        </w:numPr>
        <w:tabs>
          <w:tab w:val="left" w:pos="1245"/>
        </w:tabs>
        <w:spacing w:before="1"/>
        <w:ind w:left="1244" w:firstLine="0"/>
        <w:jc w:val="center"/>
        <w:rPr>
          <w:b/>
          <w:sz w:val="28"/>
        </w:rPr>
      </w:pPr>
      <w:r w:rsidRPr="0005234D">
        <w:rPr>
          <w:b/>
          <w:w w:val="105"/>
          <w:sz w:val="28"/>
        </w:rPr>
        <w:lastRenderedPageBreak/>
        <w:t>Визначення та оцінка</w:t>
      </w:r>
      <w:r w:rsidR="0005234D">
        <w:rPr>
          <w:b/>
          <w:w w:val="105"/>
          <w:sz w:val="28"/>
        </w:rPr>
        <w:t xml:space="preserve"> </w:t>
      </w:r>
      <w:r w:rsidRPr="0005234D">
        <w:rPr>
          <w:b/>
          <w:w w:val="105"/>
          <w:sz w:val="28"/>
        </w:rPr>
        <w:t>альтернативних способів досягнення</w:t>
      </w:r>
      <w:r w:rsidRPr="0005234D">
        <w:rPr>
          <w:b/>
          <w:spacing w:val="8"/>
          <w:w w:val="105"/>
          <w:sz w:val="28"/>
        </w:rPr>
        <w:t xml:space="preserve"> </w:t>
      </w:r>
      <w:r w:rsidRPr="0005234D">
        <w:rPr>
          <w:b/>
          <w:w w:val="105"/>
          <w:sz w:val="28"/>
        </w:rPr>
        <w:t>цілей</w:t>
      </w:r>
    </w:p>
    <w:p w:rsidR="00D454A2" w:rsidRPr="000A23CF" w:rsidRDefault="00D454A2" w:rsidP="00D454A2">
      <w:pPr>
        <w:pStyle w:val="a3"/>
        <w:spacing w:before="5"/>
        <w:rPr>
          <w:sz w:val="27"/>
        </w:rPr>
      </w:pPr>
    </w:p>
    <w:p w:rsidR="00D454A2" w:rsidRPr="000A23CF" w:rsidRDefault="00D454A2" w:rsidP="00D454A2">
      <w:pPr>
        <w:pStyle w:val="a9"/>
        <w:numPr>
          <w:ilvl w:val="0"/>
          <w:numId w:val="2"/>
        </w:numPr>
        <w:tabs>
          <w:tab w:val="left" w:pos="1134"/>
        </w:tabs>
        <w:spacing w:before="1" w:after="16"/>
        <w:ind w:hanging="360"/>
        <w:rPr>
          <w:sz w:val="28"/>
        </w:rPr>
      </w:pPr>
      <w:r w:rsidRPr="000A23CF">
        <w:rPr>
          <w:sz w:val="28"/>
        </w:rPr>
        <w:t>Визначення альтернативних</w:t>
      </w:r>
      <w:r w:rsidRPr="000A23CF">
        <w:rPr>
          <w:spacing w:val="-46"/>
          <w:sz w:val="28"/>
        </w:rPr>
        <w:t xml:space="preserve"> </w:t>
      </w:r>
      <w:r w:rsidRPr="000A23CF">
        <w:rPr>
          <w:sz w:val="28"/>
        </w:rPr>
        <w:t>способів</w:t>
      </w:r>
    </w:p>
    <w:p w:rsidR="00D454A2" w:rsidRPr="0085062D" w:rsidRDefault="00D454A2" w:rsidP="00D454A2">
      <w:pPr>
        <w:pStyle w:val="a9"/>
        <w:tabs>
          <w:tab w:val="left" w:pos="1134"/>
        </w:tabs>
        <w:spacing w:before="1" w:after="16"/>
        <w:ind w:firstLine="0"/>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2400"/>
        <w:gridCol w:w="7222"/>
      </w:tblGrid>
      <w:tr w:rsidR="00D454A2" w:rsidRPr="00C70889" w:rsidTr="00DB24AA">
        <w:trPr>
          <w:trHeight w:val="263"/>
        </w:trPr>
        <w:tc>
          <w:tcPr>
            <w:tcW w:w="1247" w:type="pct"/>
          </w:tcPr>
          <w:p w:rsidR="00D454A2" w:rsidRPr="00C70889" w:rsidRDefault="00D454A2" w:rsidP="003032D0">
            <w:pPr>
              <w:jc w:val="center"/>
              <w:rPr>
                <w:b/>
                <w:sz w:val="24"/>
                <w:szCs w:val="24"/>
              </w:rPr>
            </w:pPr>
            <w:r w:rsidRPr="00C70889">
              <w:rPr>
                <w:b/>
                <w:sz w:val="24"/>
                <w:szCs w:val="24"/>
              </w:rPr>
              <w:t>Вид альтернативи</w:t>
            </w:r>
          </w:p>
        </w:tc>
        <w:tc>
          <w:tcPr>
            <w:tcW w:w="3753" w:type="pct"/>
          </w:tcPr>
          <w:p w:rsidR="00D454A2" w:rsidRPr="00C70889" w:rsidRDefault="00D454A2" w:rsidP="003032D0">
            <w:pPr>
              <w:jc w:val="center"/>
              <w:rPr>
                <w:b/>
                <w:sz w:val="24"/>
                <w:szCs w:val="24"/>
              </w:rPr>
            </w:pPr>
            <w:r w:rsidRPr="00C70889">
              <w:rPr>
                <w:b/>
                <w:sz w:val="24"/>
                <w:szCs w:val="24"/>
              </w:rPr>
              <w:t>Опис альтернативи</w:t>
            </w:r>
          </w:p>
        </w:tc>
      </w:tr>
      <w:tr w:rsidR="00D454A2" w:rsidRPr="00C70889" w:rsidTr="00DB24AA">
        <w:trPr>
          <w:trHeight w:val="468"/>
        </w:trPr>
        <w:tc>
          <w:tcPr>
            <w:tcW w:w="1247" w:type="pct"/>
          </w:tcPr>
          <w:p w:rsidR="00D454A2" w:rsidRPr="00C70889" w:rsidRDefault="00D454A2" w:rsidP="003032D0">
            <w:pPr>
              <w:rPr>
                <w:b/>
                <w:sz w:val="24"/>
                <w:szCs w:val="24"/>
              </w:rPr>
            </w:pPr>
            <w:r w:rsidRPr="00C70889">
              <w:rPr>
                <w:b/>
                <w:sz w:val="24"/>
                <w:szCs w:val="24"/>
              </w:rPr>
              <w:t>Альтернатива 1</w:t>
            </w:r>
          </w:p>
          <w:p w:rsidR="00D454A2" w:rsidRPr="00C70889" w:rsidRDefault="00D454A2" w:rsidP="003032D0">
            <w:pPr>
              <w:rPr>
                <w:sz w:val="24"/>
                <w:szCs w:val="24"/>
              </w:rPr>
            </w:pPr>
            <w:r w:rsidRPr="00C70889">
              <w:rPr>
                <w:sz w:val="24"/>
                <w:szCs w:val="24"/>
              </w:rPr>
              <w:t>Збереження чинного регулювання</w:t>
            </w:r>
          </w:p>
        </w:tc>
        <w:tc>
          <w:tcPr>
            <w:tcW w:w="3753" w:type="pct"/>
          </w:tcPr>
          <w:p w:rsidR="00D454A2" w:rsidRPr="00C70889" w:rsidRDefault="00D454A2">
            <w:pPr>
              <w:ind w:right="142"/>
              <w:jc w:val="both"/>
              <w:rPr>
                <w:sz w:val="24"/>
                <w:szCs w:val="24"/>
              </w:rPr>
            </w:pPr>
            <w:r w:rsidRPr="00C70889">
              <w:rPr>
                <w:sz w:val="24"/>
                <w:szCs w:val="24"/>
              </w:rPr>
              <w:t>Не</w:t>
            </w:r>
            <w:r w:rsidR="00220B35">
              <w:rPr>
                <w:sz w:val="24"/>
                <w:szCs w:val="24"/>
              </w:rPr>
              <w:t xml:space="preserve"> вносити жодних змін до Порядку контролю. Не </w:t>
            </w:r>
            <w:r w:rsidRPr="00C70889">
              <w:rPr>
                <w:sz w:val="24"/>
                <w:szCs w:val="24"/>
              </w:rPr>
              <w:t>забезпеч</w:t>
            </w:r>
            <w:r w:rsidR="00220B35">
              <w:rPr>
                <w:sz w:val="24"/>
                <w:szCs w:val="24"/>
              </w:rPr>
              <w:t>ить</w:t>
            </w:r>
            <w:r w:rsidRPr="00C70889">
              <w:rPr>
                <w:sz w:val="24"/>
                <w:szCs w:val="24"/>
              </w:rPr>
              <w:t xml:space="preserve"> </w:t>
            </w:r>
            <w:r w:rsidR="00614086" w:rsidRPr="00614086">
              <w:rPr>
                <w:sz w:val="24"/>
                <w:szCs w:val="24"/>
              </w:rPr>
              <w:t>можливість проведення перевірок ліцензіатів НКРЕКП</w:t>
            </w:r>
            <w:r w:rsidR="003471EF">
              <w:rPr>
                <w:sz w:val="24"/>
                <w:szCs w:val="24"/>
              </w:rPr>
              <w:t xml:space="preserve"> відповідно до положень </w:t>
            </w:r>
            <w:r w:rsidR="003471EF" w:rsidRPr="003471EF">
              <w:rPr>
                <w:sz w:val="24"/>
                <w:szCs w:val="24"/>
              </w:rPr>
              <w:t>Порядку № 1175 та Постанови № 1009</w:t>
            </w:r>
            <w:bookmarkStart w:id="0" w:name="_GoBack"/>
            <w:bookmarkEnd w:id="0"/>
          </w:p>
        </w:tc>
      </w:tr>
      <w:tr w:rsidR="00D454A2" w:rsidRPr="00C70889" w:rsidTr="00DB24AA">
        <w:trPr>
          <w:trHeight w:val="1252"/>
        </w:trPr>
        <w:tc>
          <w:tcPr>
            <w:tcW w:w="1247" w:type="pct"/>
          </w:tcPr>
          <w:p w:rsidR="00D454A2" w:rsidRPr="00C70889" w:rsidRDefault="00D454A2" w:rsidP="003032D0">
            <w:pPr>
              <w:rPr>
                <w:b/>
                <w:sz w:val="24"/>
                <w:szCs w:val="24"/>
              </w:rPr>
            </w:pPr>
            <w:r w:rsidRPr="00C70889">
              <w:rPr>
                <w:b/>
                <w:sz w:val="24"/>
                <w:szCs w:val="24"/>
              </w:rPr>
              <w:t xml:space="preserve">Альтернатива </w:t>
            </w:r>
            <w:r w:rsidR="0084657B">
              <w:rPr>
                <w:b/>
                <w:sz w:val="24"/>
                <w:szCs w:val="24"/>
              </w:rPr>
              <w:t>2</w:t>
            </w:r>
          </w:p>
          <w:p w:rsidR="00D454A2" w:rsidRDefault="00D454A2" w:rsidP="003032D0">
            <w:pPr>
              <w:rPr>
                <w:sz w:val="24"/>
                <w:szCs w:val="24"/>
              </w:rPr>
            </w:pPr>
            <w:r w:rsidRPr="00C70889">
              <w:rPr>
                <w:sz w:val="24"/>
                <w:szCs w:val="24"/>
              </w:rPr>
              <w:t xml:space="preserve">(обрана альтернатива) </w:t>
            </w:r>
          </w:p>
          <w:p w:rsidR="00D454A2" w:rsidRPr="00847546" w:rsidRDefault="00D454A2" w:rsidP="003032D0">
            <w:pPr>
              <w:rPr>
                <w:sz w:val="24"/>
                <w:szCs w:val="24"/>
              </w:rPr>
            </w:pPr>
          </w:p>
          <w:p w:rsidR="00D454A2" w:rsidRPr="00C70889" w:rsidRDefault="00847546" w:rsidP="003032D0">
            <w:pPr>
              <w:rPr>
                <w:sz w:val="24"/>
                <w:szCs w:val="24"/>
              </w:rPr>
            </w:pPr>
            <w:r w:rsidRPr="00847546">
              <w:rPr>
                <w:sz w:val="24"/>
                <w:szCs w:val="24"/>
              </w:rPr>
              <w:t xml:space="preserve">Внесення змін до чинного регуляторного </w:t>
            </w:r>
            <w:proofErr w:type="spellStart"/>
            <w:r w:rsidRPr="00847546">
              <w:rPr>
                <w:sz w:val="24"/>
                <w:szCs w:val="24"/>
              </w:rPr>
              <w:t>акта</w:t>
            </w:r>
            <w:proofErr w:type="spellEnd"/>
          </w:p>
        </w:tc>
        <w:tc>
          <w:tcPr>
            <w:tcW w:w="3753" w:type="pct"/>
          </w:tcPr>
          <w:p w:rsidR="00D454A2" w:rsidRPr="00C70889" w:rsidRDefault="00D454A2" w:rsidP="00C04D9F">
            <w:pPr>
              <w:ind w:right="142"/>
              <w:jc w:val="both"/>
              <w:rPr>
                <w:sz w:val="24"/>
                <w:szCs w:val="24"/>
              </w:rPr>
            </w:pPr>
            <w:r w:rsidRPr="00C70889">
              <w:rPr>
                <w:sz w:val="24"/>
                <w:szCs w:val="24"/>
              </w:rPr>
              <w:t xml:space="preserve">Прийняття </w:t>
            </w:r>
            <w:r w:rsidRPr="00832E58">
              <w:rPr>
                <w:sz w:val="24"/>
                <w:szCs w:val="24"/>
              </w:rPr>
              <w:t>постанови HKPEKП «</w:t>
            </w:r>
            <w:r w:rsidR="00832E58" w:rsidRPr="00832E58">
              <w:rPr>
                <w:rStyle w:val="rvts23"/>
                <w:color w:val="000000"/>
                <w:sz w:val="24"/>
                <w:szCs w:val="24"/>
              </w:rPr>
              <w:t xml:space="preserve">Про затвердження Змін </w:t>
            </w:r>
            <w:r w:rsidR="00832E58" w:rsidRPr="00832E58">
              <w:rPr>
                <w:sz w:val="24"/>
                <w:szCs w:val="24"/>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832E58">
              <w:rPr>
                <w:sz w:val="24"/>
                <w:szCs w:val="24"/>
              </w:rPr>
              <w:t xml:space="preserve">» </w:t>
            </w:r>
            <w:r w:rsidR="00780454" w:rsidRPr="00832E58">
              <w:rPr>
                <w:sz w:val="24"/>
                <w:szCs w:val="24"/>
              </w:rPr>
              <w:t xml:space="preserve">дозволить досягти </w:t>
            </w:r>
            <w:r w:rsidRPr="00832E58">
              <w:rPr>
                <w:sz w:val="24"/>
                <w:szCs w:val="24"/>
              </w:rPr>
              <w:t>ціл</w:t>
            </w:r>
            <w:r w:rsidR="00780454" w:rsidRPr="00832E58">
              <w:rPr>
                <w:sz w:val="24"/>
                <w:szCs w:val="24"/>
              </w:rPr>
              <w:t>ей</w:t>
            </w:r>
            <w:r w:rsidRPr="00832E58">
              <w:rPr>
                <w:sz w:val="24"/>
                <w:szCs w:val="24"/>
              </w:rPr>
              <w:t xml:space="preserve"> державного регулювання</w:t>
            </w:r>
          </w:p>
        </w:tc>
      </w:tr>
    </w:tbl>
    <w:p w:rsidR="0085062D" w:rsidRPr="00783BA9" w:rsidRDefault="0085062D" w:rsidP="00D454A2">
      <w:pPr>
        <w:pStyle w:val="a9"/>
        <w:tabs>
          <w:tab w:val="left" w:pos="1134"/>
        </w:tabs>
        <w:ind w:firstLine="0"/>
        <w:rPr>
          <w:sz w:val="28"/>
          <w:szCs w:val="28"/>
        </w:rPr>
      </w:pPr>
    </w:p>
    <w:p w:rsidR="00D454A2" w:rsidRPr="00783BA9" w:rsidRDefault="00D454A2" w:rsidP="00D454A2">
      <w:pPr>
        <w:pStyle w:val="a9"/>
        <w:numPr>
          <w:ilvl w:val="0"/>
          <w:numId w:val="2"/>
        </w:numPr>
        <w:tabs>
          <w:tab w:val="left" w:pos="1134"/>
        </w:tabs>
        <w:ind w:hanging="357"/>
        <w:rPr>
          <w:sz w:val="28"/>
          <w:szCs w:val="28"/>
        </w:rPr>
      </w:pPr>
      <w:r w:rsidRPr="00783BA9">
        <w:rPr>
          <w:sz w:val="28"/>
          <w:szCs w:val="28"/>
        </w:rPr>
        <w:t>Оцінка вибраних альтернативних способів досягнення</w:t>
      </w:r>
      <w:r w:rsidRPr="00783BA9">
        <w:rPr>
          <w:spacing w:val="47"/>
          <w:sz w:val="28"/>
          <w:szCs w:val="28"/>
        </w:rPr>
        <w:t xml:space="preserve"> </w:t>
      </w:r>
      <w:r w:rsidRPr="00783BA9">
        <w:rPr>
          <w:sz w:val="28"/>
          <w:szCs w:val="28"/>
        </w:rPr>
        <w:t>цілей</w:t>
      </w:r>
    </w:p>
    <w:p w:rsidR="00D454A2" w:rsidRPr="00783BA9" w:rsidRDefault="00D454A2" w:rsidP="00D454A2">
      <w:pPr>
        <w:pStyle w:val="a3"/>
        <w:spacing w:before="10"/>
      </w:pPr>
    </w:p>
    <w:p w:rsidR="00D454A2" w:rsidRPr="00783BA9" w:rsidRDefault="00D454A2" w:rsidP="00D454A2">
      <w:pPr>
        <w:pStyle w:val="a9"/>
        <w:numPr>
          <w:ilvl w:val="0"/>
          <w:numId w:val="1"/>
        </w:numPr>
        <w:tabs>
          <w:tab w:val="left" w:pos="1134"/>
        </w:tabs>
        <w:spacing w:before="1" w:after="16"/>
        <w:ind w:hanging="360"/>
        <w:rPr>
          <w:sz w:val="28"/>
          <w:szCs w:val="28"/>
        </w:rPr>
      </w:pPr>
      <w:r w:rsidRPr="00783BA9">
        <w:rPr>
          <w:sz w:val="28"/>
          <w:szCs w:val="28"/>
        </w:rPr>
        <w:t>Оцінка впливу на сферу інтересів</w:t>
      </w:r>
      <w:r w:rsidRPr="00783BA9">
        <w:rPr>
          <w:spacing w:val="59"/>
          <w:sz w:val="28"/>
          <w:szCs w:val="28"/>
        </w:rPr>
        <w:t xml:space="preserve"> </w:t>
      </w:r>
      <w:r w:rsidRPr="00783BA9">
        <w:rPr>
          <w:sz w:val="28"/>
          <w:szCs w:val="28"/>
        </w:rPr>
        <w:t>держави:</w:t>
      </w:r>
    </w:p>
    <w:p w:rsidR="00D454A2" w:rsidRPr="00783BA9" w:rsidRDefault="00D454A2" w:rsidP="00D454A2">
      <w:pPr>
        <w:pStyle w:val="a9"/>
        <w:tabs>
          <w:tab w:val="left" w:pos="1134"/>
        </w:tabs>
        <w:spacing w:before="1" w:after="16"/>
        <w:ind w:firstLine="0"/>
        <w:rPr>
          <w:sz w:val="28"/>
          <w:szCs w:val="28"/>
        </w:rPr>
      </w:pPr>
    </w:p>
    <w:tbl>
      <w:tblPr>
        <w:tblStyle w:val="TableNormal"/>
        <w:tblW w:w="5000" w:type="pct"/>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Look w:val="01E0" w:firstRow="1" w:lastRow="1" w:firstColumn="1" w:lastColumn="1" w:noHBand="0" w:noVBand="0"/>
      </w:tblPr>
      <w:tblGrid>
        <w:gridCol w:w="2473"/>
        <w:gridCol w:w="3831"/>
        <w:gridCol w:w="3318"/>
      </w:tblGrid>
      <w:tr w:rsidR="00D454A2" w:rsidRPr="00C70889" w:rsidTr="00DB24AA">
        <w:trPr>
          <w:trHeight w:val="253"/>
        </w:trPr>
        <w:tc>
          <w:tcPr>
            <w:tcW w:w="1285" w:type="pct"/>
            <w:vAlign w:val="center"/>
          </w:tcPr>
          <w:p w:rsidR="00D454A2" w:rsidRPr="00C70889" w:rsidRDefault="00D454A2" w:rsidP="003032D0">
            <w:pPr>
              <w:jc w:val="center"/>
              <w:rPr>
                <w:b/>
                <w:sz w:val="24"/>
              </w:rPr>
            </w:pPr>
            <w:r w:rsidRPr="00C70889">
              <w:rPr>
                <w:b/>
                <w:sz w:val="24"/>
              </w:rPr>
              <w:t>Вид альтернативи</w:t>
            </w:r>
          </w:p>
        </w:tc>
        <w:tc>
          <w:tcPr>
            <w:tcW w:w="1991" w:type="pct"/>
            <w:vAlign w:val="center"/>
          </w:tcPr>
          <w:p w:rsidR="00D454A2" w:rsidRPr="00C70889" w:rsidRDefault="00D454A2" w:rsidP="003032D0">
            <w:pPr>
              <w:jc w:val="center"/>
              <w:rPr>
                <w:b/>
                <w:sz w:val="24"/>
              </w:rPr>
            </w:pPr>
            <w:r w:rsidRPr="00C70889">
              <w:rPr>
                <w:b/>
                <w:sz w:val="24"/>
              </w:rPr>
              <w:t>Вигоди</w:t>
            </w:r>
          </w:p>
        </w:tc>
        <w:tc>
          <w:tcPr>
            <w:tcW w:w="1724" w:type="pct"/>
            <w:vAlign w:val="center"/>
          </w:tcPr>
          <w:p w:rsidR="00D454A2" w:rsidRPr="00C70889" w:rsidRDefault="00D454A2" w:rsidP="003032D0">
            <w:pPr>
              <w:jc w:val="center"/>
              <w:rPr>
                <w:b/>
                <w:sz w:val="24"/>
              </w:rPr>
            </w:pPr>
            <w:r w:rsidRPr="00C70889">
              <w:rPr>
                <w:b/>
                <w:sz w:val="24"/>
              </w:rPr>
              <w:t>Витрати</w:t>
            </w:r>
          </w:p>
        </w:tc>
      </w:tr>
      <w:tr w:rsidR="00D454A2" w:rsidRPr="00C70889" w:rsidTr="00DB24AA">
        <w:trPr>
          <w:trHeight w:val="1103"/>
        </w:trPr>
        <w:tc>
          <w:tcPr>
            <w:tcW w:w="1285" w:type="pct"/>
            <w:vAlign w:val="center"/>
          </w:tcPr>
          <w:p w:rsidR="00D454A2" w:rsidRDefault="00D454A2" w:rsidP="003032D0">
            <w:pPr>
              <w:jc w:val="both"/>
              <w:rPr>
                <w:b/>
                <w:sz w:val="24"/>
              </w:rPr>
            </w:pPr>
            <w:r w:rsidRPr="00C70889">
              <w:rPr>
                <w:b/>
                <w:sz w:val="24"/>
              </w:rPr>
              <w:t>Альтернатива 1</w:t>
            </w:r>
          </w:p>
          <w:p w:rsidR="00D454A2" w:rsidRPr="00C70889" w:rsidRDefault="00D454A2" w:rsidP="003032D0">
            <w:pPr>
              <w:jc w:val="both"/>
              <w:rPr>
                <w:sz w:val="24"/>
              </w:rPr>
            </w:pPr>
            <w:r w:rsidRPr="00C70889">
              <w:rPr>
                <w:sz w:val="24"/>
              </w:rPr>
              <w:t>Збереження чинного регулювання</w:t>
            </w:r>
          </w:p>
        </w:tc>
        <w:tc>
          <w:tcPr>
            <w:tcW w:w="1991" w:type="pct"/>
            <w:vAlign w:val="center"/>
          </w:tcPr>
          <w:p w:rsidR="00D454A2" w:rsidRPr="00C70889" w:rsidRDefault="00D454A2" w:rsidP="003032D0">
            <w:pPr>
              <w:jc w:val="both"/>
              <w:rPr>
                <w:sz w:val="24"/>
              </w:rPr>
            </w:pPr>
            <w:r w:rsidRPr="00C70889">
              <w:rPr>
                <w:sz w:val="24"/>
              </w:rPr>
              <w:t>Відсутні</w:t>
            </w:r>
          </w:p>
        </w:tc>
        <w:tc>
          <w:tcPr>
            <w:tcW w:w="1724" w:type="pct"/>
            <w:vAlign w:val="center"/>
          </w:tcPr>
          <w:p w:rsidR="00D454A2" w:rsidRPr="00BA6957" w:rsidRDefault="00F17A3C" w:rsidP="00C450FD">
            <w:pPr>
              <w:ind w:right="142"/>
              <w:jc w:val="both"/>
              <w:rPr>
                <w:sz w:val="24"/>
                <w:highlight w:val="yellow"/>
              </w:rPr>
            </w:pPr>
            <w:r w:rsidRPr="00F17A3C">
              <w:rPr>
                <w:sz w:val="24"/>
              </w:rPr>
              <w:t xml:space="preserve">Не забезпечить </w:t>
            </w:r>
            <w:r w:rsidR="001614E5">
              <w:rPr>
                <w:sz w:val="24"/>
              </w:rPr>
              <w:t xml:space="preserve">приведення </w:t>
            </w:r>
            <w:proofErr w:type="spellStart"/>
            <w:r w:rsidR="001614E5">
              <w:rPr>
                <w:sz w:val="24"/>
              </w:rPr>
              <w:t>Методик</w:t>
            </w:r>
            <w:proofErr w:type="spellEnd"/>
            <w:r w:rsidR="001614E5">
              <w:rPr>
                <w:sz w:val="24"/>
              </w:rPr>
              <w:t xml:space="preserve"> у відповідність до </w:t>
            </w:r>
            <w:r w:rsidR="001614E5" w:rsidRPr="001614E5">
              <w:rPr>
                <w:sz w:val="24"/>
              </w:rPr>
              <w:t>Порядку № 1175 та Постанови № 1009</w:t>
            </w:r>
            <w:r w:rsidR="001614E5">
              <w:rPr>
                <w:sz w:val="24"/>
              </w:rPr>
              <w:t>, а отже не забезпечить проведення перевірок у відповідність до чинного законодавства</w:t>
            </w:r>
          </w:p>
        </w:tc>
      </w:tr>
      <w:tr w:rsidR="00D454A2" w:rsidRPr="00C70889" w:rsidTr="00DB24AA">
        <w:trPr>
          <w:trHeight w:val="2010"/>
        </w:trPr>
        <w:tc>
          <w:tcPr>
            <w:tcW w:w="1285" w:type="pct"/>
            <w:vAlign w:val="center"/>
          </w:tcPr>
          <w:p w:rsidR="00D454A2" w:rsidRPr="00C70889" w:rsidRDefault="00D454A2" w:rsidP="003032D0">
            <w:pPr>
              <w:jc w:val="both"/>
              <w:rPr>
                <w:b/>
                <w:sz w:val="24"/>
              </w:rPr>
            </w:pPr>
            <w:r w:rsidRPr="00C70889">
              <w:rPr>
                <w:b/>
                <w:sz w:val="24"/>
              </w:rPr>
              <w:t xml:space="preserve">Альтернатива </w:t>
            </w:r>
            <w:r w:rsidR="00F6179F">
              <w:rPr>
                <w:b/>
                <w:sz w:val="24"/>
              </w:rPr>
              <w:t>2</w:t>
            </w:r>
          </w:p>
          <w:p w:rsidR="00D454A2" w:rsidRDefault="00D454A2" w:rsidP="003032D0">
            <w:pPr>
              <w:jc w:val="both"/>
              <w:rPr>
                <w:sz w:val="24"/>
              </w:rPr>
            </w:pPr>
            <w:r w:rsidRPr="00C70889">
              <w:rPr>
                <w:sz w:val="24"/>
              </w:rPr>
              <w:t xml:space="preserve">(обрана альтернатива) </w:t>
            </w:r>
          </w:p>
          <w:p w:rsidR="00D454A2" w:rsidRPr="000E7BA1" w:rsidRDefault="00D454A2" w:rsidP="003032D0">
            <w:pPr>
              <w:jc w:val="both"/>
              <w:rPr>
                <w:sz w:val="14"/>
              </w:rPr>
            </w:pPr>
          </w:p>
          <w:p w:rsidR="00D454A2" w:rsidRPr="00C70889" w:rsidRDefault="00847546" w:rsidP="003032D0">
            <w:pPr>
              <w:jc w:val="both"/>
              <w:rPr>
                <w:sz w:val="24"/>
              </w:rPr>
            </w:pPr>
            <w:r w:rsidRPr="00847546">
              <w:rPr>
                <w:sz w:val="24"/>
              </w:rPr>
              <w:t xml:space="preserve">Внесення змін до чинного регуляторного </w:t>
            </w:r>
            <w:proofErr w:type="spellStart"/>
            <w:r w:rsidRPr="00847546">
              <w:rPr>
                <w:sz w:val="24"/>
              </w:rPr>
              <w:t>акта</w:t>
            </w:r>
            <w:proofErr w:type="spellEnd"/>
          </w:p>
        </w:tc>
        <w:tc>
          <w:tcPr>
            <w:tcW w:w="1991" w:type="pct"/>
            <w:vAlign w:val="center"/>
          </w:tcPr>
          <w:p w:rsidR="00D454A2" w:rsidRPr="001900F3" w:rsidRDefault="00F17A3C" w:rsidP="000E4786">
            <w:pPr>
              <w:jc w:val="both"/>
              <w:rPr>
                <w:sz w:val="24"/>
                <w:szCs w:val="24"/>
              </w:rPr>
            </w:pPr>
            <w:r>
              <w:rPr>
                <w:sz w:val="24"/>
              </w:rPr>
              <w:t>З</w:t>
            </w:r>
            <w:r w:rsidRPr="00F17A3C">
              <w:rPr>
                <w:sz w:val="24"/>
              </w:rPr>
              <w:t>абезпечить можливість проведення перевірок ліцензіатів НКРЕКП</w:t>
            </w:r>
            <w:r w:rsidR="00D470CB">
              <w:rPr>
                <w:sz w:val="24"/>
              </w:rPr>
              <w:t xml:space="preserve"> у відповідності до вимог чинного за</w:t>
            </w:r>
            <w:r w:rsidR="00C131DC">
              <w:rPr>
                <w:sz w:val="24"/>
              </w:rPr>
              <w:t>ко</w:t>
            </w:r>
            <w:r w:rsidR="00D470CB">
              <w:rPr>
                <w:sz w:val="24"/>
              </w:rPr>
              <w:t>нодавства</w:t>
            </w:r>
          </w:p>
        </w:tc>
        <w:tc>
          <w:tcPr>
            <w:tcW w:w="1724" w:type="pct"/>
            <w:vAlign w:val="center"/>
          </w:tcPr>
          <w:p w:rsidR="00D454A2" w:rsidRPr="00C70889" w:rsidRDefault="00D454A2" w:rsidP="003032D0">
            <w:pPr>
              <w:jc w:val="both"/>
              <w:rPr>
                <w:sz w:val="24"/>
              </w:rPr>
            </w:pPr>
            <w:r w:rsidRPr="00C70889">
              <w:rPr>
                <w:sz w:val="24"/>
              </w:rPr>
              <w:t>Відсутні</w:t>
            </w:r>
          </w:p>
        </w:tc>
      </w:tr>
    </w:tbl>
    <w:p w:rsidR="00BF152E" w:rsidRPr="00783BA9" w:rsidRDefault="00BF152E" w:rsidP="00D454A2">
      <w:pPr>
        <w:pStyle w:val="a3"/>
        <w:spacing w:before="9"/>
      </w:pPr>
    </w:p>
    <w:p w:rsidR="00D454A2" w:rsidRPr="000A23CF" w:rsidRDefault="00D454A2" w:rsidP="00D454A2">
      <w:pPr>
        <w:pStyle w:val="a9"/>
        <w:numPr>
          <w:ilvl w:val="0"/>
          <w:numId w:val="1"/>
        </w:numPr>
        <w:tabs>
          <w:tab w:val="left" w:pos="1134"/>
        </w:tabs>
        <w:spacing w:before="88"/>
        <w:ind w:hanging="357"/>
        <w:rPr>
          <w:sz w:val="28"/>
        </w:rPr>
      </w:pPr>
      <w:r w:rsidRPr="000A23CF">
        <w:rPr>
          <w:sz w:val="28"/>
        </w:rPr>
        <w:t>Оцінка впливу на сферу інтересів</w:t>
      </w:r>
      <w:r w:rsidRPr="000A23CF">
        <w:rPr>
          <w:spacing w:val="51"/>
          <w:sz w:val="28"/>
        </w:rPr>
        <w:t xml:space="preserve"> </w:t>
      </w:r>
      <w:r w:rsidRPr="000A23CF">
        <w:rPr>
          <w:sz w:val="28"/>
        </w:rPr>
        <w:t>громадян:</w:t>
      </w:r>
    </w:p>
    <w:p w:rsidR="00D454A2" w:rsidRPr="00E528D5" w:rsidRDefault="00D454A2" w:rsidP="00D454A2">
      <w:pPr>
        <w:pStyle w:val="a3"/>
        <w:spacing w:before="4"/>
      </w:pPr>
    </w:p>
    <w:tbl>
      <w:tblPr>
        <w:tblStyle w:val="TableNormal"/>
        <w:tblW w:w="5000" w:type="pct"/>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ook w:val="01E0" w:firstRow="1" w:lastRow="1" w:firstColumn="1" w:lastColumn="1" w:noHBand="0" w:noVBand="0"/>
      </w:tblPr>
      <w:tblGrid>
        <w:gridCol w:w="2505"/>
        <w:gridCol w:w="4003"/>
        <w:gridCol w:w="3114"/>
      </w:tblGrid>
      <w:tr w:rsidR="00D454A2" w:rsidRPr="00C70889" w:rsidTr="00A7751E">
        <w:trPr>
          <w:trHeight w:val="263"/>
        </w:trPr>
        <w:tc>
          <w:tcPr>
            <w:tcW w:w="1302" w:type="pct"/>
            <w:vAlign w:val="center"/>
          </w:tcPr>
          <w:p w:rsidR="00D454A2" w:rsidRPr="00C70889" w:rsidRDefault="00D454A2" w:rsidP="003032D0">
            <w:pPr>
              <w:jc w:val="center"/>
              <w:rPr>
                <w:b/>
                <w:sz w:val="24"/>
              </w:rPr>
            </w:pPr>
            <w:r w:rsidRPr="00C70889">
              <w:rPr>
                <w:b/>
                <w:sz w:val="24"/>
              </w:rPr>
              <w:t>Вид альтернативи</w:t>
            </w:r>
          </w:p>
        </w:tc>
        <w:tc>
          <w:tcPr>
            <w:tcW w:w="2080" w:type="pct"/>
            <w:vAlign w:val="center"/>
          </w:tcPr>
          <w:p w:rsidR="00D454A2" w:rsidRPr="00C70889" w:rsidRDefault="00D454A2" w:rsidP="003032D0">
            <w:pPr>
              <w:jc w:val="center"/>
              <w:rPr>
                <w:b/>
                <w:sz w:val="24"/>
              </w:rPr>
            </w:pPr>
            <w:r w:rsidRPr="00C70889">
              <w:rPr>
                <w:b/>
                <w:sz w:val="24"/>
              </w:rPr>
              <w:t>Вигоди</w:t>
            </w:r>
          </w:p>
        </w:tc>
        <w:tc>
          <w:tcPr>
            <w:tcW w:w="1618" w:type="pct"/>
            <w:vAlign w:val="center"/>
          </w:tcPr>
          <w:p w:rsidR="00D454A2" w:rsidRPr="00C70889" w:rsidRDefault="00D454A2" w:rsidP="003032D0">
            <w:pPr>
              <w:jc w:val="center"/>
              <w:rPr>
                <w:b/>
                <w:sz w:val="24"/>
              </w:rPr>
            </w:pPr>
            <w:r w:rsidRPr="00C70889">
              <w:rPr>
                <w:b/>
                <w:sz w:val="24"/>
              </w:rPr>
              <w:t>Витрати</w:t>
            </w:r>
          </w:p>
        </w:tc>
      </w:tr>
      <w:tr w:rsidR="00847546" w:rsidRPr="00C70889" w:rsidTr="00A7751E">
        <w:trPr>
          <w:trHeight w:val="753"/>
        </w:trPr>
        <w:tc>
          <w:tcPr>
            <w:tcW w:w="1302" w:type="pct"/>
            <w:vAlign w:val="center"/>
          </w:tcPr>
          <w:p w:rsidR="00847546" w:rsidRDefault="00847546" w:rsidP="00847546">
            <w:pPr>
              <w:jc w:val="both"/>
              <w:rPr>
                <w:b/>
                <w:sz w:val="24"/>
              </w:rPr>
            </w:pPr>
            <w:r w:rsidRPr="00C70889">
              <w:rPr>
                <w:b/>
                <w:sz w:val="24"/>
              </w:rPr>
              <w:t>Альтернатива 1</w:t>
            </w:r>
          </w:p>
          <w:p w:rsidR="00847546" w:rsidRPr="00C70889" w:rsidRDefault="00847546" w:rsidP="00847546">
            <w:pPr>
              <w:jc w:val="both"/>
              <w:rPr>
                <w:sz w:val="24"/>
              </w:rPr>
            </w:pPr>
            <w:r w:rsidRPr="00C70889">
              <w:rPr>
                <w:sz w:val="24"/>
              </w:rPr>
              <w:t>Збереження чинного регулювання</w:t>
            </w:r>
          </w:p>
        </w:tc>
        <w:tc>
          <w:tcPr>
            <w:tcW w:w="2080" w:type="pct"/>
            <w:vAlign w:val="center"/>
          </w:tcPr>
          <w:p w:rsidR="00847546" w:rsidRPr="00C70889" w:rsidRDefault="00847546" w:rsidP="00847546">
            <w:pPr>
              <w:rPr>
                <w:sz w:val="24"/>
              </w:rPr>
            </w:pPr>
            <w:r w:rsidRPr="00C70889">
              <w:rPr>
                <w:sz w:val="24"/>
              </w:rPr>
              <w:t>Відсутні</w:t>
            </w:r>
          </w:p>
        </w:tc>
        <w:tc>
          <w:tcPr>
            <w:tcW w:w="1618" w:type="pct"/>
            <w:vAlign w:val="center"/>
          </w:tcPr>
          <w:p w:rsidR="00847546" w:rsidRPr="00C70889" w:rsidRDefault="004A1320" w:rsidP="00847546">
            <w:pPr>
              <w:rPr>
                <w:sz w:val="24"/>
              </w:rPr>
            </w:pPr>
            <w:r w:rsidRPr="00C70889">
              <w:rPr>
                <w:sz w:val="24"/>
              </w:rPr>
              <w:t>Відсутні</w:t>
            </w:r>
          </w:p>
        </w:tc>
      </w:tr>
      <w:tr w:rsidR="00847546" w:rsidRPr="00C70889" w:rsidTr="00A7751E">
        <w:trPr>
          <w:trHeight w:val="751"/>
        </w:trPr>
        <w:tc>
          <w:tcPr>
            <w:tcW w:w="1302" w:type="pct"/>
            <w:vAlign w:val="center"/>
          </w:tcPr>
          <w:p w:rsidR="00847546" w:rsidRPr="00C70889" w:rsidRDefault="00847546" w:rsidP="00847546">
            <w:pPr>
              <w:jc w:val="both"/>
              <w:rPr>
                <w:b/>
                <w:sz w:val="24"/>
              </w:rPr>
            </w:pPr>
            <w:r w:rsidRPr="00C70889">
              <w:rPr>
                <w:b/>
                <w:sz w:val="24"/>
              </w:rPr>
              <w:t xml:space="preserve">Альтернатива </w:t>
            </w:r>
            <w:r w:rsidR="00E81FBA">
              <w:rPr>
                <w:b/>
                <w:sz w:val="24"/>
              </w:rPr>
              <w:t>2</w:t>
            </w:r>
          </w:p>
          <w:p w:rsidR="00847546" w:rsidRDefault="00847546" w:rsidP="00847546">
            <w:pPr>
              <w:jc w:val="both"/>
              <w:rPr>
                <w:sz w:val="24"/>
              </w:rPr>
            </w:pPr>
            <w:r w:rsidRPr="00C70889">
              <w:rPr>
                <w:sz w:val="24"/>
              </w:rPr>
              <w:t xml:space="preserve">(обрана альтернатива) </w:t>
            </w:r>
          </w:p>
          <w:p w:rsidR="00847546" w:rsidRPr="000E7BA1" w:rsidRDefault="00847546" w:rsidP="00847546">
            <w:pPr>
              <w:jc w:val="both"/>
              <w:rPr>
                <w:sz w:val="14"/>
              </w:rPr>
            </w:pPr>
          </w:p>
          <w:p w:rsidR="00847546" w:rsidRPr="00C70889" w:rsidRDefault="00847546" w:rsidP="00847546">
            <w:pPr>
              <w:jc w:val="both"/>
              <w:rPr>
                <w:sz w:val="24"/>
              </w:rPr>
            </w:pPr>
            <w:r w:rsidRPr="00847546">
              <w:rPr>
                <w:sz w:val="24"/>
              </w:rPr>
              <w:t xml:space="preserve">Внесення змін до чинного регуляторного </w:t>
            </w:r>
            <w:proofErr w:type="spellStart"/>
            <w:r w:rsidRPr="00847546">
              <w:rPr>
                <w:sz w:val="24"/>
              </w:rPr>
              <w:t>акта</w:t>
            </w:r>
            <w:proofErr w:type="spellEnd"/>
          </w:p>
        </w:tc>
        <w:tc>
          <w:tcPr>
            <w:tcW w:w="2080" w:type="pct"/>
            <w:vAlign w:val="center"/>
          </w:tcPr>
          <w:p w:rsidR="00847546" w:rsidRPr="00C450FD" w:rsidRDefault="00C52F1A" w:rsidP="00847546">
            <w:pPr>
              <w:ind w:right="229"/>
              <w:jc w:val="both"/>
              <w:rPr>
                <w:sz w:val="24"/>
              </w:rPr>
            </w:pPr>
            <w:r w:rsidRPr="00C70889">
              <w:rPr>
                <w:sz w:val="24"/>
              </w:rPr>
              <w:t>Відсутні</w:t>
            </w:r>
          </w:p>
        </w:tc>
        <w:tc>
          <w:tcPr>
            <w:tcW w:w="1618" w:type="pct"/>
            <w:vAlign w:val="center"/>
          </w:tcPr>
          <w:p w:rsidR="00847546" w:rsidRPr="00C70889" w:rsidRDefault="00847546" w:rsidP="00847546">
            <w:pPr>
              <w:rPr>
                <w:sz w:val="24"/>
              </w:rPr>
            </w:pPr>
            <w:r w:rsidRPr="00C70889">
              <w:rPr>
                <w:sz w:val="24"/>
              </w:rPr>
              <w:t>Відсутні</w:t>
            </w:r>
          </w:p>
        </w:tc>
      </w:tr>
    </w:tbl>
    <w:p w:rsidR="00D454A2" w:rsidRPr="00783BA9" w:rsidRDefault="00D454A2" w:rsidP="00D454A2">
      <w:pPr>
        <w:pStyle w:val="a3"/>
        <w:spacing w:before="9"/>
      </w:pPr>
    </w:p>
    <w:p w:rsidR="00D454A2" w:rsidRPr="00783BA9" w:rsidRDefault="00D454A2" w:rsidP="00D454A2">
      <w:pPr>
        <w:pStyle w:val="a9"/>
        <w:numPr>
          <w:ilvl w:val="0"/>
          <w:numId w:val="1"/>
        </w:numPr>
        <w:tabs>
          <w:tab w:val="left" w:pos="1134"/>
        </w:tabs>
        <w:spacing w:before="88"/>
        <w:ind w:hanging="358"/>
        <w:rPr>
          <w:sz w:val="28"/>
          <w:szCs w:val="28"/>
        </w:rPr>
      </w:pPr>
      <w:r w:rsidRPr="00783BA9">
        <w:rPr>
          <w:sz w:val="28"/>
          <w:szCs w:val="28"/>
        </w:rPr>
        <w:lastRenderedPageBreak/>
        <w:t xml:space="preserve">Оцінка впливу на сферу інтересів </w:t>
      </w:r>
      <w:proofErr w:type="spellStart"/>
      <w:r w:rsidRPr="00783BA9">
        <w:rPr>
          <w:sz w:val="28"/>
          <w:szCs w:val="28"/>
        </w:rPr>
        <w:t>cyб</w:t>
      </w:r>
      <w:proofErr w:type="spellEnd"/>
      <w:r w:rsidR="00473687" w:rsidRPr="00783BA9">
        <w:rPr>
          <w:sz w:val="28"/>
          <w:szCs w:val="28"/>
          <w:lang w:val="ru-RU"/>
        </w:rPr>
        <w:t>’</w:t>
      </w:r>
      <w:proofErr w:type="spellStart"/>
      <w:r w:rsidRPr="00783BA9">
        <w:rPr>
          <w:sz w:val="28"/>
          <w:szCs w:val="28"/>
        </w:rPr>
        <w:t>єктів</w:t>
      </w:r>
      <w:proofErr w:type="spellEnd"/>
      <w:r w:rsidRPr="00783BA9">
        <w:rPr>
          <w:spacing w:val="53"/>
          <w:sz w:val="28"/>
          <w:szCs w:val="28"/>
        </w:rPr>
        <w:t xml:space="preserve"> </w:t>
      </w:r>
      <w:r w:rsidRPr="00783BA9">
        <w:rPr>
          <w:sz w:val="28"/>
          <w:szCs w:val="28"/>
        </w:rPr>
        <w:t>господарювання:</w:t>
      </w:r>
    </w:p>
    <w:p w:rsidR="00D454A2" w:rsidRPr="00783BA9" w:rsidRDefault="00D454A2" w:rsidP="00D454A2">
      <w:pPr>
        <w:pStyle w:val="a3"/>
      </w:pPr>
    </w:p>
    <w:tbl>
      <w:tblPr>
        <w:tblStyle w:val="TableNormal"/>
        <w:tblW w:w="5000" w:type="pct"/>
        <w:tblBorders>
          <w:top w:val="single" w:sz="6" w:space="0" w:color="131313"/>
          <w:left w:val="single" w:sz="6" w:space="0" w:color="131313"/>
          <w:bottom w:val="single" w:sz="6" w:space="0" w:color="131313"/>
          <w:right w:val="single" w:sz="6" w:space="0" w:color="131313"/>
          <w:insideH w:val="single" w:sz="6" w:space="0" w:color="131313"/>
          <w:insideV w:val="single" w:sz="6" w:space="0" w:color="131313"/>
        </w:tblBorders>
        <w:tblLook w:val="01E0" w:firstRow="1" w:lastRow="1" w:firstColumn="1" w:lastColumn="1" w:noHBand="0" w:noVBand="0"/>
      </w:tblPr>
      <w:tblGrid>
        <w:gridCol w:w="2505"/>
        <w:gridCol w:w="3880"/>
        <w:gridCol w:w="3237"/>
      </w:tblGrid>
      <w:tr w:rsidR="00D454A2" w:rsidRPr="000E7BA1" w:rsidTr="002B2E21">
        <w:trPr>
          <w:trHeight w:val="258"/>
        </w:trPr>
        <w:tc>
          <w:tcPr>
            <w:tcW w:w="1302" w:type="pct"/>
            <w:vAlign w:val="center"/>
          </w:tcPr>
          <w:p w:rsidR="00D454A2" w:rsidRPr="000E7BA1" w:rsidRDefault="00D454A2" w:rsidP="003032D0">
            <w:pPr>
              <w:jc w:val="center"/>
              <w:rPr>
                <w:b/>
                <w:sz w:val="24"/>
              </w:rPr>
            </w:pPr>
            <w:r w:rsidRPr="000E7BA1">
              <w:rPr>
                <w:b/>
                <w:sz w:val="24"/>
              </w:rPr>
              <w:t>Вид альтернативи</w:t>
            </w:r>
          </w:p>
        </w:tc>
        <w:tc>
          <w:tcPr>
            <w:tcW w:w="2016" w:type="pct"/>
            <w:vAlign w:val="center"/>
          </w:tcPr>
          <w:p w:rsidR="00D454A2" w:rsidRPr="000E7BA1" w:rsidRDefault="00D454A2" w:rsidP="003032D0">
            <w:pPr>
              <w:jc w:val="center"/>
              <w:rPr>
                <w:b/>
                <w:sz w:val="24"/>
              </w:rPr>
            </w:pPr>
            <w:r w:rsidRPr="000E7BA1">
              <w:rPr>
                <w:b/>
                <w:sz w:val="24"/>
              </w:rPr>
              <w:t>Вигоди</w:t>
            </w:r>
          </w:p>
        </w:tc>
        <w:tc>
          <w:tcPr>
            <w:tcW w:w="1682" w:type="pct"/>
            <w:vAlign w:val="center"/>
          </w:tcPr>
          <w:p w:rsidR="00D454A2" w:rsidRPr="000E7BA1" w:rsidRDefault="00D454A2" w:rsidP="003032D0">
            <w:pPr>
              <w:jc w:val="center"/>
              <w:rPr>
                <w:b/>
                <w:sz w:val="24"/>
              </w:rPr>
            </w:pPr>
            <w:r w:rsidRPr="000E7BA1">
              <w:rPr>
                <w:b/>
                <w:sz w:val="24"/>
              </w:rPr>
              <w:t>Витрати</w:t>
            </w:r>
          </w:p>
        </w:tc>
      </w:tr>
      <w:tr w:rsidR="00847546" w:rsidRPr="000E7BA1" w:rsidTr="002B2E21">
        <w:trPr>
          <w:trHeight w:val="757"/>
        </w:trPr>
        <w:tc>
          <w:tcPr>
            <w:tcW w:w="1302" w:type="pct"/>
            <w:vAlign w:val="center"/>
          </w:tcPr>
          <w:p w:rsidR="00847546" w:rsidRDefault="00847546" w:rsidP="00847546">
            <w:pPr>
              <w:jc w:val="both"/>
              <w:rPr>
                <w:b/>
                <w:sz w:val="24"/>
              </w:rPr>
            </w:pPr>
            <w:r w:rsidRPr="00C70889">
              <w:rPr>
                <w:b/>
                <w:sz w:val="24"/>
              </w:rPr>
              <w:t>Альтернатива 1</w:t>
            </w:r>
          </w:p>
          <w:p w:rsidR="00847546" w:rsidRPr="00C70889" w:rsidRDefault="00847546" w:rsidP="00847546">
            <w:pPr>
              <w:jc w:val="both"/>
              <w:rPr>
                <w:sz w:val="24"/>
              </w:rPr>
            </w:pPr>
            <w:r w:rsidRPr="00C70889">
              <w:rPr>
                <w:sz w:val="24"/>
              </w:rPr>
              <w:t>Збереження чинного регулювання</w:t>
            </w:r>
          </w:p>
        </w:tc>
        <w:tc>
          <w:tcPr>
            <w:tcW w:w="2016" w:type="pct"/>
            <w:vAlign w:val="center"/>
          </w:tcPr>
          <w:p w:rsidR="00847546" w:rsidRPr="00C450FD" w:rsidRDefault="00847546" w:rsidP="00847546">
            <w:pPr>
              <w:rPr>
                <w:sz w:val="24"/>
              </w:rPr>
            </w:pPr>
            <w:r w:rsidRPr="00C450FD">
              <w:rPr>
                <w:sz w:val="24"/>
              </w:rPr>
              <w:t>Відсутні</w:t>
            </w:r>
          </w:p>
        </w:tc>
        <w:tc>
          <w:tcPr>
            <w:tcW w:w="1682" w:type="pct"/>
            <w:vAlign w:val="center"/>
          </w:tcPr>
          <w:p w:rsidR="00847546" w:rsidRPr="00783BA9" w:rsidRDefault="003644D9" w:rsidP="00847546">
            <w:pPr>
              <w:rPr>
                <w:sz w:val="24"/>
              </w:rPr>
            </w:pPr>
            <w:r w:rsidRPr="00F17A3C">
              <w:rPr>
                <w:sz w:val="24"/>
              </w:rPr>
              <w:t xml:space="preserve">Не забезпечить </w:t>
            </w:r>
            <w:r>
              <w:rPr>
                <w:sz w:val="24"/>
              </w:rPr>
              <w:t xml:space="preserve">приведення </w:t>
            </w:r>
            <w:proofErr w:type="spellStart"/>
            <w:r>
              <w:rPr>
                <w:sz w:val="24"/>
              </w:rPr>
              <w:t>Методик</w:t>
            </w:r>
            <w:proofErr w:type="spellEnd"/>
            <w:r>
              <w:rPr>
                <w:sz w:val="24"/>
              </w:rPr>
              <w:t xml:space="preserve"> у відповідність до </w:t>
            </w:r>
            <w:r w:rsidRPr="001614E5">
              <w:rPr>
                <w:sz w:val="24"/>
              </w:rPr>
              <w:t>Порядку № 1175 та Постанови № 1009</w:t>
            </w:r>
            <w:r>
              <w:rPr>
                <w:sz w:val="24"/>
              </w:rPr>
              <w:t>, а отже не забезпечить проведення перевірок у відповідність до чинного законодавства</w:t>
            </w:r>
          </w:p>
        </w:tc>
      </w:tr>
      <w:tr w:rsidR="00847546" w:rsidRPr="000E7BA1" w:rsidTr="002B2E21">
        <w:trPr>
          <w:trHeight w:val="1506"/>
        </w:trPr>
        <w:tc>
          <w:tcPr>
            <w:tcW w:w="1302" w:type="pct"/>
            <w:vAlign w:val="center"/>
          </w:tcPr>
          <w:p w:rsidR="00847546" w:rsidRPr="00C70889" w:rsidRDefault="00847546" w:rsidP="00847546">
            <w:pPr>
              <w:jc w:val="both"/>
              <w:rPr>
                <w:b/>
                <w:sz w:val="24"/>
              </w:rPr>
            </w:pPr>
            <w:r w:rsidRPr="00C70889">
              <w:rPr>
                <w:b/>
                <w:sz w:val="24"/>
              </w:rPr>
              <w:t xml:space="preserve">Альтернатива </w:t>
            </w:r>
            <w:r w:rsidR="000063E0">
              <w:rPr>
                <w:b/>
                <w:sz w:val="24"/>
              </w:rPr>
              <w:t>2</w:t>
            </w:r>
          </w:p>
          <w:p w:rsidR="00847546" w:rsidRDefault="00847546" w:rsidP="00847546">
            <w:pPr>
              <w:jc w:val="both"/>
              <w:rPr>
                <w:sz w:val="24"/>
              </w:rPr>
            </w:pPr>
            <w:r w:rsidRPr="00C70889">
              <w:rPr>
                <w:sz w:val="24"/>
              </w:rPr>
              <w:t>(обрана альтернатива)</w:t>
            </w:r>
          </w:p>
          <w:p w:rsidR="00847546" w:rsidRPr="000E7BA1" w:rsidRDefault="00847546" w:rsidP="00847546">
            <w:pPr>
              <w:jc w:val="both"/>
              <w:rPr>
                <w:sz w:val="14"/>
              </w:rPr>
            </w:pPr>
          </w:p>
          <w:p w:rsidR="00847546" w:rsidRPr="00C70889" w:rsidRDefault="00847546" w:rsidP="00847546">
            <w:pPr>
              <w:jc w:val="both"/>
              <w:rPr>
                <w:sz w:val="24"/>
              </w:rPr>
            </w:pPr>
            <w:r w:rsidRPr="00847546">
              <w:rPr>
                <w:sz w:val="24"/>
              </w:rPr>
              <w:t xml:space="preserve">Внесення змін до чинного регуляторного </w:t>
            </w:r>
            <w:proofErr w:type="spellStart"/>
            <w:r w:rsidRPr="00847546">
              <w:rPr>
                <w:sz w:val="24"/>
              </w:rPr>
              <w:t>акта</w:t>
            </w:r>
            <w:proofErr w:type="spellEnd"/>
          </w:p>
        </w:tc>
        <w:tc>
          <w:tcPr>
            <w:tcW w:w="2016" w:type="pct"/>
            <w:vAlign w:val="center"/>
          </w:tcPr>
          <w:p w:rsidR="00847546" w:rsidRPr="00C450FD" w:rsidRDefault="00C131DC" w:rsidP="00847546">
            <w:pPr>
              <w:ind w:right="109"/>
              <w:jc w:val="both"/>
              <w:rPr>
                <w:sz w:val="24"/>
              </w:rPr>
            </w:pPr>
            <w:r w:rsidRPr="00C131DC">
              <w:rPr>
                <w:sz w:val="24"/>
              </w:rPr>
              <w:t>Забезпечить можливість проведення перевірок ліцензіатів НКРЕКП у відповідності до вимог чинного за</w:t>
            </w:r>
            <w:r>
              <w:rPr>
                <w:sz w:val="24"/>
              </w:rPr>
              <w:t>ко</w:t>
            </w:r>
            <w:r w:rsidRPr="00C131DC">
              <w:rPr>
                <w:sz w:val="24"/>
              </w:rPr>
              <w:t>нодавства</w:t>
            </w:r>
            <w:r>
              <w:rPr>
                <w:sz w:val="24"/>
              </w:rPr>
              <w:t xml:space="preserve">, зокрема до </w:t>
            </w:r>
            <w:r w:rsidR="00651E07" w:rsidRPr="00EF2433">
              <w:rPr>
                <w:sz w:val="24"/>
                <w:szCs w:val="24"/>
              </w:rPr>
              <w:t>Порядку № 1175</w:t>
            </w:r>
            <w:r w:rsidR="00651E07">
              <w:rPr>
                <w:sz w:val="24"/>
                <w:szCs w:val="24"/>
              </w:rPr>
              <w:t xml:space="preserve"> та </w:t>
            </w:r>
            <w:r w:rsidR="00651E07" w:rsidRPr="00EF2433">
              <w:rPr>
                <w:sz w:val="24"/>
                <w:szCs w:val="24"/>
              </w:rPr>
              <w:t>Постанови № 1009</w:t>
            </w:r>
          </w:p>
        </w:tc>
        <w:tc>
          <w:tcPr>
            <w:tcW w:w="1682" w:type="pct"/>
            <w:vAlign w:val="center"/>
          </w:tcPr>
          <w:p w:rsidR="00847546" w:rsidRPr="00C450FD" w:rsidRDefault="00847546" w:rsidP="00847546">
            <w:pPr>
              <w:jc w:val="both"/>
              <w:rPr>
                <w:sz w:val="24"/>
              </w:rPr>
            </w:pPr>
            <w:r w:rsidRPr="00C450FD">
              <w:rPr>
                <w:sz w:val="24"/>
              </w:rPr>
              <w:t>Відсутні</w:t>
            </w:r>
          </w:p>
        </w:tc>
      </w:tr>
    </w:tbl>
    <w:p w:rsidR="00D454A2" w:rsidRPr="0085062D" w:rsidRDefault="00D454A2" w:rsidP="00D454A2">
      <w:pPr>
        <w:pStyle w:val="a3"/>
      </w:pPr>
    </w:p>
    <w:p w:rsidR="00D454A2" w:rsidRDefault="00D454A2" w:rsidP="00D454A2">
      <w:pPr>
        <w:pStyle w:val="a3"/>
        <w:numPr>
          <w:ilvl w:val="1"/>
          <w:numId w:val="3"/>
        </w:numPr>
        <w:spacing w:before="1"/>
        <w:jc w:val="center"/>
        <w:rPr>
          <w:b/>
          <w:bCs/>
          <w:shd w:val="clear" w:color="auto" w:fill="FFFFFF"/>
        </w:rPr>
      </w:pPr>
      <w:r w:rsidRPr="00C15955">
        <w:rPr>
          <w:b/>
          <w:bCs/>
          <w:shd w:val="clear" w:color="auto" w:fill="FFFFFF"/>
        </w:rPr>
        <w:t>Вибір найбільш оптимального</w:t>
      </w:r>
    </w:p>
    <w:p w:rsidR="00D454A2" w:rsidRDefault="00D454A2" w:rsidP="00D454A2">
      <w:pPr>
        <w:pStyle w:val="a3"/>
        <w:spacing w:before="1"/>
        <w:ind w:left="362"/>
        <w:jc w:val="center"/>
        <w:rPr>
          <w:b/>
          <w:bCs/>
          <w:shd w:val="clear" w:color="auto" w:fill="FFFFFF"/>
        </w:rPr>
      </w:pPr>
      <w:r w:rsidRPr="00C15955">
        <w:rPr>
          <w:b/>
          <w:bCs/>
          <w:shd w:val="clear" w:color="auto" w:fill="FFFFFF"/>
        </w:rPr>
        <w:t>альтернативного способу досягнення цілей</w:t>
      </w:r>
    </w:p>
    <w:p w:rsidR="00D454A2" w:rsidRPr="00C15955" w:rsidRDefault="00D454A2" w:rsidP="00D454A2">
      <w:pPr>
        <w:pStyle w:val="a3"/>
        <w:spacing w:before="1"/>
        <w:ind w:left="3725"/>
        <w:rPr>
          <w:sz w:val="27"/>
        </w:rPr>
      </w:pPr>
    </w:p>
    <w:p w:rsidR="00D454A2" w:rsidRPr="000A23CF" w:rsidRDefault="00D454A2" w:rsidP="00D454A2">
      <w:pPr>
        <w:pStyle w:val="a3"/>
        <w:ind w:left="235" w:right="144" w:firstLine="706"/>
        <w:jc w:val="both"/>
      </w:pPr>
      <w:r w:rsidRPr="000A23CF">
        <w:t>Нижченаведеними табличними даними ілюстру</w:t>
      </w:r>
      <w:r w:rsidR="007E4C23">
        <w:t>є</w:t>
      </w:r>
      <w:r w:rsidRPr="000A23CF">
        <w:t>ться оцінка альтернативного способу досягнення цілей, розрахована за допомогою системи бальної оцінки ступеня досягнення визначених цілей,</w:t>
      </w:r>
    </w:p>
    <w:p w:rsidR="00D454A2" w:rsidRPr="000A23CF" w:rsidRDefault="00D454A2" w:rsidP="00D454A2">
      <w:pPr>
        <w:pStyle w:val="a3"/>
        <w:spacing w:line="242" w:lineRule="auto"/>
        <w:ind w:left="234" w:right="144" w:firstLine="707"/>
        <w:jc w:val="both"/>
      </w:pPr>
      <w:r w:rsidRPr="000A23CF">
        <w:t xml:space="preserve">4 </w:t>
      </w:r>
      <w:r w:rsidRPr="000A23CF">
        <w:rPr>
          <w:w w:val="90"/>
        </w:rPr>
        <w:t xml:space="preserve">— </w:t>
      </w:r>
      <w:r w:rsidRPr="000A23CF">
        <w:t>цілі прийняття регуляторного акта, які можуть бути досягнуті повною мірою (проблема більше існувати не</w:t>
      </w:r>
      <w:r w:rsidRPr="000A23CF">
        <w:rPr>
          <w:spacing w:val="61"/>
        </w:rPr>
        <w:t xml:space="preserve"> </w:t>
      </w:r>
      <w:r w:rsidRPr="000A23CF">
        <w:t>буде);</w:t>
      </w:r>
    </w:p>
    <w:p w:rsidR="00D454A2" w:rsidRPr="000A23CF" w:rsidRDefault="00D454A2" w:rsidP="00D454A2">
      <w:pPr>
        <w:pStyle w:val="a3"/>
        <w:ind w:left="239" w:right="148" w:firstLine="705"/>
        <w:jc w:val="both"/>
      </w:pPr>
      <w:r w:rsidRPr="000A23CF">
        <w:t xml:space="preserve">3 </w:t>
      </w:r>
      <w:r w:rsidRPr="000A23CF">
        <w:rPr>
          <w:w w:val="90"/>
        </w:rPr>
        <w:t xml:space="preserve">— </w:t>
      </w:r>
      <w:r w:rsidRPr="000A23CF">
        <w:t>цілі прийняття регуляторного акта, які можуть бути досягнуті майже повною мірою (</w:t>
      </w:r>
      <w:proofErr w:type="spellStart"/>
      <w:r w:rsidRPr="000A23CF">
        <w:t>yci</w:t>
      </w:r>
      <w:proofErr w:type="spellEnd"/>
      <w:r w:rsidRPr="000A23CF">
        <w:t xml:space="preserve"> важливі аспекти проблеми існувати не будуть);</w:t>
      </w:r>
    </w:p>
    <w:p w:rsidR="00D454A2" w:rsidRPr="000A23CF" w:rsidRDefault="00D454A2" w:rsidP="00D454A2">
      <w:pPr>
        <w:pStyle w:val="a3"/>
        <w:spacing w:line="237" w:lineRule="auto"/>
        <w:ind w:left="234" w:right="147" w:firstLine="711"/>
        <w:jc w:val="both"/>
      </w:pPr>
      <w:r w:rsidRPr="000A23CF">
        <w:t xml:space="preserve">2 </w:t>
      </w:r>
      <w:r w:rsidRPr="000A23CF">
        <w:rPr>
          <w:w w:val="90"/>
        </w:rPr>
        <w:t xml:space="preserve">— </w:t>
      </w:r>
      <w:r w:rsidRPr="000A23CF">
        <w:t>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p>
    <w:p w:rsidR="00D454A2" w:rsidRPr="000A23CF" w:rsidRDefault="00D454A2" w:rsidP="00D454A2">
      <w:pPr>
        <w:pStyle w:val="a3"/>
        <w:spacing w:line="242" w:lineRule="auto"/>
        <w:ind w:left="234" w:right="160" w:firstLine="708"/>
        <w:jc w:val="both"/>
      </w:pPr>
      <w:r w:rsidRPr="000A23CF">
        <w:t xml:space="preserve">1 </w:t>
      </w:r>
      <w:r w:rsidRPr="000A23CF">
        <w:rPr>
          <w:w w:val="90"/>
        </w:rPr>
        <w:t xml:space="preserve">— </w:t>
      </w:r>
      <w:r w:rsidRPr="000A23CF">
        <w:t>цілі прийняття регуляторного акта, які не можуть бути досягнуті (проблема продовжує існувати).</w:t>
      </w:r>
    </w:p>
    <w:p w:rsidR="00772360" w:rsidRPr="00C15955" w:rsidRDefault="00772360" w:rsidP="00D454A2">
      <w:pPr>
        <w:pStyle w:val="a3"/>
        <w:spacing w:before="4"/>
        <w:jc w:val="center"/>
        <w:rPr>
          <w:b/>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3012"/>
        <w:gridCol w:w="2771"/>
        <w:gridCol w:w="3839"/>
      </w:tblGrid>
      <w:tr w:rsidR="00D454A2" w:rsidRPr="00C15955" w:rsidTr="00543C83">
        <w:trPr>
          <w:trHeight w:val="767"/>
        </w:trPr>
        <w:tc>
          <w:tcPr>
            <w:tcW w:w="1565" w:type="pct"/>
            <w:vAlign w:val="center"/>
          </w:tcPr>
          <w:p w:rsidR="00D454A2" w:rsidRPr="00C15955" w:rsidRDefault="00D454A2" w:rsidP="003032D0">
            <w:pPr>
              <w:jc w:val="center"/>
              <w:rPr>
                <w:b/>
                <w:sz w:val="24"/>
              </w:rPr>
            </w:pPr>
            <w:r w:rsidRPr="00C15955">
              <w:rPr>
                <w:b/>
                <w:sz w:val="24"/>
              </w:rPr>
              <w:t>Рейтинг результативності</w:t>
            </w:r>
          </w:p>
          <w:p w:rsidR="00D454A2" w:rsidRPr="00C15955" w:rsidRDefault="00D454A2" w:rsidP="003032D0">
            <w:pPr>
              <w:jc w:val="center"/>
              <w:rPr>
                <w:sz w:val="24"/>
              </w:rPr>
            </w:pPr>
            <w:r w:rsidRPr="00C15955">
              <w:rPr>
                <w:sz w:val="24"/>
              </w:rPr>
              <w:t>(досягнення цілей під час вирішення проблеми)</w:t>
            </w:r>
          </w:p>
        </w:tc>
        <w:tc>
          <w:tcPr>
            <w:tcW w:w="1440" w:type="pct"/>
            <w:vAlign w:val="center"/>
          </w:tcPr>
          <w:p w:rsidR="00D454A2" w:rsidRPr="00C15955" w:rsidRDefault="00D454A2" w:rsidP="003032D0">
            <w:pPr>
              <w:jc w:val="center"/>
              <w:rPr>
                <w:b/>
                <w:sz w:val="24"/>
              </w:rPr>
            </w:pPr>
            <w:r w:rsidRPr="00C15955">
              <w:rPr>
                <w:b/>
                <w:sz w:val="24"/>
              </w:rPr>
              <w:t>Бал результативності</w:t>
            </w:r>
          </w:p>
          <w:p w:rsidR="00D454A2" w:rsidRPr="00C15955" w:rsidRDefault="00D454A2" w:rsidP="003032D0">
            <w:pPr>
              <w:jc w:val="center"/>
              <w:rPr>
                <w:sz w:val="24"/>
              </w:rPr>
            </w:pPr>
            <w:r w:rsidRPr="00C15955">
              <w:rPr>
                <w:sz w:val="24"/>
              </w:rPr>
              <w:t>(за чотирибальною системою оцінки)</w:t>
            </w:r>
          </w:p>
        </w:tc>
        <w:tc>
          <w:tcPr>
            <w:tcW w:w="1995" w:type="pct"/>
            <w:vAlign w:val="center"/>
          </w:tcPr>
          <w:p w:rsidR="00D454A2" w:rsidRPr="00C15955" w:rsidRDefault="00D454A2" w:rsidP="003032D0">
            <w:pPr>
              <w:jc w:val="center"/>
              <w:rPr>
                <w:b/>
                <w:sz w:val="24"/>
              </w:rPr>
            </w:pPr>
            <w:r w:rsidRPr="00C15955">
              <w:rPr>
                <w:b/>
                <w:sz w:val="24"/>
              </w:rPr>
              <w:t xml:space="preserve">Коментарі щодо присвоєння відповідного </w:t>
            </w:r>
            <w:proofErr w:type="spellStart"/>
            <w:r w:rsidRPr="00C15955">
              <w:rPr>
                <w:b/>
                <w:sz w:val="24"/>
              </w:rPr>
              <w:t>бала</w:t>
            </w:r>
            <w:proofErr w:type="spellEnd"/>
          </w:p>
        </w:tc>
      </w:tr>
      <w:tr w:rsidR="00847546" w:rsidRPr="00C15955" w:rsidTr="00543C83">
        <w:trPr>
          <w:trHeight w:val="1626"/>
        </w:trPr>
        <w:tc>
          <w:tcPr>
            <w:tcW w:w="1565" w:type="pct"/>
            <w:vAlign w:val="center"/>
          </w:tcPr>
          <w:p w:rsidR="00847546" w:rsidRDefault="00847546" w:rsidP="00847546">
            <w:pPr>
              <w:jc w:val="both"/>
              <w:rPr>
                <w:b/>
                <w:sz w:val="24"/>
              </w:rPr>
            </w:pPr>
            <w:r w:rsidRPr="00C70889">
              <w:rPr>
                <w:b/>
                <w:sz w:val="24"/>
              </w:rPr>
              <w:t>Альтернатива 1</w:t>
            </w:r>
          </w:p>
          <w:p w:rsidR="00847546" w:rsidRPr="00C70889" w:rsidRDefault="00847546" w:rsidP="00847546">
            <w:pPr>
              <w:jc w:val="both"/>
              <w:rPr>
                <w:sz w:val="24"/>
              </w:rPr>
            </w:pPr>
            <w:r w:rsidRPr="00C70889">
              <w:rPr>
                <w:sz w:val="24"/>
              </w:rPr>
              <w:t>Збереження чинного регулювання</w:t>
            </w:r>
          </w:p>
        </w:tc>
        <w:tc>
          <w:tcPr>
            <w:tcW w:w="1440" w:type="pct"/>
            <w:vAlign w:val="center"/>
          </w:tcPr>
          <w:p w:rsidR="00847546" w:rsidRPr="00C15955" w:rsidRDefault="008C722C" w:rsidP="00DC4CF0">
            <w:pPr>
              <w:jc w:val="center"/>
              <w:rPr>
                <w:sz w:val="24"/>
              </w:rPr>
            </w:pPr>
            <w:r>
              <w:rPr>
                <w:sz w:val="24"/>
              </w:rPr>
              <w:t>1</w:t>
            </w:r>
          </w:p>
        </w:tc>
        <w:tc>
          <w:tcPr>
            <w:tcW w:w="1995" w:type="pct"/>
            <w:vAlign w:val="center"/>
          </w:tcPr>
          <w:p w:rsidR="00847546" w:rsidRPr="00C15955" w:rsidRDefault="00847546" w:rsidP="00847546">
            <w:pPr>
              <w:ind w:right="142"/>
              <w:jc w:val="both"/>
              <w:rPr>
                <w:sz w:val="24"/>
              </w:rPr>
            </w:pPr>
            <w:r>
              <w:rPr>
                <w:sz w:val="24"/>
              </w:rPr>
              <w:t xml:space="preserve">Не забезпечить </w:t>
            </w:r>
            <w:r w:rsidR="008C722C" w:rsidRPr="00C131DC">
              <w:rPr>
                <w:sz w:val="24"/>
              </w:rPr>
              <w:t>можливість проведення перевірок ліцензіатів НКРЕКП у відповідності до вимог чинного за</w:t>
            </w:r>
            <w:r w:rsidR="008C722C">
              <w:rPr>
                <w:sz w:val="24"/>
              </w:rPr>
              <w:t>ко</w:t>
            </w:r>
            <w:r w:rsidR="008C722C" w:rsidRPr="00C131DC">
              <w:rPr>
                <w:sz w:val="24"/>
              </w:rPr>
              <w:t>нодавства</w:t>
            </w:r>
            <w:r w:rsidR="008C722C">
              <w:rPr>
                <w:sz w:val="24"/>
              </w:rPr>
              <w:t xml:space="preserve">, зокрема до </w:t>
            </w:r>
            <w:r w:rsidR="008C722C" w:rsidRPr="00EF2433">
              <w:rPr>
                <w:sz w:val="24"/>
                <w:szCs w:val="24"/>
              </w:rPr>
              <w:t>Порядку № 1175</w:t>
            </w:r>
            <w:r w:rsidR="008C722C">
              <w:rPr>
                <w:sz w:val="24"/>
                <w:szCs w:val="24"/>
              </w:rPr>
              <w:t xml:space="preserve"> та </w:t>
            </w:r>
            <w:r w:rsidR="008C722C" w:rsidRPr="00EF2433">
              <w:rPr>
                <w:sz w:val="24"/>
                <w:szCs w:val="24"/>
              </w:rPr>
              <w:t>Постанови № 1009</w:t>
            </w:r>
          </w:p>
        </w:tc>
      </w:tr>
      <w:tr w:rsidR="00847546" w:rsidRPr="00C15955" w:rsidTr="00543C83">
        <w:trPr>
          <w:trHeight w:val="2575"/>
        </w:trPr>
        <w:tc>
          <w:tcPr>
            <w:tcW w:w="1565" w:type="pct"/>
            <w:vAlign w:val="center"/>
          </w:tcPr>
          <w:p w:rsidR="00847546" w:rsidRPr="00C70889" w:rsidRDefault="00847546" w:rsidP="00847546">
            <w:pPr>
              <w:jc w:val="both"/>
              <w:rPr>
                <w:b/>
                <w:sz w:val="24"/>
              </w:rPr>
            </w:pPr>
            <w:r w:rsidRPr="00C70889">
              <w:rPr>
                <w:b/>
                <w:sz w:val="24"/>
              </w:rPr>
              <w:lastRenderedPageBreak/>
              <w:t xml:space="preserve">Альтернатива </w:t>
            </w:r>
            <w:r w:rsidR="008C722C">
              <w:rPr>
                <w:b/>
                <w:sz w:val="24"/>
              </w:rPr>
              <w:t>2</w:t>
            </w:r>
          </w:p>
          <w:p w:rsidR="00847546" w:rsidRDefault="00847546" w:rsidP="00847546">
            <w:pPr>
              <w:jc w:val="both"/>
              <w:rPr>
                <w:sz w:val="24"/>
              </w:rPr>
            </w:pPr>
            <w:r w:rsidRPr="00C70889">
              <w:rPr>
                <w:sz w:val="24"/>
              </w:rPr>
              <w:t xml:space="preserve">(обрана альтернатива) </w:t>
            </w:r>
          </w:p>
          <w:p w:rsidR="00847546" w:rsidRPr="000E7BA1" w:rsidRDefault="00847546" w:rsidP="00847546">
            <w:pPr>
              <w:jc w:val="both"/>
              <w:rPr>
                <w:sz w:val="14"/>
              </w:rPr>
            </w:pPr>
          </w:p>
          <w:p w:rsidR="00847546" w:rsidRPr="00C70889" w:rsidRDefault="00847546" w:rsidP="00847546">
            <w:pPr>
              <w:jc w:val="both"/>
              <w:rPr>
                <w:sz w:val="24"/>
              </w:rPr>
            </w:pPr>
            <w:r w:rsidRPr="00847546">
              <w:rPr>
                <w:sz w:val="24"/>
              </w:rPr>
              <w:t xml:space="preserve">Внесення змін до чинного регуляторного </w:t>
            </w:r>
            <w:proofErr w:type="spellStart"/>
            <w:r w:rsidRPr="00847546">
              <w:rPr>
                <w:sz w:val="24"/>
              </w:rPr>
              <w:t>акта</w:t>
            </w:r>
            <w:proofErr w:type="spellEnd"/>
          </w:p>
        </w:tc>
        <w:tc>
          <w:tcPr>
            <w:tcW w:w="1440" w:type="pct"/>
            <w:vAlign w:val="center"/>
          </w:tcPr>
          <w:p w:rsidR="00847546" w:rsidRPr="00C15955" w:rsidRDefault="00847546" w:rsidP="00DC4CF0">
            <w:pPr>
              <w:jc w:val="center"/>
              <w:rPr>
                <w:sz w:val="24"/>
              </w:rPr>
            </w:pPr>
            <w:r w:rsidRPr="00C15955">
              <w:rPr>
                <w:sz w:val="24"/>
              </w:rPr>
              <w:t>4</w:t>
            </w:r>
          </w:p>
        </w:tc>
        <w:tc>
          <w:tcPr>
            <w:tcW w:w="1995" w:type="pct"/>
            <w:vAlign w:val="center"/>
          </w:tcPr>
          <w:p w:rsidR="00847546" w:rsidRPr="00C15955" w:rsidRDefault="00847546" w:rsidP="008C722C">
            <w:pPr>
              <w:ind w:right="133"/>
              <w:jc w:val="both"/>
              <w:rPr>
                <w:sz w:val="24"/>
              </w:rPr>
            </w:pPr>
            <w:r w:rsidRPr="00C15955">
              <w:rPr>
                <w:sz w:val="24"/>
              </w:rPr>
              <w:t>Дозволя</w:t>
            </w:r>
            <w:r>
              <w:rPr>
                <w:sz w:val="24"/>
              </w:rPr>
              <w:t xml:space="preserve">є </w:t>
            </w:r>
            <w:r w:rsidRPr="00C15955">
              <w:rPr>
                <w:sz w:val="24"/>
              </w:rPr>
              <w:t>вирішити</w:t>
            </w:r>
            <w:r>
              <w:rPr>
                <w:sz w:val="24"/>
              </w:rPr>
              <w:t xml:space="preserve"> </w:t>
            </w:r>
            <w:r w:rsidRPr="00C15955">
              <w:rPr>
                <w:sz w:val="24"/>
              </w:rPr>
              <w:t>проблему</w:t>
            </w:r>
            <w:r>
              <w:rPr>
                <w:sz w:val="24"/>
              </w:rPr>
              <w:t xml:space="preserve"> </w:t>
            </w:r>
            <w:r w:rsidRPr="00C15955">
              <w:rPr>
                <w:sz w:val="24"/>
              </w:rPr>
              <w:t>найефективнішим способом та забезпеч</w:t>
            </w:r>
            <w:r w:rsidR="008C722C">
              <w:rPr>
                <w:sz w:val="24"/>
              </w:rPr>
              <w:t>ить</w:t>
            </w:r>
            <w:r>
              <w:rPr>
                <w:sz w:val="24"/>
              </w:rPr>
              <w:t xml:space="preserve"> </w:t>
            </w:r>
            <w:r w:rsidR="008C722C" w:rsidRPr="008C722C">
              <w:rPr>
                <w:sz w:val="24"/>
              </w:rPr>
              <w:t>проведення перевірок ліцензіатів НКРЕКП у відповідності до вимог чинного законодавства, зокрема до Порядку № 1175 та Постанови № 1009</w:t>
            </w:r>
          </w:p>
        </w:tc>
      </w:tr>
    </w:tbl>
    <w:p w:rsidR="00772360" w:rsidRPr="004A114A" w:rsidRDefault="00772360" w:rsidP="00D454A2">
      <w:pPr>
        <w:pStyle w:val="a3"/>
        <w:spacing w:before="11"/>
        <w:rPr>
          <w:sz w:val="24"/>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2431"/>
        <w:gridCol w:w="1659"/>
        <w:gridCol w:w="2184"/>
        <w:gridCol w:w="3348"/>
      </w:tblGrid>
      <w:tr w:rsidR="00D454A2" w:rsidRPr="000A23CF" w:rsidTr="00A53332">
        <w:trPr>
          <w:trHeight w:val="513"/>
        </w:trPr>
        <w:tc>
          <w:tcPr>
            <w:tcW w:w="1263" w:type="pct"/>
            <w:vAlign w:val="center"/>
          </w:tcPr>
          <w:p w:rsidR="00D454A2" w:rsidRPr="00C15955" w:rsidRDefault="00D454A2" w:rsidP="003032D0">
            <w:pPr>
              <w:jc w:val="center"/>
              <w:rPr>
                <w:b/>
                <w:sz w:val="24"/>
              </w:rPr>
            </w:pPr>
            <w:r w:rsidRPr="00C15955">
              <w:rPr>
                <w:b/>
                <w:sz w:val="24"/>
              </w:rPr>
              <w:t>Рейтинг</w:t>
            </w:r>
          </w:p>
          <w:p w:rsidR="00D454A2" w:rsidRPr="00C15955" w:rsidRDefault="00D454A2" w:rsidP="003032D0">
            <w:pPr>
              <w:jc w:val="center"/>
              <w:rPr>
                <w:b/>
                <w:sz w:val="24"/>
              </w:rPr>
            </w:pPr>
            <w:r w:rsidRPr="00C15955">
              <w:rPr>
                <w:b/>
                <w:sz w:val="24"/>
              </w:rPr>
              <w:t>результативності</w:t>
            </w:r>
          </w:p>
        </w:tc>
        <w:tc>
          <w:tcPr>
            <w:tcW w:w="862" w:type="pct"/>
            <w:vAlign w:val="center"/>
          </w:tcPr>
          <w:p w:rsidR="00D454A2" w:rsidRDefault="00D454A2" w:rsidP="003032D0">
            <w:pPr>
              <w:jc w:val="center"/>
              <w:rPr>
                <w:b/>
                <w:sz w:val="24"/>
              </w:rPr>
            </w:pPr>
            <w:r w:rsidRPr="00C15955">
              <w:rPr>
                <w:b/>
                <w:sz w:val="24"/>
              </w:rPr>
              <w:t>Вигоди</w:t>
            </w:r>
          </w:p>
          <w:p w:rsidR="00D454A2" w:rsidRPr="00C15955" w:rsidRDefault="00D454A2" w:rsidP="003032D0">
            <w:pPr>
              <w:jc w:val="center"/>
              <w:rPr>
                <w:sz w:val="24"/>
              </w:rPr>
            </w:pPr>
            <w:r w:rsidRPr="00C15955">
              <w:rPr>
                <w:sz w:val="24"/>
              </w:rPr>
              <w:t>(підсумок)</w:t>
            </w:r>
          </w:p>
        </w:tc>
        <w:tc>
          <w:tcPr>
            <w:tcW w:w="1135" w:type="pct"/>
            <w:vAlign w:val="center"/>
          </w:tcPr>
          <w:p w:rsidR="00D454A2" w:rsidRPr="00C15955" w:rsidRDefault="00D454A2" w:rsidP="003032D0">
            <w:pPr>
              <w:jc w:val="center"/>
              <w:rPr>
                <w:b/>
                <w:sz w:val="24"/>
              </w:rPr>
            </w:pPr>
            <w:r w:rsidRPr="00C15955">
              <w:rPr>
                <w:b/>
                <w:sz w:val="24"/>
              </w:rPr>
              <w:t>Витрати</w:t>
            </w:r>
          </w:p>
          <w:p w:rsidR="00D454A2" w:rsidRPr="00C15955" w:rsidRDefault="00D454A2" w:rsidP="003032D0">
            <w:pPr>
              <w:jc w:val="center"/>
              <w:rPr>
                <w:sz w:val="24"/>
              </w:rPr>
            </w:pPr>
            <w:r w:rsidRPr="00C15955">
              <w:rPr>
                <w:sz w:val="24"/>
              </w:rPr>
              <w:t>(підсумок)</w:t>
            </w:r>
          </w:p>
        </w:tc>
        <w:tc>
          <w:tcPr>
            <w:tcW w:w="1740" w:type="pct"/>
            <w:vAlign w:val="center"/>
          </w:tcPr>
          <w:p w:rsidR="00D454A2" w:rsidRPr="00C15955" w:rsidRDefault="00D454A2" w:rsidP="003032D0">
            <w:pPr>
              <w:jc w:val="center"/>
              <w:rPr>
                <w:b/>
                <w:sz w:val="24"/>
              </w:rPr>
            </w:pPr>
            <w:r w:rsidRPr="00C15955">
              <w:rPr>
                <w:b/>
                <w:sz w:val="24"/>
              </w:rPr>
              <w:t>Обґрунтування відповідного місця альтернативи у рейтингу</w:t>
            </w:r>
          </w:p>
        </w:tc>
      </w:tr>
      <w:tr w:rsidR="00847546" w:rsidRPr="000A23CF" w:rsidTr="00A53332">
        <w:trPr>
          <w:trHeight w:val="1353"/>
        </w:trPr>
        <w:tc>
          <w:tcPr>
            <w:tcW w:w="1263" w:type="pct"/>
            <w:vAlign w:val="center"/>
          </w:tcPr>
          <w:p w:rsidR="00847546" w:rsidRDefault="00847546" w:rsidP="00847546">
            <w:pPr>
              <w:jc w:val="both"/>
              <w:rPr>
                <w:b/>
                <w:sz w:val="24"/>
              </w:rPr>
            </w:pPr>
            <w:r w:rsidRPr="00C70889">
              <w:rPr>
                <w:b/>
                <w:sz w:val="24"/>
              </w:rPr>
              <w:t>Альтернатива 1</w:t>
            </w:r>
          </w:p>
          <w:p w:rsidR="00847546" w:rsidRPr="00C70889" w:rsidRDefault="00847546" w:rsidP="00847546">
            <w:pPr>
              <w:jc w:val="both"/>
              <w:rPr>
                <w:sz w:val="24"/>
              </w:rPr>
            </w:pPr>
            <w:r w:rsidRPr="00C70889">
              <w:rPr>
                <w:sz w:val="24"/>
              </w:rPr>
              <w:t>Збереження чинного регулювання</w:t>
            </w:r>
          </w:p>
        </w:tc>
        <w:tc>
          <w:tcPr>
            <w:tcW w:w="862" w:type="pct"/>
            <w:vAlign w:val="center"/>
          </w:tcPr>
          <w:p w:rsidR="00847546" w:rsidRPr="00C15955" w:rsidRDefault="00847546" w:rsidP="00847546">
            <w:pPr>
              <w:jc w:val="both"/>
              <w:rPr>
                <w:sz w:val="24"/>
              </w:rPr>
            </w:pPr>
            <w:r w:rsidRPr="00C15955">
              <w:rPr>
                <w:sz w:val="24"/>
              </w:rPr>
              <w:t>Відсутні</w:t>
            </w:r>
          </w:p>
        </w:tc>
        <w:tc>
          <w:tcPr>
            <w:tcW w:w="1135" w:type="pct"/>
            <w:vAlign w:val="center"/>
          </w:tcPr>
          <w:p w:rsidR="00847546" w:rsidRPr="00C15955" w:rsidRDefault="00847546" w:rsidP="00847546">
            <w:pPr>
              <w:jc w:val="both"/>
              <w:rPr>
                <w:sz w:val="24"/>
              </w:rPr>
            </w:pPr>
            <w:r w:rsidRPr="00C15955">
              <w:rPr>
                <w:sz w:val="24"/>
              </w:rPr>
              <w:t>Відсутні</w:t>
            </w:r>
          </w:p>
        </w:tc>
        <w:tc>
          <w:tcPr>
            <w:tcW w:w="1740" w:type="pct"/>
            <w:vAlign w:val="center"/>
          </w:tcPr>
          <w:p w:rsidR="00847546" w:rsidRPr="00C15955" w:rsidRDefault="00847546" w:rsidP="00847546">
            <w:pPr>
              <w:ind w:right="142"/>
              <w:jc w:val="both"/>
              <w:rPr>
                <w:sz w:val="24"/>
              </w:rPr>
            </w:pPr>
            <w:r w:rsidRPr="00C15955">
              <w:rPr>
                <w:sz w:val="24"/>
              </w:rPr>
              <w:t xml:space="preserve">Не забезпечує </w:t>
            </w:r>
            <w:r>
              <w:rPr>
                <w:sz w:val="24"/>
              </w:rPr>
              <w:t xml:space="preserve">достатнє нормативно-правове регулювання </w:t>
            </w:r>
            <w:r w:rsidRPr="00C15955">
              <w:rPr>
                <w:sz w:val="24"/>
              </w:rPr>
              <w:t xml:space="preserve">для здійснення </w:t>
            </w:r>
            <w:r w:rsidR="00A53332">
              <w:rPr>
                <w:sz w:val="24"/>
              </w:rPr>
              <w:t>контрольних</w:t>
            </w:r>
            <w:r w:rsidRPr="00C15955">
              <w:rPr>
                <w:sz w:val="24"/>
              </w:rPr>
              <w:t xml:space="preserve"> функцій</w:t>
            </w:r>
          </w:p>
        </w:tc>
      </w:tr>
      <w:tr w:rsidR="00847546" w:rsidRPr="000A23CF" w:rsidTr="00A53332">
        <w:tblPrEx>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PrEx>
        <w:trPr>
          <w:trHeight w:val="1104"/>
        </w:trPr>
        <w:tc>
          <w:tcPr>
            <w:tcW w:w="1263" w:type="pct"/>
            <w:vAlign w:val="center"/>
          </w:tcPr>
          <w:p w:rsidR="00847546" w:rsidRPr="00C70889" w:rsidRDefault="00847546" w:rsidP="00847546">
            <w:pPr>
              <w:jc w:val="both"/>
              <w:rPr>
                <w:b/>
                <w:sz w:val="24"/>
              </w:rPr>
            </w:pPr>
            <w:r w:rsidRPr="00C70889">
              <w:rPr>
                <w:b/>
                <w:sz w:val="24"/>
              </w:rPr>
              <w:t xml:space="preserve">Альтернатива </w:t>
            </w:r>
            <w:r w:rsidR="00B20FAB">
              <w:rPr>
                <w:b/>
                <w:sz w:val="24"/>
              </w:rPr>
              <w:t>2</w:t>
            </w:r>
          </w:p>
          <w:p w:rsidR="00847546" w:rsidRDefault="00847546" w:rsidP="00847546">
            <w:pPr>
              <w:jc w:val="both"/>
              <w:rPr>
                <w:sz w:val="24"/>
              </w:rPr>
            </w:pPr>
            <w:r w:rsidRPr="00C70889">
              <w:rPr>
                <w:sz w:val="24"/>
              </w:rPr>
              <w:t xml:space="preserve">(обрана альтернатива) </w:t>
            </w:r>
          </w:p>
          <w:p w:rsidR="00847546" w:rsidRPr="000E7BA1" w:rsidRDefault="00847546" w:rsidP="00847546">
            <w:pPr>
              <w:jc w:val="both"/>
              <w:rPr>
                <w:sz w:val="14"/>
              </w:rPr>
            </w:pPr>
          </w:p>
          <w:p w:rsidR="00847546" w:rsidRPr="00C70889" w:rsidRDefault="00847546" w:rsidP="00847546">
            <w:pPr>
              <w:jc w:val="both"/>
              <w:rPr>
                <w:sz w:val="24"/>
              </w:rPr>
            </w:pPr>
            <w:r w:rsidRPr="00847546">
              <w:rPr>
                <w:sz w:val="24"/>
              </w:rPr>
              <w:t xml:space="preserve">Внесення змін до чинного регуляторного </w:t>
            </w:r>
            <w:proofErr w:type="spellStart"/>
            <w:r w:rsidRPr="00847546">
              <w:rPr>
                <w:sz w:val="24"/>
              </w:rPr>
              <w:t>акта</w:t>
            </w:r>
            <w:proofErr w:type="spellEnd"/>
          </w:p>
        </w:tc>
        <w:tc>
          <w:tcPr>
            <w:tcW w:w="862" w:type="pct"/>
            <w:vAlign w:val="center"/>
          </w:tcPr>
          <w:p w:rsidR="00847546" w:rsidRPr="00C15955" w:rsidRDefault="00847546" w:rsidP="00847546">
            <w:pPr>
              <w:jc w:val="both"/>
              <w:rPr>
                <w:sz w:val="24"/>
              </w:rPr>
            </w:pPr>
            <w:r w:rsidRPr="00C15955">
              <w:rPr>
                <w:sz w:val="24"/>
              </w:rPr>
              <w:t>Найбільш вигідний</w:t>
            </w:r>
          </w:p>
        </w:tc>
        <w:tc>
          <w:tcPr>
            <w:tcW w:w="1135" w:type="pct"/>
            <w:vAlign w:val="center"/>
          </w:tcPr>
          <w:p w:rsidR="00847546" w:rsidRPr="00C15955" w:rsidRDefault="00847546" w:rsidP="00847546">
            <w:pPr>
              <w:jc w:val="both"/>
              <w:rPr>
                <w:sz w:val="24"/>
              </w:rPr>
            </w:pPr>
            <w:r w:rsidRPr="00C15955">
              <w:rPr>
                <w:sz w:val="24"/>
              </w:rPr>
              <w:t>Відсутні</w:t>
            </w:r>
          </w:p>
        </w:tc>
        <w:tc>
          <w:tcPr>
            <w:tcW w:w="1740" w:type="pct"/>
            <w:vAlign w:val="center"/>
          </w:tcPr>
          <w:p w:rsidR="00847546" w:rsidRPr="00C15955" w:rsidRDefault="00847546" w:rsidP="00847546">
            <w:pPr>
              <w:ind w:right="142"/>
              <w:jc w:val="both"/>
              <w:rPr>
                <w:sz w:val="24"/>
              </w:rPr>
            </w:pPr>
            <w:r w:rsidRPr="00C15955">
              <w:rPr>
                <w:sz w:val="24"/>
              </w:rPr>
              <w:t xml:space="preserve">Реалізація альтернативи </w:t>
            </w:r>
            <w:r w:rsidR="00B20FAB">
              <w:rPr>
                <w:sz w:val="24"/>
              </w:rPr>
              <w:t>2</w:t>
            </w:r>
            <w:r w:rsidRPr="00C15955">
              <w:rPr>
                <w:sz w:val="24"/>
              </w:rPr>
              <w:t xml:space="preserve"> дозволить досягнути задекларован</w:t>
            </w:r>
            <w:r>
              <w:rPr>
                <w:sz w:val="24"/>
              </w:rPr>
              <w:t>их</w:t>
            </w:r>
            <w:r w:rsidRPr="00C15955">
              <w:rPr>
                <w:sz w:val="24"/>
              </w:rPr>
              <w:t xml:space="preserve"> ціл</w:t>
            </w:r>
            <w:r>
              <w:rPr>
                <w:sz w:val="24"/>
              </w:rPr>
              <w:t>ей</w:t>
            </w:r>
            <w:r w:rsidRPr="00C15955">
              <w:rPr>
                <w:sz w:val="24"/>
              </w:rPr>
              <w:t xml:space="preserve"> повною мірою</w:t>
            </w:r>
          </w:p>
        </w:tc>
      </w:tr>
    </w:tbl>
    <w:p w:rsidR="00D454A2" w:rsidRDefault="00D454A2" w:rsidP="00D454A2">
      <w:pPr>
        <w:pStyle w:val="a3"/>
        <w:spacing w:before="4"/>
        <w:rPr>
          <w:sz w:val="27"/>
        </w:rPr>
      </w:pPr>
    </w:p>
    <w:tbl>
      <w:tblPr>
        <w:tblStyle w:val="TableNormal"/>
        <w:tblW w:w="5000" w:type="pct"/>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ook w:val="01E0" w:firstRow="1" w:lastRow="1" w:firstColumn="1" w:lastColumn="1" w:noHBand="0" w:noVBand="0"/>
      </w:tblPr>
      <w:tblGrid>
        <w:gridCol w:w="2721"/>
        <w:gridCol w:w="3497"/>
        <w:gridCol w:w="3404"/>
      </w:tblGrid>
      <w:tr w:rsidR="00D454A2" w:rsidRPr="00AE6DAC" w:rsidTr="00496C10">
        <w:trPr>
          <w:trHeight w:val="326"/>
        </w:trPr>
        <w:tc>
          <w:tcPr>
            <w:tcW w:w="1414" w:type="pct"/>
            <w:vAlign w:val="center"/>
          </w:tcPr>
          <w:p w:rsidR="00D454A2" w:rsidRPr="00AE6DAC" w:rsidRDefault="00D454A2" w:rsidP="003032D0">
            <w:pPr>
              <w:ind w:right="85"/>
              <w:jc w:val="center"/>
              <w:rPr>
                <w:b/>
                <w:sz w:val="24"/>
              </w:rPr>
            </w:pPr>
            <w:r w:rsidRPr="00AE6DAC">
              <w:rPr>
                <w:b/>
                <w:sz w:val="24"/>
              </w:rPr>
              <w:t>Рейтинг результативності</w:t>
            </w:r>
          </w:p>
          <w:p w:rsidR="00D454A2" w:rsidRPr="00AE6DAC" w:rsidRDefault="00D454A2" w:rsidP="003032D0">
            <w:pPr>
              <w:ind w:right="85"/>
              <w:jc w:val="center"/>
              <w:rPr>
                <w:sz w:val="24"/>
              </w:rPr>
            </w:pPr>
            <w:r w:rsidRPr="00AE6DAC">
              <w:rPr>
                <w:sz w:val="24"/>
              </w:rPr>
              <w:t>(досягнення цілей під час вирішення проблеми)</w:t>
            </w:r>
          </w:p>
        </w:tc>
        <w:tc>
          <w:tcPr>
            <w:tcW w:w="1817" w:type="pct"/>
            <w:vAlign w:val="center"/>
          </w:tcPr>
          <w:p w:rsidR="00D454A2" w:rsidRPr="00AE6DAC" w:rsidRDefault="00D454A2" w:rsidP="003032D0">
            <w:pPr>
              <w:ind w:right="85"/>
              <w:jc w:val="center"/>
              <w:rPr>
                <w:b/>
                <w:sz w:val="24"/>
              </w:rPr>
            </w:pPr>
            <w:r w:rsidRPr="00AE6DAC">
              <w:rPr>
                <w:b/>
                <w:sz w:val="24"/>
              </w:rPr>
              <w:t>Аргументи щодо переваги обраної альтернативи/</w:t>
            </w:r>
          </w:p>
          <w:p w:rsidR="00D454A2" w:rsidRPr="00AE6DAC" w:rsidRDefault="00D454A2" w:rsidP="003032D0">
            <w:pPr>
              <w:ind w:right="85"/>
              <w:jc w:val="center"/>
              <w:rPr>
                <w:b/>
                <w:sz w:val="24"/>
              </w:rPr>
            </w:pPr>
            <w:r w:rsidRPr="00AE6DAC">
              <w:rPr>
                <w:b/>
                <w:sz w:val="24"/>
              </w:rPr>
              <w:t>причини відмови від альтернативи</w:t>
            </w:r>
          </w:p>
        </w:tc>
        <w:tc>
          <w:tcPr>
            <w:tcW w:w="1769" w:type="pct"/>
            <w:vAlign w:val="center"/>
          </w:tcPr>
          <w:p w:rsidR="00D454A2" w:rsidRPr="00AE6DAC" w:rsidRDefault="00D454A2" w:rsidP="003032D0">
            <w:pPr>
              <w:ind w:right="85"/>
              <w:jc w:val="center"/>
              <w:rPr>
                <w:b/>
                <w:sz w:val="24"/>
              </w:rPr>
            </w:pPr>
            <w:r w:rsidRPr="00AE6DAC">
              <w:rPr>
                <w:b/>
                <w:sz w:val="24"/>
              </w:rPr>
              <w:t>Оцінка ризику зовнішніх чинників на дію запропонованого регуляторного акта</w:t>
            </w:r>
          </w:p>
        </w:tc>
      </w:tr>
      <w:tr w:rsidR="00847546" w:rsidRPr="00AE6DAC" w:rsidTr="00496C10">
        <w:trPr>
          <w:trHeight w:val="796"/>
        </w:trPr>
        <w:tc>
          <w:tcPr>
            <w:tcW w:w="1414" w:type="pct"/>
            <w:vAlign w:val="center"/>
          </w:tcPr>
          <w:p w:rsidR="00847546" w:rsidRDefault="00847546" w:rsidP="00847546">
            <w:pPr>
              <w:jc w:val="both"/>
              <w:rPr>
                <w:b/>
                <w:sz w:val="24"/>
              </w:rPr>
            </w:pPr>
            <w:r w:rsidRPr="00C70889">
              <w:rPr>
                <w:b/>
                <w:sz w:val="24"/>
              </w:rPr>
              <w:t>Альтернатива 1</w:t>
            </w:r>
          </w:p>
          <w:p w:rsidR="00847546" w:rsidRPr="00C70889" w:rsidRDefault="00847546" w:rsidP="00847546">
            <w:pPr>
              <w:jc w:val="both"/>
              <w:rPr>
                <w:sz w:val="24"/>
              </w:rPr>
            </w:pPr>
            <w:r w:rsidRPr="00C70889">
              <w:rPr>
                <w:sz w:val="24"/>
              </w:rPr>
              <w:t>Збереження чинного регулювання</w:t>
            </w:r>
          </w:p>
        </w:tc>
        <w:tc>
          <w:tcPr>
            <w:tcW w:w="1817" w:type="pct"/>
            <w:vAlign w:val="center"/>
          </w:tcPr>
          <w:p w:rsidR="00847546" w:rsidRPr="00AE6DAC" w:rsidRDefault="00847546" w:rsidP="00847546">
            <w:pPr>
              <w:rPr>
                <w:sz w:val="24"/>
              </w:rPr>
            </w:pPr>
            <w:r w:rsidRPr="00C15955">
              <w:rPr>
                <w:sz w:val="24"/>
              </w:rPr>
              <w:t xml:space="preserve">Не забезпечує </w:t>
            </w:r>
            <w:r>
              <w:rPr>
                <w:sz w:val="24"/>
              </w:rPr>
              <w:t xml:space="preserve">достатнє нормативно-правове регулювання </w:t>
            </w:r>
            <w:r w:rsidRPr="00C15955">
              <w:rPr>
                <w:sz w:val="24"/>
              </w:rPr>
              <w:t xml:space="preserve">для здійснення </w:t>
            </w:r>
            <w:r w:rsidR="00A92490">
              <w:rPr>
                <w:sz w:val="24"/>
              </w:rPr>
              <w:t>контрольних</w:t>
            </w:r>
            <w:r w:rsidRPr="00C15955">
              <w:rPr>
                <w:sz w:val="24"/>
              </w:rPr>
              <w:t xml:space="preserve"> функцій</w:t>
            </w:r>
          </w:p>
        </w:tc>
        <w:tc>
          <w:tcPr>
            <w:tcW w:w="1769" w:type="pct"/>
            <w:vAlign w:val="center"/>
          </w:tcPr>
          <w:p w:rsidR="00847546" w:rsidRPr="00AE6DAC" w:rsidRDefault="00847546" w:rsidP="00847546">
            <w:pPr>
              <w:rPr>
                <w:sz w:val="24"/>
              </w:rPr>
            </w:pPr>
            <w:r w:rsidRPr="00AE6DAC">
              <w:rPr>
                <w:sz w:val="24"/>
              </w:rPr>
              <w:t>Відсутній</w:t>
            </w:r>
          </w:p>
        </w:tc>
      </w:tr>
      <w:tr w:rsidR="00847546" w:rsidRPr="00AE6DAC" w:rsidTr="00496C10">
        <w:trPr>
          <w:trHeight w:val="1520"/>
        </w:trPr>
        <w:tc>
          <w:tcPr>
            <w:tcW w:w="1414" w:type="pct"/>
            <w:vAlign w:val="center"/>
          </w:tcPr>
          <w:p w:rsidR="00847546" w:rsidRPr="00C70889" w:rsidRDefault="00847546" w:rsidP="00847546">
            <w:pPr>
              <w:jc w:val="both"/>
              <w:rPr>
                <w:b/>
                <w:sz w:val="24"/>
              </w:rPr>
            </w:pPr>
            <w:r w:rsidRPr="00C70889">
              <w:rPr>
                <w:b/>
                <w:sz w:val="24"/>
              </w:rPr>
              <w:t xml:space="preserve">Альтернатива </w:t>
            </w:r>
            <w:r w:rsidR="00E97EB3">
              <w:rPr>
                <w:b/>
                <w:sz w:val="24"/>
              </w:rPr>
              <w:t>2</w:t>
            </w:r>
          </w:p>
          <w:p w:rsidR="00847546" w:rsidRDefault="00847546" w:rsidP="00847546">
            <w:pPr>
              <w:jc w:val="both"/>
              <w:rPr>
                <w:sz w:val="24"/>
              </w:rPr>
            </w:pPr>
            <w:r w:rsidRPr="00C70889">
              <w:rPr>
                <w:sz w:val="24"/>
              </w:rPr>
              <w:t xml:space="preserve">(обрана альтернатива) </w:t>
            </w:r>
          </w:p>
          <w:p w:rsidR="00847546" w:rsidRPr="000E7BA1" w:rsidRDefault="00847546" w:rsidP="00847546">
            <w:pPr>
              <w:jc w:val="both"/>
              <w:rPr>
                <w:sz w:val="14"/>
              </w:rPr>
            </w:pPr>
          </w:p>
          <w:p w:rsidR="00847546" w:rsidRPr="00C70889" w:rsidRDefault="00847546" w:rsidP="00847546">
            <w:pPr>
              <w:jc w:val="both"/>
              <w:rPr>
                <w:sz w:val="24"/>
              </w:rPr>
            </w:pPr>
            <w:r w:rsidRPr="00847546">
              <w:rPr>
                <w:sz w:val="24"/>
              </w:rPr>
              <w:t xml:space="preserve">Внесення змін до чинного регуляторного </w:t>
            </w:r>
            <w:proofErr w:type="spellStart"/>
            <w:r w:rsidRPr="00847546">
              <w:rPr>
                <w:sz w:val="24"/>
              </w:rPr>
              <w:t>акта</w:t>
            </w:r>
            <w:proofErr w:type="spellEnd"/>
          </w:p>
        </w:tc>
        <w:tc>
          <w:tcPr>
            <w:tcW w:w="1817" w:type="pct"/>
            <w:vAlign w:val="center"/>
          </w:tcPr>
          <w:p w:rsidR="00847546" w:rsidRPr="00AE6DAC" w:rsidRDefault="00EE0ABB" w:rsidP="00847546">
            <w:pPr>
              <w:ind w:right="87"/>
              <w:jc w:val="both"/>
              <w:rPr>
                <w:sz w:val="24"/>
              </w:rPr>
            </w:pPr>
            <w:r w:rsidRPr="00EE0ABB">
              <w:rPr>
                <w:sz w:val="24"/>
              </w:rPr>
              <w:t>Дозволяє вирішити проблему самим ефективним шляхом з найменшими витратами ресурсів, забезпечує досягнення цілей державного регулювання</w:t>
            </w:r>
          </w:p>
        </w:tc>
        <w:tc>
          <w:tcPr>
            <w:tcW w:w="1769" w:type="pct"/>
            <w:vAlign w:val="center"/>
          </w:tcPr>
          <w:p w:rsidR="00847546" w:rsidRPr="00AE6DAC" w:rsidRDefault="00847546" w:rsidP="00847546">
            <w:pPr>
              <w:rPr>
                <w:sz w:val="24"/>
              </w:rPr>
            </w:pPr>
            <w:r w:rsidRPr="00AE6DAC">
              <w:rPr>
                <w:sz w:val="24"/>
              </w:rPr>
              <w:t>Відсутній</w:t>
            </w:r>
          </w:p>
        </w:tc>
      </w:tr>
    </w:tbl>
    <w:p w:rsidR="00D454A2" w:rsidRPr="00A92490" w:rsidRDefault="00D454A2" w:rsidP="00D454A2">
      <w:pPr>
        <w:pStyle w:val="1"/>
        <w:tabs>
          <w:tab w:val="left" w:pos="764"/>
          <w:tab w:val="left" w:pos="1296"/>
          <w:tab w:val="left" w:pos="1297"/>
          <w:tab w:val="left" w:pos="1915"/>
          <w:tab w:val="left" w:pos="2560"/>
          <w:tab w:val="left" w:pos="4301"/>
          <w:tab w:val="left" w:pos="6072"/>
        </w:tabs>
        <w:spacing w:before="88"/>
        <w:ind w:left="774"/>
      </w:pPr>
    </w:p>
    <w:p w:rsidR="00D454A2" w:rsidRPr="00A92490" w:rsidRDefault="00D454A2" w:rsidP="0085062D">
      <w:pPr>
        <w:pStyle w:val="1"/>
        <w:numPr>
          <w:ilvl w:val="1"/>
          <w:numId w:val="3"/>
        </w:numPr>
        <w:tabs>
          <w:tab w:val="left" w:pos="764"/>
          <w:tab w:val="left" w:pos="1296"/>
          <w:tab w:val="left" w:pos="1297"/>
          <w:tab w:val="left" w:pos="1915"/>
          <w:tab w:val="left" w:pos="2560"/>
          <w:tab w:val="left" w:pos="4301"/>
          <w:tab w:val="left" w:pos="6072"/>
        </w:tabs>
        <w:ind w:left="235" w:firstLine="539"/>
        <w:jc w:val="center"/>
      </w:pPr>
      <w:r w:rsidRPr="00A92490">
        <w:rPr>
          <w:spacing w:val="-3"/>
          <w:w w:val="95"/>
        </w:rPr>
        <w:t xml:space="preserve">Механізми </w:t>
      </w:r>
      <w:r w:rsidRPr="00A92490">
        <w:t>та заходи, які забезпечать розв’язання визначеної</w:t>
      </w:r>
      <w:r w:rsidR="00772360" w:rsidRPr="00A92490">
        <w:t xml:space="preserve"> проблеми</w:t>
      </w:r>
    </w:p>
    <w:p w:rsidR="00D454A2" w:rsidRPr="00A92490" w:rsidRDefault="00D454A2" w:rsidP="0085062D">
      <w:pPr>
        <w:pStyle w:val="1"/>
        <w:tabs>
          <w:tab w:val="left" w:pos="764"/>
          <w:tab w:val="left" w:pos="1296"/>
          <w:tab w:val="left" w:pos="1297"/>
          <w:tab w:val="left" w:pos="1915"/>
          <w:tab w:val="left" w:pos="2560"/>
          <w:tab w:val="left" w:pos="4301"/>
          <w:tab w:val="left" w:pos="6072"/>
        </w:tabs>
        <w:ind w:left="774"/>
      </w:pPr>
    </w:p>
    <w:p w:rsidR="00D454A2" w:rsidRPr="001D31FB" w:rsidRDefault="00D454A2" w:rsidP="001D31FB">
      <w:pPr>
        <w:ind w:firstLine="709"/>
        <w:jc w:val="both"/>
        <w:rPr>
          <w:sz w:val="28"/>
          <w:szCs w:val="28"/>
        </w:rPr>
      </w:pPr>
      <w:r w:rsidRPr="00A92490">
        <w:rPr>
          <w:sz w:val="28"/>
          <w:szCs w:val="28"/>
        </w:rPr>
        <w:t xml:space="preserve">Прийняття постанови HKPEKП </w:t>
      </w:r>
      <w:r w:rsidR="001D31FB" w:rsidRPr="00A92490">
        <w:rPr>
          <w:sz w:val="28"/>
          <w:szCs w:val="28"/>
        </w:rPr>
        <w:t>«</w:t>
      </w:r>
      <w:r w:rsidR="00832E58" w:rsidRPr="00A92490">
        <w:rPr>
          <w:rStyle w:val="rvts23"/>
          <w:color w:val="000000"/>
          <w:sz w:val="28"/>
          <w:szCs w:val="28"/>
        </w:rPr>
        <w:t xml:space="preserve">Про затвердження Змін </w:t>
      </w:r>
      <w:r w:rsidR="00832E58" w:rsidRPr="00A92490">
        <w:rPr>
          <w:sz w:val="28"/>
          <w:szCs w:val="28"/>
        </w:rPr>
        <w:t>до Порядку контролю за</w:t>
      </w:r>
      <w:r w:rsidR="00832E58" w:rsidRPr="00832E58">
        <w:rPr>
          <w:sz w:val="28"/>
          <w:szCs w:val="28"/>
        </w:rPr>
        <w:t xml:space="preserve">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001D31FB" w:rsidRPr="00832E58">
        <w:rPr>
          <w:sz w:val="28"/>
          <w:szCs w:val="28"/>
        </w:rPr>
        <w:t>»</w:t>
      </w:r>
      <w:r w:rsidRPr="00832E58">
        <w:rPr>
          <w:sz w:val="28"/>
          <w:szCs w:val="28"/>
        </w:rPr>
        <w:t xml:space="preserve"> </w:t>
      </w:r>
      <w:r w:rsidR="001D612B" w:rsidRPr="00832E58">
        <w:rPr>
          <w:sz w:val="28"/>
          <w:szCs w:val="28"/>
        </w:rPr>
        <w:t xml:space="preserve">забезпечить </w:t>
      </w:r>
      <w:r w:rsidR="00F96579" w:rsidRPr="00F96579">
        <w:rPr>
          <w:sz w:val="28"/>
          <w:szCs w:val="28"/>
        </w:rPr>
        <w:t xml:space="preserve">можливість проведення </w:t>
      </w:r>
      <w:r w:rsidR="00360A64">
        <w:rPr>
          <w:sz w:val="28"/>
          <w:szCs w:val="28"/>
        </w:rPr>
        <w:t xml:space="preserve">перевірок </w:t>
      </w:r>
      <w:r w:rsidR="00F96579" w:rsidRPr="00F96579">
        <w:rPr>
          <w:sz w:val="28"/>
          <w:szCs w:val="28"/>
        </w:rPr>
        <w:t>ліцензіатів НКРЕКП</w:t>
      </w:r>
      <w:r w:rsidR="00B0208E">
        <w:rPr>
          <w:sz w:val="28"/>
          <w:szCs w:val="28"/>
        </w:rPr>
        <w:t xml:space="preserve"> </w:t>
      </w:r>
      <w:r w:rsidR="00B0208E" w:rsidRPr="00B0208E">
        <w:rPr>
          <w:sz w:val="28"/>
          <w:szCs w:val="28"/>
        </w:rPr>
        <w:t>відповідно до вимог чинного законодавства, зокрема до Порядку №</w:t>
      </w:r>
      <w:r w:rsidR="00C939D5">
        <w:rPr>
          <w:sz w:val="28"/>
          <w:szCs w:val="28"/>
        </w:rPr>
        <w:t> </w:t>
      </w:r>
      <w:r w:rsidR="00B0208E" w:rsidRPr="00B0208E">
        <w:rPr>
          <w:sz w:val="28"/>
          <w:szCs w:val="28"/>
        </w:rPr>
        <w:t>1175 та Постанови № 1009</w:t>
      </w:r>
      <w:r w:rsidRPr="001D31FB">
        <w:rPr>
          <w:sz w:val="28"/>
          <w:szCs w:val="28"/>
        </w:rPr>
        <w:t>.</w:t>
      </w:r>
    </w:p>
    <w:p w:rsidR="00D454A2" w:rsidRPr="001D31FB" w:rsidRDefault="00D454A2" w:rsidP="0085062D">
      <w:pPr>
        <w:pStyle w:val="a3"/>
        <w:ind w:right="132" w:firstLine="702"/>
        <w:jc w:val="both"/>
      </w:pPr>
      <w:r w:rsidRPr="001D31FB">
        <w:t xml:space="preserve">Впливу зовнішніх факторів, що можуть мати негативний вплив на </w:t>
      </w:r>
      <w:r w:rsidRPr="001D31FB">
        <w:lastRenderedPageBreak/>
        <w:t>виконання вимог регуляторного акта, не очікується.</w:t>
      </w:r>
    </w:p>
    <w:p w:rsidR="00D454A2" w:rsidRPr="000A23CF" w:rsidRDefault="00D454A2" w:rsidP="0085062D">
      <w:pPr>
        <w:pStyle w:val="a3"/>
        <w:spacing w:before="4" w:line="237" w:lineRule="auto"/>
        <w:ind w:right="146" w:firstLine="710"/>
        <w:jc w:val="both"/>
      </w:pPr>
      <w:r w:rsidRPr="001D31FB">
        <w:t>Характеристика механізму повної або часткової компенсації можливої шкоди у разі настання очікуваних наслідків дії акта не розроблялась, оскільки введення в дію положень регуляторного акта не призведе до настання будь-яких негативних наслідків.</w:t>
      </w:r>
    </w:p>
    <w:p w:rsidR="00D454A2" w:rsidRPr="00F96579" w:rsidRDefault="00D454A2" w:rsidP="00D454A2">
      <w:pPr>
        <w:pStyle w:val="a3"/>
        <w:spacing w:before="8"/>
      </w:pPr>
    </w:p>
    <w:p w:rsidR="00D454A2" w:rsidRPr="00F96579" w:rsidRDefault="00D454A2" w:rsidP="00D454A2">
      <w:pPr>
        <w:pStyle w:val="1"/>
        <w:numPr>
          <w:ilvl w:val="1"/>
          <w:numId w:val="3"/>
        </w:numPr>
        <w:tabs>
          <w:tab w:val="left" w:pos="1224"/>
        </w:tabs>
        <w:ind w:left="1223" w:hanging="448"/>
        <w:jc w:val="center"/>
      </w:pPr>
      <w:r w:rsidRPr="00F96579">
        <w:t>Обґрунтування запропонованого строку дії регуляторного</w:t>
      </w:r>
      <w:r w:rsidRPr="00F96579">
        <w:rPr>
          <w:spacing w:val="-30"/>
        </w:rPr>
        <w:t xml:space="preserve"> </w:t>
      </w:r>
      <w:r w:rsidRPr="00F96579">
        <w:t>акта</w:t>
      </w:r>
    </w:p>
    <w:p w:rsidR="00D454A2" w:rsidRPr="00F96579" w:rsidRDefault="00D454A2" w:rsidP="00D454A2">
      <w:pPr>
        <w:pStyle w:val="a3"/>
        <w:spacing w:before="6"/>
      </w:pPr>
    </w:p>
    <w:p w:rsidR="00D454A2" w:rsidRPr="00F96579" w:rsidRDefault="00BB3ECA" w:rsidP="00D454A2">
      <w:pPr>
        <w:pStyle w:val="a3"/>
        <w:ind w:left="238" w:right="149" w:firstLine="703"/>
        <w:jc w:val="both"/>
      </w:pPr>
      <w:r w:rsidRPr="00F96579">
        <w:t xml:space="preserve">Строк </w:t>
      </w:r>
      <w:r w:rsidR="00D454A2" w:rsidRPr="00F96579">
        <w:t>дії акта необмежений. Він може бути змінений у разі внесення відповідних змін до законодавства.</w:t>
      </w:r>
    </w:p>
    <w:p w:rsidR="00DF1E2D" w:rsidRPr="00F96579" w:rsidRDefault="00DF1E2D" w:rsidP="00D454A2">
      <w:pPr>
        <w:pStyle w:val="a3"/>
        <w:ind w:left="238" w:right="149" w:firstLine="703"/>
        <w:jc w:val="both"/>
      </w:pPr>
    </w:p>
    <w:p w:rsidR="00D454A2" w:rsidRPr="00F96579" w:rsidRDefault="00D454A2" w:rsidP="00D454A2">
      <w:pPr>
        <w:pStyle w:val="1"/>
        <w:numPr>
          <w:ilvl w:val="1"/>
          <w:numId w:val="3"/>
        </w:numPr>
        <w:tabs>
          <w:tab w:val="left" w:pos="1335"/>
        </w:tabs>
        <w:spacing w:before="75"/>
        <w:ind w:left="1334" w:hanging="559"/>
      </w:pPr>
      <w:r w:rsidRPr="00F96579">
        <w:t>Визначення показників результативності дії регуляторного</w:t>
      </w:r>
      <w:r w:rsidRPr="00F96579">
        <w:rPr>
          <w:spacing w:val="22"/>
        </w:rPr>
        <w:t xml:space="preserve"> </w:t>
      </w:r>
      <w:r w:rsidRPr="00F96579">
        <w:t>акта</w:t>
      </w:r>
    </w:p>
    <w:p w:rsidR="00D454A2" w:rsidRPr="00F96579" w:rsidRDefault="00D454A2" w:rsidP="00D454A2">
      <w:pPr>
        <w:pStyle w:val="a3"/>
        <w:spacing w:before="11"/>
        <w:rPr>
          <w:b/>
        </w:rPr>
      </w:pPr>
    </w:p>
    <w:p w:rsidR="00D454A2" w:rsidRPr="00F96579" w:rsidRDefault="00D454A2" w:rsidP="00F96579">
      <w:pPr>
        <w:pStyle w:val="a3"/>
        <w:ind w:right="143" w:firstLine="993"/>
        <w:jc w:val="both"/>
      </w:pPr>
      <w:r w:rsidRPr="00F96579">
        <w:t xml:space="preserve">Після набрання постановою HKPEKП </w:t>
      </w:r>
      <w:r w:rsidR="001D31FB" w:rsidRPr="00F96579">
        <w:t>«</w:t>
      </w:r>
      <w:r w:rsidR="00832E58" w:rsidRPr="00F96579">
        <w:rPr>
          <w:rStyle w:val="rvts23"/>
          <w:color w:val="000000"/>
        </w:rPr>
        <w:t xml:space="preserve">Про затвердження Змін </w:t>
      </w:r>
      <w:r w:rsidR="00832E58" w:rsidRPr="00F96579">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001D31FB" w:rsidRPr="00F96579">
        <w:t>»</w:t>
      </w:r>
      <w:r w:rsidRPr="00F96579">
        <w:t xml:space="preserve"> чинності, її результативність визначатиметься такими показниками:</w:t>
      </w:r>
    </w:p>
    <w:p w:rsidR="005F6458" w:rsidRPr="00F96579" w:rsidRDefault="00D454A2" w:rsidP="00F96579">
      <w:pPr>
        <w:pStyle w:val="a9"/>
        <w:numPr>
          <w:ilvl w:val="2"/>
          <w:numId w:val="3"/>
        </w:numPr>
        <w:tabs>
          <w:tab w:val="left" w:pos="1342"/>
        </w:tabs>
        <w:ind w:left="0" w:right="139" w:firstLine="993"/>
        <w:jc w:val="both"/>
        <w:rPr>
          <w:sz w:val="28"/>
          <w:szCs w:val="28"/>
        </w:rPr>
      </w:pPr>
      <w:r w:rsidRPr="00F96579">
        <w:rPr>
          <w:sz w:val="28"/>
          <w:szCs w:val="28"/>
        </w:rPr>
        <w:t xml:space="preserve">розміром надходжень до Державного бюджету України </w:t>
      </w:r>
      <w:r w:rsidR="00F96579" w:rsidRPr="00F96579">
        <w:rPr>
          <w:sz w:val="28"/>
          <w:szCs w:val="28"/>
        </w:rPr>
        <w:t>–</w:t>
      </w:r>
      <w:r w:rsidRPr="00F96579">
        <w:rPr>
          <w:w w:val="90"/>
          <w:sz w:val="28"/>
          <w:szCs w:val="28"/>
        </w:rPr>
        <w:t xml:space="preserve"> </w:t>
      </w:r>
      <w:r w:rsidRPr="00F96579">
        <w:rPr>
          <w:sz w:val="28"/>
          <w:szCs w:val="28"/>
        </w:rPr>
        <w:t>реалізація про</w:t>
      </w:r>
      <w:r w:rsidR="00772360" w:rsidRPr="00F96579">
        <w:rPr>
          <w:sz w:val="28"/>
          <w:szCs w:val="28"/>
        </w:rPr>
        <w:t>є</w:t>
      </w:r>
      <w:r w:rsidRPr="00F96579">
        <w:rPr>
          <w:sz w:val="28"/>
          <w:szCs w:val="28"/>
        </w:rPr>
        <w:t xml:space="preserve">кту регуляторного акта не потребує витрат із Державного бюджету України, надходження до Державного бюджету України, у зв’язку з прийняттям регуляторного </w:t>
      </w:r>
      <w:proofErr w:type="spellStart"/>
      <w:r w:rsidRPr="00F96579">
        <w:rPr>
          <w:sz w:val="28"/>
          <w:szCs w:val="28"/>
        </w:rPr>
        <w:t>акта</w:t>
      </w:r>
      <w:proofErr w:type="spellEnd"/>
      <w:r w:rsidRPr="00F96579">
        <w:rPr>
          <w:sz w:val="28"/>
          <w:szCs w:val="28"/>
        </w:rPr>
        <w:t xml:space="preserve"> не</w:t>
      </w:r>
      <w:r w:rsidRPr="00F96579">
        <w:rPr>
          <w:spacing w:val="-31"/>
          <w:sz w:val="28"/>
          <w:szCs w:val="28"/>
        </w:rPr>
        <w:t xml:space="preserve"> </w:t>
      </w:r>
      <w:r w:rsidRPr="00F96579">
        <w:rPr>
          <w:sz w:val="28"/>
          <w:szCs w:val="28"/>
        </w:rPr>
        <w:t>передбачаються;</w:t>
      </w:r>
    </w:p>
    <w:p w:rsidR="00D454A2" w:rsidRPr="00F96579" w:rsidRDefault="00D454A2" w:rsidP="00F96579">
      <w:pPr>
        <w:pStyle w:val="a9"/>
        <w:numPr>
          <w:ilvl w:val="2"/>
          <w:numId w:val="3"/>
        </w:numPr>
        <w:tabs>
          <w:tab w:val="left" w:pos="1373"/>
        </w:tabs>
        <w:ind w:left="0" w:right="127" w:firstLine="993"/>
        <w:jc w:val="both"/>
        <w:rPr>
          <w:sz w:val="28"/>
          <w:szCs w:val="28"/>
        </w:rPr>
      </w:pPr>
      <w:r w:rsidRPr="00F96579">
        <w:rPr>
          <w:sz w:val="28"/>
          <w:szCs w:val="28"/>
        </w:rPr>
        <w:t>кількістю cy</w:t>
      </w:r>
      <w:r w:rsidR="00276819" w:rsidRPr="00F96579">
        <w:rPr>
          <w:sz w:val="28"/>
          <w:szCs w:val="28"/>
        </w:rPr>
        <w:t>б</w:t>
      </w:r>
      <w:r w:rsidRPr="00F96579">
        <w:rPr>
          <w:sz w:val="28"/>
          <w:szCs w:val="28"/>
        </w:rPr>
        <w:t>’</w:t>
      </w:r>
      <w:r w:rsidR="00276819" w:rsidRPr="00F96579">
        <w:rPr>
          <w:sz w:val="28"/>
          <w:szCs w:val="28"/>
        </w:rPr>
        <w:t>є</w:t>
      </w:r>
      <w:r w:rsidRPr="00F96579">
        <w:rPr>
          <w:sz w:val="28"/>
          <w:szCs w:val="28"/>
        </w:rPr>
        <w:t xml:space="preserve">ктів господарювання та/або фізичних осіб, на яких поширюватиметься дія регуляторного </w:t>
      </w:r>
      <w:proofErr w:type="spellStart"/>
      <w:r w:rsidRPr="00F96579">
        <w:rPr>
          <w:sz w:val="28"/>
          <w:szCs w:val="28"/>
        </w:rPr>
        <w:t>акта</w:t>
      </w:r>
      <w:proofErr w:type="spellEnd"/>
      <w:r w:rsidRPr="00F96579">
        <w:rPr>
          <w:sz w:val="28"/>
          <w:szCs w:val="28"/>
        </w:rPr>
        <w:t xml:space="preserve"> </w:t>
      </w:r>
      <w:r w:rsidR="00051357">
        <w:rPr>
          <w:w w:val="90"/>
          <w:sz w:val="28"/>
          <w:szCs w:val="28"/>
        </w:rPr>
        <w:t>–</w:t>
      </w:r>
      <w:r w:rsidRPr="00F96579">
        <w:rPr>
          <w:w w:val="90"/>
          <w:sz w:val="28"/>
          <w:szCs w:val="28"/>
        </w:rPr>
        <w:t xml:space="preserve"> </w:t>
      </w:r>
      <w:r w:rsidR="00E92C5C" w:rsidRPr="00E92C5C">
        <w:rPr>
          <w:sz w:val="28"/>
          <w:szCs w:val="28"/>
        </w:rPr>
        <w:t xml:space="preserve">дія </w:t>
      </w:r>
      <w:proofErr w:type="spellStart"/>
      <w:r w:rsidR="00E92C5C" w:rsidRPr="00E92C5C">
        <w:rPr>
          <w:sz w:val="28"/>
          <w:szCs w:val="28"/>
        </w:rPr>
        <w:t>акта</w:t>
      </w:r>
      <w:proofErr w:type="spellEnd"/>
      <w:r w:rsidR="00E92C5C" w:rsidRPr="00E92C5C">
        <w:rPr>
          <w:sz w:val="28"/>
          <w:szCs w:val="28"/>
        </w:rPr>
        <w:t xml:space="preserve"> поширюватиметься на суб’єктів господарювання, які здійснюють діяльність з розподілу електричної енергії (із застосуванням стимулюючого тарифоутворення та із застосуванням методології «витрати +»)</w:t>
      </w:r>
      <w:r w:rsidRPr="00F96579">
        <w:rPr>
          <w:sz w:val="28"/>
          <w:szCs w:val="28"/>
        </w:rPr>
        <w:t>;</w:t>
      </w:r>
    </w:p>
    <w:p w:rsidR="00D454A2" w:rsidRPr="00F96579" w:rsidRDefault="00D454A2" w:rsidP="00F96579">
      <w:pPr>
        <w:pStyle w:val="a9"/>
        <w:numPr>
          <w:ilvl w:val="2"/>
          <w:numId w:val="3"/>
        </w:numPr>
        <w:tabs>
          <w:tab w:val="left" w:pos="1255"/>
        </w:tabs>
        <w:spacing w:line="312" w:lineRule="exact"/>
        <w:ind w:left="0" w:firstLine="993"/>
        <w:jc w:val="both"/>
        <w:rPr>
          <w:sz w:val="28"/>
          <w:szCs w:val="28"/>
        </w:rPr>
      </w:pPr>
      <w:r w:rsidRPr="00F96579">
        <w:rPr>
          <w:sz w:val="28"/>
          <w:szCs w:val="28"/>
        </w:rPr>
        <w:t>рівнем поінформованості cy</w:t>
      </w:r>
      <w:r w:rsidR="00FF318B" w:rsidRPr="00F96579">
        <w:rPr>
          <w:sz w:val="28"/>
          <w:szCs w:val="28"/>
        </w:rPr>
        <w:t>б</w:t>
      </w:r>
      <w:r w:rsidRPr="00F96579">
        <w:rPr>
          <w:sz w:val="28"/>
          <w:szCs w:val="28"/>
        </w:rPr>
        <w:t>’</w:t>
      </w:r>
      <w:r w:rsidR="00FF318B" w:rsidRPr="00F96579">
        <w:rPr>
          <w:sz w:val="28"/>
          <w:szCs w:val="28"/>
        </w:rPr>
        <w:t>є</w:t>
      </w:r>
      <w:r w:rsidRPr="00F96579">
        <w:rPr>
          <w:sz w:val="28"/>
          <w:szCs w:val="28"/>
        </w:rPr>
        <w:t>ктів господарювання з основних</w:t>
      </w:r>
      <w:r w:rsidRPr="00F96579">
        <w:rPr>
          <w:spacing w:val="-9"/>
          <w:sz w:val="28"/>
          <w:szCs w:val="28"/>
        </w:rPr>
        <w:t xml:space="preserve"> </w:t>
      </w:r>
      <w:r w:rsidRPr="00F96579">
        <w:rPr>
          <w:sz w:val="28"/>
          <w:szCs w:val="28"/>
        </w:rPr>
        <w:t xml:space="preserve">положень </w:t>
      </w:r>
      <w:proofErr w:type="spellStart"/>
      <w:r w:rsidRPr="00F96579">
        <w:rPr>
          <w:sz w:val="28"/>
          <w:szCs w:val="28"/>
        </w:rPr>
        <w:t>акта</w:t>
      </w:r>
      <w:proofErr w:type="spellEnd"/>
      <w:r w:rsidR="00E424EC" w:rsidRPr="00F96579">
        <w:rPr>
          <w:sz w:val="28"/>
          <w:szCs w:val="28"/>
        </w:rPr>
        <w:t xml:space="preserve"> – середній.</w:t>
      </w:r>
    </w:p>
    <w:p w:rsidR="00051357" w:rsidRDefault="00D454A2" w:rsidP="00F96579">
      <w:pPr>
        <w:pStyle w:val="a3"/>
        <w:ind w:firstLine="993"/>
        <w:jc w:val="both"/>
      </w:pPr>
      <w:r w:rsidRPr="00F96579">
        <w:t>Відповідно до частини другої</w:t>
      </w:r>
      <w:r w:rsidR="00772360" w:rsidRPr="00F96579">
        <w:t xml:space="preserve"> статті 15 Закону України «Про</w:t>
      </w:r>
      <w:r w:rsidRPr="00F96579">
        <w:rPr>
          <w:spacing w:val="16"/>
        </w:rPr>
        <w:t xml:space="preserve"> </w:t>
      </w:r>
      <w:r w:rsidRPr="00F96579">
        <w:t>Національну комісію, що здійснює державне регулювання у сферах енергетики та</w:t>
      </w:r>
      <w:r w:rsidRPr="00F96579">
        <w:rPr>
          <w:spacing w:val="-47"/>
        </w:rPr>
        <w:t xml:space="preserve"> </w:t>
      </w:r>
      <w:r w:rsidRPr="00F96579">
        <w:t>комунальних послуг» про</w:t>
      </w:r>
      <w:r w:rsidR="00772360" w:rsidRPr="00F96579">
        <w:t>є</w:t>
      </w:r>
      <w:r w:rsidRPr="00F96579">
        <w:t xml:space="preserve">кт постанови HKPEKП </w:t>
      </w:r>
      <w:r w:rsidR="001D31FB" w:rsidRPr="00F96579">
        <w:t>«</w:t>
      </w:r>
      <w:r w:rsidR="00832E58" w:rsidRPr="00F96579">
        <w:rPr>
          <w:rStyle w:val="rvts23"/>
          <w:color w:val="000000"/>
        </w:rPr>
        <w:t xml:space="preserve">Про затвердження Змін </w:t>
      </w:r>
      <w:r w:rsidR="00832E58" w:rsidRPr="00F96579">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w:t>
      </w:r>
      <w:r w:rsidR="00832E58" w:rsidRPr="00832E58">
        <w:t xml:space="preserve"> умов</w:t>
      </w:r>
      <w:r w:rsidR="001D31FB">
        <w:t>»</w:t>
      </w:r>
      <w:r w:rsidRPr="00472A09">
        <w:t>, що ма</w:t>
      </w:r>
      <w:r w:rsidR="0085062D">
        <w:t>є</w:t>
      </w:r>
      <w:r w:rsidRPr="00472A09">
        <w:t xml:space="preserve"> ознаки регуляторного акта, аналіз впливу та повідомлення про оприлюднення розміщ</w:t>
      </w:r>
      <w:r w:rsidR="00051357">
        <w:t>уються</w:t>
      </w:r>
      <w:r w:rsidRPr="00472A09">
        <w:t xml:space="preserve"> на офі</w:t>
      </w:r>
      <w:r w:rsidR="00772360">
        <w:t>ційному веб</w:t>
      </w:r>
      <w:r w:rsidRPr="00472A09">
        <w:t xml:space="preserve">сайті HKPEKП в мережі Інтернет </w:t>
      </w:r>
      <w:hyperlink r:id="rId8" w:history="1">
        <w:r w:rsidR="004F58F9" w:rsidRPr="00173986">
          <w:rPr>
            <w:rStyle w:val="ac"/>
          </w:rPr>
          <w:t>www.nerc.gov.ua</w:t>
        </w:r>
      </w:hyperlink>
      <w:r w:rsidRPr="00276819">
        <w:t>.</w:t>
      </w:r>
    </w:p>
    <w:p w:rsidR="00D454A2" w:rsidRPr="00472A09" w:rsidRDefault="00D454A2" w:rsidP="00F96579">
      <w:pPr>
        <w:pStyle w:val="a3"/>
        <w:ind w:firstLine="993"/>
        <w:jc w:val="both"/>
      </w:pPr>
      <w:r w:rsidRPr="00276819">
        <w:t>HKPEKП у межах компетенції надає необхідні роз’яснення щодо норм про</w:t>
      </w:r>
      <w:r w:rsidR="00772360" w:rsidRPr="00276819">
        <w:t>є</w:t>
      </w:r>
      <w:r w:rsidRPr="00276819">
        <w:t xml:space="preserve">кту регуляторного акта i надаватиме роз’яснення щодо застосування акта, який буде </w:t>
      </w:r>
      <w:r w:rsidR="00B818D0">
        <w:t>оприлюднено</w:t>
      </w:r>
      <w:r w:rsidR="00B818D0" w:rsidRPr="00276819">
        <w:t xml:space="preserve"> </w:t>
      </w:r>
      <w:r w:rsidR="00772360" w:rsidRPr="00276819">
        <w:t>на офіційному веб</w:t>
      </w:r>
      <w:r w:rsidRPr="00276819">
        <w:t xml:space="preserve">сайті HKPEKП в мережі Інтернет </w:t>
      </w:r>
      <w:hyperlink r:id="rId9" w:history="1">
        <w:r w:rsidR="004F58F9" w:rsidRPr="00173986">
          <w:rPr>
            <w:rStyle w:val="ac"/>
          </w:rPr>
          <w:t>www.nerc.gov.ua</w:t>
        </w:r>
      </w:hyperlink>
      <w:r w:rsidR="004F58F9">
        <w:t xml:space="preserve"> </w:t>
      </w:r>
      <w:r w:rsidRPr="00276819">
        <w:t>після</w:t>
      </w:r>
      <w:r>
        <w:t xml:space="preserve"> його прийняття.</w:t>
      </w:r>
    </w:p>
    <w:p w:rsidR="00D454A2" w:rsidRPr="00472A09" w:rsidRDefault="00D454A2" w:rsidP="00D454A2">
      <w:pPr>
        <w:pStyle w:val="a3"/>
        <w:jc w:val="both"/>
      </w:pPr>
    </w:p>
    <w:p w:rsidR="00D454A2" w:rsidRPr="000A23CF" w:rsidRDefault="00D454A2" w:rsidP="00D454A2">
      <w:pPr>
        <w:pStyle w:val="1"/>
        <w:numPr>
          <w:ilvl w:val="1"/>
          <w:numId w:val="3"/>
        </w:numPr>
        <w:tabs>
          <w:tab w:val="left" w:pos="1445"/>
        </w:tabs>
        <w:spacing w:before="118"/>
        <w:ind w:left="1444" w:hanging="669"/>
      </w:pPr>
      <w:r w:rsidRPr="000A23CF">
        <w:t>Очікувані результати прийняття регуляторного</w:t>
      </w:r>
      <w:r w:rsidRPr="000A23CF">
        <w:rPr>
          <w:spacing w:val="7"/>
        </w:rPr>
        <w:t xml:space="preserve"> </w:t>
      </w:r>
      <w:r w:rsidRPr="000A23CF">
        <w:t>акта</w:t>
      </w:r>
    </w:p>
    <w:p w:rsidR="00D454A2" w:rsidRPr="000A23CF" w:rsidRDefault="00D454A2" w:rsidP="00D454A2">
      <w:pPr>
        <w:pStyle w:val="a3"/>
        <w:spacing w:before="1"/>
        <w:rPr>
          <w:b/>
          <w:sz w:val="27"/>
        </w:rPr>
      </w:pPr>
    </w:p>
    <w:p w:rsidR="00D454A2" w:rsidRPr="001D31FB" w:rsidRDefault="00D454A2" w:rsidP="0085062D">
      <w:pPr>
        <w:pStyle w:val="a3"/>
        <w:ind w:right="136" w:firstLine="567"/>
        <w:jc w:val="both"/>
      </w:pPr>
      <w:r w:rsidRPr="001D31FB">
        <w:lastRenderedPageBreak/>
        <w:t xml:space="preserve">Очікуваним результатом прийняття постанови HKPEKП </w:t>
      </w:r>
      <w:r w:rsidR="001D31FB" w:rsidRPr="001D31FB">
        <w:t>«</w:t>
      </w:r>
      <w:r w:rsidR="00832E58" w:rsidRPr="00832E58">
        <w:rPr>
          <w:rStyle w:val="rvts23"/>
          <w:color w:val="000000"/>
        </w:rPr>
        <w:t xml:space="preserve">Про </w:t>
      </w:r>
      <w:r w:rsidR="00832E58">
        <w:rPr>
          <w:rStyle w:val="rvts23"/>
          <w:color w:val="000000"/>
        </w:rPr>
        <w:t>затвердження</w:t>
      </w:r>
      <w:r w:rsidR="00832E58" w:rsidRPr="00832E58">
        <w:rPr>
          <w:rStyle w:val="rvts23"/>
          <w:color w:val="000000"/>
        </w:rPr>
        <w:t xml:space="preserve"> </w:t>
      </w:r>
      <w:r w:rsidR="00832E58">
        <w:rPr>
          <w:rStyle w:val="rvts23"/>
          <w:color w:val="000000"/>
        </w:rPr>
        <w:t>З</w:t>
      </w:r>
      <w:r w:rsidR="00832E58" w:rsidRPr="00832E58">
        <w:rPr>
          <w:rStyle w:val="rvts23"/>
          <w:color w:val="000000"/>
        </w:rPr>
        <w:t xml:space="preserve">мін </w:t>
      </w:r>
      <w:r w:rsidR="00832E58" w:rsidRPr="00832E58">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001D31FB" w:rsidRPr="001D31FB">
        <w:t>»</w:t>
      </w:r>
      <w:r w:rsidRPr="001D31FB">
        <w:t xml:space="preserve"> є </w:t>
      </w:r>
      <w:r w:rsidR="00051357">
        <w:t xml:space="preserve">забезпечення </w:t>
      </w:r>
      <w:r w:rsidR="00626F21" w:rsidRPr="00626F21">
        <w:t>здійснення НКРЕКП державного контролю за дотриманням суб’єктами господарювання, що провадять діяльність у сфері електроенергетики, законодавства та відповідних ліцензійних умов шляхом проведення планових та позапланових виїзних, а також невиїзних перевірок відповідно до Порядку контролю та з урахуванням положень Порядку № 1175 та Постанови № 1009</w:t>
      </w:r>
      <w:r w:rsidR="00F5369F">
        <w:t>.</w:t>
      </w:r>
    </w:p>
    <w:p w:rsidR="00D454A2" w:rsidRDefault="00D454A2" w:rsidP="00D454A2">
      <w:pPr>
        <w:pStyle w:val="a3"/>
        <w:ind w:left="234" w:right="136" w:firstLine="538"/>
        <w:jc w:val="both"/>
      </w:pPr>
    </w:p>
    <w:p w:rsidR="00171A19" w:rsidRDefault="00171A19" w:rsidP="00D454A2">
      <w:pPr>
        <w:pStyle w:val="a3"/>
        <w:ind w:left="234" w:right="136" w:firstLine="538"/>
        <w:jc w:val="both"/>
      </w:pPr>
    </w:p>
    <w:p w:rsidR="00D454A2" w:rsidRDefault="00D454A2" w:rsidP="00D454A2">
      <w:pPr>
        <w:pStyle w:val="a3"/>
        <w:ind w:left="234" w:right="136" w:firstLine="538"/>
        <w:jc w:val="both"/>
      </w:pPr>
    </w:p>
    <w:p w:rsidR="009C45E7" w:rsidRDefault="009C45E7" w:rsidP="00F46893">
      <w:pPr>
        <w:pStyle w:val="a3"/>
        <w:ind w:right="136"/>
        <w:jc w:val="both"/>
      </w:pPr>
    </w:p>
    <w:p w:rsidR="00D454A2" w:rsidRPr="00AE6DAC" w:rsidRDefault="00D454A2" w:rsidP="006C00FF">
      <w:pPr>
        <w:pStyle w:val="a3"/>
        <w:ind w:left="234" w:right="136" w:firstLine="50"/>
        <w:jc w:val="both"/>
        <w:rPr>
          <w:b/>
        </w:rPr>
      </w:pPr>
      <w:r w:rsidRPr="00AE6DAC">
        <w:rPr>
          <w:b/>
        </w:rPr>
        <w:t>Голов</w:t>
      </w:r>
      <w:r w:rsidR="00171A19">
        <w:rPr>
          <w:b/>
        </w:rPr>
        <w:t>а</w:t>
      </w:r>
      <w:r w:rsidRPr="00AE6DAC">
        <w:rPr>
          <w:b/>
        </w:rPr>
        <w:t xml:space="preserve"> НКРЕКП</w:t>
      </w:r>
      <w:r>
        <w:rPr>
          <w:b/>
        </w:rPr>
        <w:tab/>
      </w:r>
      <w:r>
        <w:rPr>
          <w:b/>
        </w:rPr>
        <w:tab/>
      </w:r>
      <w:r>
        <w:rPr>
          <w:b/>
        </w:rPr>
        <w:tab/>
      </w:r>
      <w:r w:rsidR="00171A19">
        <w:rPr>
          <w:b/>
        </w:rPr>
        <w:tab/>
      </w:r>
      <w:r>
        <w:rPr>
          <w:b/>
        </w:rPr>
        <w:tab/>
      </w:r>
      <w:r w:rsidR="00C15B86">
        <w:rPr>
          <w:b/>
        </w:rPr>
        <w:tab/>
      </w:r>
      <w:r>
        <w:rPr>
          <w:b/>
        </w:rPr>
        <w:tab/>
      </w:r>
      <w:r w:rsidR="00051357">
        <w:rPr>
          <w:b/>
        </w:rPr>
        <w:t>К</w:t>
      </w:r>
      <w:r w:rsidR="00171A19">
        <w:rPr>
          <w:b/>
        </w:rPr>
        <w:t xml:space="preserve">. </w:t>
      </w:r>
      <w:proofErr w:type="spellStart"/>
      <w:r w:rsidR="00051357">
        <w:rPr>
          <w:b/>
        </w:rPr>
        <w:t>Ущаповський</w:t>
      </w:r>
      <w:proofErr w:type="spellEnd"/>
    </w:p>
    <w:sectPr w:rsidR="00D454A2" w:rsidRPr="00AE6DAC" w:rsidSect="005F6458">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7C2A" w:rsidRDefault="00097C2A">
      <w:r>
        <w:separator/>
      </w:r>
    </w:p>
  </w:endnote>
  <w:endnote w:type="continuationSeparator" w:id="0">
    <w:p w:rsidR="00097C2A" w:rsidRDefault="00097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7C2A" w:rsidRDefault="00097C2A">
      <w:r>
        <w:separator/>
      </w:r>
    </w:p>
  </w:footnote>
  <w:footnote w:type="continuationSeparator" w:id="0">
    <w:p w:rsidR="00097C2A" w:rsidRDefault="00097C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36868"/>
      <w:docPartObj>
        <w:docPartGallery w:val="Page Numbers (Top of Page)"/>
        <w:docPartUnique/>
      </w:docPartObj>
    </w:sdtPr>
    <w:sdtEndPr/>
    <w:sdtContent>
      <w:p w:rsidR="00AE6DAC" w:rsidRDefault="00D454A2">
        <w:pPr>
          <w:pStyle w:val="a5"/>
          <w:jc w:val="center"/>
        </w:pPr>
        <w:r>
          <w:fldChar w:fldCharType="begin"/>
        </w:r>
        <w:r>
          <w:instrText>PAGE   \* MERGEFORMAT</w:instrText>
        </w:r>
        <w:r>
          <w:fldChar w:fldCharType="separate"/>
        </w:r>
        <w:r>
          <w:rPr>
            <w:noProof/>
          </w:rPr>
          <w:t>10</w:t>
        </w:r>
        <w:r>
          <w:fldChar w:fldCharType="end"/>
        </w:r>
      </w:p>
    </w:sdtContent>
  </w:sdt>
  <w:p w:rsidR="00AE6DAC" w:rsidRDefault="00097C2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3934434"/>
      <w:docPartObj>
        <w:docPartGallery w:val="Page Numbers (Top of Page)"/>
        <w:docPartUnique/>
      </w:docPartObj>
    </w:sdtPr>
    <w:sdtEndPr/>
    <w:sdtContent>
      <w:p w:rsidR="00AE6DAC" w:rsidRDefault="00D454A2">
        <w:pPr>
          <w:pStyle w:val="a5"/>
          <w:jc w:val="center"/>
        </w:pPr>
        <w:r>
          <w:fldChar w:fldCharType="begin"/>
        </w:r>
        <w:r>
          <w:instrText>PAGE   \* MERGEFORMAT</w:instrText>
        </w:r>
        <w:r>
          <w:fldChar w:fldCharType="separate"/>
        </w:r>
        <w:r w:rsidR="00C939D5">
          <w:rPr>
            <w:noProof/>
          </w:rPr>
          <w:t>8</w:t>
        </w:r>
        <w:r>
          <w:fldChar w:fldCharType="end"/>
        </w:r>
      </w:p>
    </w:sdtContent>
  </w:sdt>
  <w:p w:rsidR="00AE6DAC" w:rsidRDefault="00097C2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C4A51"/>
    <w:multiLevelType w:val="hybridMultilevel"/>
    <w:tmpl w:val="2D40746C"/>
    <w:lvl w:ilvl="0" w:tplc="249E4994">
      <w:numFmt w:val="bullet"/>
      <w:suff w:val="space"/>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3A156462"/>
    <w:multiLevelType w:val="hybridMultilevel"/>
    <w:tmpl w:val="9E72E880"/>
    <w:lvl w:ilvl="0" w:tplc="1DC458C4">
      <w:start w:val="1"/>
      <w:numFmt w:val="decimal"/>
      <w:lvlText w:val="%1."/>
      <w:lvlJc w:val="left"/>
      <w:pPr>
        <w:ind w:left="1133" w:hanging="359"/>
      </w:pPr>
      <w:rPr>
        <w:rFonts w:ascii="Times New Roman" w:eastAsia="Times New Roman" w:hAnsi="Times New Roman" w:cs="Times New Roman" w:hint="default"/>
        <w:w w:val="96"/>
        <w:sz w:val="28"/>
        <w:szCs w:val="28"/>
        <w:lang w:val="uk-UA" w:eastAsia="en-US" w:bidi="ar-SA"/>
      </w:rPr>
    </w:lvl>
    <w:lvl w:ilvl="1" w:tplc="E4088CB4">
      <w:numFmt w:val="bullet"/>
      <w:lvlText w:val="•"/>
      <w:lvlJc w:val="left"/>
      <w:pPr>
        <w:ind w:left="2052" w:hanging="359"/>
      </w:pPr>
      <w:rPr>
        <w:rFonts w:hint="default"/>
        <w:lang w:val="uk-UA" w:eastAsia="en-US" w:bidi="ar-SA"/>
      </w:rPr>
    </w:lvl>
    <w:lvl w:ilvl="2" w:tplc="6554A136">
      <w:numFmt w:val="bullet"/>
      <w:lvlText w:val="•"/>
      <w:lvlJc w:val="left"/>
      <w:pPr>
        <w:ind w:left="2964" w:hanging="359"/>
      </w:pPr>
      <w:rPr>
        <w:rFonts w:hint="default"/>
        <w:lang w:val="uk-UA" w:eastAsia="en-US" w:bidi="ar-SA"/>
      </w:rPr>
    </w:lvl>
    <w:lvl w:ilvl="3" w:tplc="0B5050DC">
      <w:numFmt w:val="bullet"/>
      <w:lvlText w:val="•"/>
      <w:lvlJc w:val="left"/>
      <w:pPr>
        <w:ind w:left="3876" w:hanging="359"/>
      </w:pPr>
      <w:rPr>
        <w:rFonts w:hint="default"/>
        <w:lang w:val="uk-UA" w:eastAsia="en-US" w:bidi="ar-SA"/>
      </w:rPr>
    </w:lvl>
    <w:lvl w:ilvl="4" w:tplc="5C2C9050">
      <w:numFmt w:val="bullet"/>
      <w:lvlText w:val="•"/>
      <w:lvlJc w:val="left"/>
      <w:pPr>
        <w:ind w:left="4788" w:hanging="359"/>
      </w:pPr>
      <w:rPr>
        <w:rFonts w:hint="default"/>
        <w:lang w:val="uk-UA" w:eastAsia="en-US" w:bidi="ar-SA"/>
      </w:rPr>
    </w:lvl>
    <w:lvl w:ilvl="5" w:tplc="C116DB46">
      <w:numFmt w:val="bullet"/>
      <w:lvlText w:val="•"/>
      <w:lvlJc w:val="left"/>
      <w:pPr>
        <w:ind w:left="5700" w:hanging="359"/>
      </w:pPr>
      <w:rPr>
        <w:rFonts w:hint="default"/>
        <w:lang w:val="uk-UA" w:eastAsia="en-US" w:bidi="ar-SA"/>
      </w:rPr>
    </w:lvl>
    <w:lvl w:ilvl="6" w:tplc="B7269E2A">
      <w:numFmt w:val="bullet"/>
      <w:lvlText w:val="•"/>
      <w:lvlJc w:val="left"/>
      <w:pPr>
        <w:ind w:left="6612" w:hanging="359"/>
      </w:pPr>
      <w:rPr>
        <w:rFonts w:hint="default"/>
        <w:lang w:val="uk-UA" w:eastAsia="en-US" w:bidi="ar-SA"/>
      </w:rPr>
    </w:lvl>
    <w:lvl w:ilvl="7" w:tplc="61F2FE68">
      <w:numFmt w:val="bullet"/>
      <w:lvlText w:val="•"/>
      <w:lvlJc w:val="left"/>
      <w:pPr>
        <w:ind w:left="7524" w:hanging="359"/>
      </w:pPr>
      <w:rPr>
        <w:rFonts w:hint="default"/>
        <w:lang w:val="uk-UA" w:eastAsia="en-US" w:bidi="ar-SA"/>
      </w:rPr>
    </w:lvl>
    <w:lvl w:ilvl="8" w:tplc="9B267A66">
      <w:numFmt w:val="bullet"/>
      <w:lvlText w:val="•"/>
      <w:lvlJc w:val="left"/>
      <w:pPr>
        <w:ind w:left="8436" w:hanging="359"/>
      </w:pPr>
      <w:rPr>
        <w:rFonts w:hint="default"/>
        <w:lang w:val="uk-UA" w:eastAsia="en-US" w:bidi="ar-SA"/>
      </w:rPr>
    </w:lvl>
  </w:abstractNum>
  <w:abstractNum w:abstractNumId="2" w15:restartNumberingAfterBreak="0">
    <w:nsid w:val="78B1789C"/>
    <w:multiLevelType w:val="hybridMultilevel"/>
    <w:tmpl w:val="B1CEDD3A"/>
    <w:lvl w:ilvl="0" w:tplc="A060EB58">
      <w:start w:val="1"/>
      <w:numFmt w:val="decimal"/>
      <w:lvlText w:val="%1)"/>
      <w:lvlJc w:val="left"/>
      <w:pPr>
        <w:ind w:left="1133" w:hanging="359"/>
      </w:pPr>
      <w:rPr>
        <w:rFonts w:ascii="Times New Roman" w:eastAsia="Times New Roman" w:hAnsi="Times New Roman" w:cs="Times New Roman" w:hint="default"/>
        <w:w w:val="97"/>
        <w:sz w:val="28"/>
        <w:szCs w:val="28"/>
        <w:lang w:val="uk-UA" w:eastAsia="en-US" w:bidi="ar-SA"/>
      </w:rPr>
    </w:lvl>
    <w:lvl w:ilvl="1" w:tplc="53CE81C2">
      <w:numFmt w:val="bullet"/>
      <w:lvlText w:val="•"/>
      <w:lvlJc w:val="left"/>
      <w:pPr>
        <w:ind w:left="2052" w:hanging="359"/>
      </w:pPr>
      <w:rPr>
        <w:rFonts w:hint="default"/>
        <w:lang w:val="uk-UA" w:eastAsia="en-US" w:bidi="ar-SA"/>
      </w:rPr>
    </w:lvl>
    <w:lvl w:ilvl="2" w:tplc="5DD640F4">
      <w:numFmt w:val="bullet"/>
      <w:lvlText w:val="•"/>
      <w:lvlJc w:val="left"/>
      <w:pPr>
        <w:ind w:left="2964" w:hanging="359"/>
      </w:pPr>
      <w:rPr>
        <w:rFonts w:hint="default"/>
        <w:lang w:val="uk-UA" w:eastAsia="en-US" w:bidi="ar-SA"/>
      </w:rPr>
    </w:lvl>
    <w:lvl w:ilvl="3" w:tplc="414C792E">
      <w:numFmt w:val="bullet"/>
      <w:lvlText w:val="•"/>
      <w:lvlJc w:val="left"/>
      <w:pPr>
        <w:ind w:left="3876" w:hanging="359"/>
      </w:pPr>
      <w:rPr>
        <w:rFonts w:hint="default"/>
        <w:lang w:val="uk-UA" w:eastAsia="en-US" w:bidi="ar-SA"/>
      </w:rPr>
    </w:lvl>
    <w:lvl w:ilvl="4" w:tplc="4244973E">
      <w:numFmt w:val="bullet"/>
      <w:lvlText w:val="•"/>
      <w:lvlJc w:val="left"/>
      <w:pPr>
        <w:ind w:left="4788" w:hanging="359"/>
      </w:pPr>
      <w:rPr>
        <w:rFonts w:hint="default"/>
        <w:lang w:val="uk-UA" w:eastAsia="en-US" w:bidi="ar-SA"/>
      </w:rPr>
    </w:lvl>
    <w:lvl w:ilvl="5" w:tplc="D16A509E">
      <w:numFmt w:val="bullet"/>
      <w:lvlText w:val="•"/>
      <w:lvlJc w:val="left"/>
      <w:pPr>
        <w:ind w:left="5700" w:hanging="359"/>
      </w:pPr>
      <w:rPr>
        <w:rFonts w:hint="default"/>
        <w:lang w:val="uk-UA" w:eastAsia="en-US" w:bidi="ar-SA"/>
      </w:rPr>
    </w:lvl>
    <w:lvl w:ilvl="6" w:tplc="177C7492">
      <w:numFmt w:val="bullet"/>
      <w:lvlText w:val="•"/>
      <w:lvlJc w:val="left"/>
      <w:pPr>
        <w:ind w:left="6612" w:hanging="359"/>
      </w:pPr>
      <w:rPr>
        <w:rFonts w:hint="default"/>
        <w:lang w:val="uk-UA" w:eastAsia="en-US" w:bidi="ar-SA"/>
      </w:rPr>
    </w:lvl>
    <w:lvl w:ilvl="7" w:tplc="8ADCC548">
      <w:numFmt w:val="bullet"/>
      <w:lvlText w:val="•"/>
      <w:lvlJc w:val="left"/>
      <w:pPr>
        <w:ind w:left="7524" w:hanging="359"/>
      </w:pPr>
      <w:rPr>
        <w:rFonts w:hint="default"/>
        <w:lang w:val="uk-UA" w:eastAsia="en-US" w:bidi="ar-SA"/>
      </w:rPr>
    </w:lvl>
    <w:lvl w:ilvl="8" w:tplc="CE264668">
      <w:numFmt w:val="bullet"/>
      <w:lvlText w:val="•"/>
      <w:lvlJc w:val="left"/>
      <w:pPr>
        <w:ind w:left="8436" w:hanging="359"/>
      </w:pPr>
      <w:rPr>
        <w:rFonts w:hint="default"/>
        <w:lang w:val="uk-UA" w:eastAsia="en-US" w:bidi="ar-SA"/>
      </w:rPr>
    </w:lvl>
  </w:abstractNum>
  <w:abstractNum w:abstractNumId="3" w15:restartNumberingAfterBreak="0">
    <w:nsid w:val="7B141276"/>
    <w:multiLevelType w:val="hybridMultilevel"/>
    <w:tmpl w:val="1B2267B6"/>
    <w:lvl w:ilvl="0" w:tplc="C2F82D28">
      <w:numFmt w:val="bullet"/>
      <w:lvlText w:val="*"/>
      <w:lvlJc w:val="left"/>
      <w:pPr>
        <w:ind w:left="235" w:hanging="207"/>
      </w:pPr>
      <w:rPr>
        <w:rFonts w:ascii="Times New Roman" w:eastAsia="Times New Roman" w:hAnsi="Times New Roman" w:cs="Times New Roman" w:hint="default"/>
        <w:w w:val="88"/>
        <w:sz w:val="25"/>
        <w:szCs w:val="25"/>
        <w:lang w:val="uk-UA" w:eastAsia="en-US" w:bidi="ar-SA"/>
      </w:rPr>
    </w:lvl>
    <w:lvl w:ilvl="1" w:tplc="6818F1AA">
      <w:start w:val="1"/>
      <w:numFmt w:val="upperRoman"/>
      <w:suff w:val="space"/>
      <w:lvlText w:val="%2."/>
      <w:lvlJc w:val="left"/>
      <w:pPr>
        <w:ind w:left="362" w:hanging="362"/>
      </w:pPr>
      <w:rPr>
        <w:rFonts w:hint="default"/>
        <w:b/>
        <w:w w:val="93"/>
        <w:sz w:val="28"/>
        <w:szCs w:val="28"/>
        <w:lang w:val="uk-UA" w:eastAsia="en-US" w:bidi="ar-SA"/>
      </w:rPr>
    </w:lvl>
    <w:lvl w:ilvl="2" w:tplc="17580AA8">
      <w:start w:val="1"/>
      <w:numFmt w:val="decimal"/>
      <w:suff w:val="space"/>
      <w:lvlText w:val="%3)"/>
      <w:lvlJc w:val="left"/>
      <w:pPr>
        <w:ind w:left="234" w:hanging="394"/>
      </w:pPr>
      <w:rPr>
        <w:rFonts w:ascii="Times New Roman" w:eastAsia="Times New Roman" w:hAnsi="Times New Roman" w:cs="Times New Roman" w:hint="default"/>
        <w:w w:val="96"/>
        <w:sz w:val="28"/>
        <w:szCs w:val="28"/>
        <w:lang w:val="uk-UA" w:eastAsia="en-US" w:bidi="ar-SA"/>
      </w:rPr>
    </w:lvl>
    <w:lvl w:ilvl="3" w:tplc="9454F51A">
      <w:numFmt w:val="bullet"/>
      <w:lvlText w:val="•"/>
      <w:lvlJc w:val="left"/>
      <w:pPr>
        <w:ind w:left="5173" w:hanging="394"/>
      </w:pPr>
      <w:rPr>
        <w:rFonts w:hint="default"/>
        <w:lang w:val="uk-UA" w:eastAsia="en-US" w:bidi="ar-SA"/>
      </w:rPr>
    </w:lvl>
    <w:lvl w:ilvl="4" w:tplc="9D66C866">
      <w:numFmt w:val="bullet"/>
      <w:lvlText w:val="•"/>
      <w:lvlJc w:val="left"/>
      <w:pPr>
        <w:ind w:left="5900" w:hanging="394"/>
      </w:pPr>
      <w:rPr>
        <w:rFonts w:hint="default"/>
        <w:lang w:val="uk-UA" w:eastAsia="en-US" w:bidi="ar-SA"/>
      </w:rPr>
    </w:lvl>
    <w:lvl w:ilvl="5" w:tplc="8CF88612">
      <w:numFmt w:val="bullet"/>
      <w:lvlText w:val="•"/>
      <w:lvlJc w:val="left"/>
      <w:pPr>
        <w:ind w:left="6626" w:hanging="394"/>
      </w:pPr>
      <w:rPr>
        <w:rFonts w:hint="default"/>
        <w:lang w:val="uk-UA" w:eastAsia="en-US" w:bidi="ar-SA"/>
      </w:rPr>
    </w:lvl>
    <w:lvl w:ilvl="6" w:tplc="DC10EAD4">
      <w:numFmt w:val="bullet"/>
      <w:lvlText w:val="•"/>
      <w:lvlJc w:val="left"/>
      <w:pPr>
        <w:ind w:left="7353" w:hanging="394"/>
      </w:pPr>
      <w:rPr>
        <w:rFonts w:hint="default"/>
        <w:lang w:val="uk-UA" w:eastAsia="en-US" w:bidi="ar-SA"/>
      </w:rPr>
    </w:lvl>
    <w:lvl w:ilvl="7" w:tplc="4F12E3F6">
      <w:numFmt w:val="bullet"/>
      <w:lvlText w:val="•"/>
      <w:lvlJc w:val="left"/>
      <w:pPr>
        <w:ind w:left="8080" w:hanging="394"/>
      </w:pPr>
      <w:rPr>
        <w:rFonts w:hint="default"/>
        <w:lang w:val="uk-UA" w:eastAsia="en-US" w:bidi="ar-SA"/>
      </w:rPr>
    </w:lvl>
    <w:lvl w:ilvl="8" w:tplc="14324322">
      <w:numFmt w:val="bullet"/>
      <w:lvlText w:val="•"/>
      <w:lvlJc w:val="left"/>
      <w:pPr>
        <w:ind w:left="8806" w:hanging="394"/>
      </w:pPr>
      <w:rPr>
        <w:rFonts w:hint="default"/>
        <w:lang w:val="uk-UA" w:eastAsia="en-US" w:bidi="ar-S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CA1"/>
    <w:rsid w:val="000063E0"/>
    <w:rsid w:val="00025D06"/>
    <w:rsid w:val="00035D8B"/>
    <w:rsid w:val="00051357"/>
    <w:rsid w:val="0005234D"/>
    <w:rsid w:val="00085CA5"/>
    <w:rsid w:val="00090A5B"/>
    <w:rsid w:val="00097C2A"/>
    <w:rsid w:val="000A31AE"/>
    <w:rsid w:val="000A7168"/>
    <w:rsid w:val="000B0E86"/>
    <w:rsid w:val="000B42D9"/>
    <w:rsid w:val="000D6E4B"/>
    <w:rsid w:val="000E4786"/>
    <w:rsid w:val="000E61A5"/>
    <w:rsid w:val="001371DF"/>
    <w:rsid w:val="00147C4A"/>
    <w:rsid w:val="00153334"/>
    <w:rsid w:val="001539FC"/>
    <w:rsid w:val="001614E5"/>
    <w:rsid w:val="00171A19"/>
    <w:rsid w:val="001900F3"/>
    <w:rsid w:val="0019322E"/>
    <w:rsid w:val="001A50F6"/>
    <w:rsid w:val="001C4B2E"/>
    <w:rsid w:val="001C5CC4"/>
    <w:rsid w:val="001D31FB"/>
    <w:rsid w:val="001D612B"/>
    <w:rsid w:val="001E094E"/>
    <w:rsid w:val="001F49E6"/>
    <w:rsid w:val="00202F2A"/>
    <w:rsid w:val="00214834"/>
    <w:rsid w:val="00220B35"/>
    <w:rsid w:val="00276819"/>
    <w:rsid w:val="002B2E21"/>
    <w:rsid w:val="002B73FB"/>
    <w:rsid w:val="00320AA3"/>
    <w:rsid w:val="00334933"/>
    <w:rsid w:val="00340AC2"/>
    <w:rsid w:val="00346CBC"/>
    <w:rsid w:val="003471EF"/>
    <w:rsid w:val="0035344B"/>
    <w:rsid w:val="00360A64"/>
    <w:rsid w:val="003644D9"/>
    <w:rsid w:val="00383F12"/>
    <w:rsid w:val="00384209"/>
    <w:rsid w:val="00386FB3"/>
    <w:rsid w:val="003A238F"/>
    <w:rsid w:val="003B4903"/>
    <w:rsid w:val="003D07CA"/>
    <w:rsid w:val="003E40F9"/>
    <w:rsid w:val="003F2D65"/>
    <w:rsid w:val="003F7824"/>
    <w:rsid w:val="00420AA0"/>
    <w:rsid w:val="004570F9"/>
    <w:rsid w:val="00465D40"/>
    <w:rsid w:val="00466643"/>
    <w:rsid w:val="00473687"/>
    <w:rsid w:val="00474A85"/>
    <w:rsid w:val="00476DD0"/>
    <w:rsid w:val="00496A0C"/>
    <w:rsid w:val="00496C10"/>
    <w:rsid w:val="004A1320"/>
    <w:rsid w:val="004A15B9"/>
    <w:rsid w:val="004C236A"/>
    <w:rsid w:val="004E735D"/>
    <w:rsid w:val="004F4643"/>
    <w:rsid w:val="004F58F9"/>
    <w:rsid w:val="00506BA2"/>
    <w:rsid w:val="005132BA"/>
    <w:rsid w:val="00535A90"/>
    <w:rsid w:val="005370DF"/>
    <w:rsid w:val="00543C83"/>
    <w:rsid w:val="00552DB5"/>
    <w:rsid w:val="00581B54"/>
    <w:rsid w:val="005B10C6"/>
    <w:rsid w:val="005F6458"/>
    <w:rsid w:val="00614086"/>
    <w:rsid w:val="00626F21"/>
    <w:rsid w:val="00641944"/>
    <w:rsid w:val="00651E07"/>
    <w:rsid w:val="00666FB4"/>
    <w:rsid w:val="006C00FF"/>
    <w:rsid w:val="006C1106"/>
    <w:rsid w:val="006F1867"/>
    <w:rsid w:val="006F3A0B"/>
    <w:rsid w:val="00712D5D"/>
    <w:rsid w:val="00747ED5"/>
    <w:rsid w:val="00772360"/>
    <w:rsid w:val="00774220"/>
    <w:rsid w:val="00780454"/>
    <w:rsid w:val="00783BA9"/>
    <w:rsid w:val="007A2D19"/>
    <w:rsid w:val="007B19A9"/>
    <w:rsid w:val="007C61EF"/>
    <w:rsid w:val="007D1075"/>
    <w:rsid w:val="007E0A62"/>
    <w:rsid w:val="007E4C23"/>
    <w:rsid w:val="007E70E6"/>
    <w:rsid w:val="00832E58"/>
    <w:rsid w:val="0084657B"/>
    <w:rsid w:val="00847546"/>
    <w:rsid w:val="0085062D"/>
    <w:rsid w:val="008C4967"/>
    <w:rsid w:val="008C722C"/>
    <w:rsid w:val="008E13C8"/>
    <w:rsid w:val="008E5DF8"/>
    <w:rsid w:val="008F1BF0"/>
    <w:rsid w:val="00931744"/>
    <w:rsid w:val="00934037"/>
    <w:rsid w:val="0096578F"/>
    <w:rsid w:val="009667B5"/>
    <w:rsid w:val="009737FF"/>
    <w:rsid w:val="009C45E7"/>
    <w:rsid w:val="009C53F2"/>
    <w:rsid w:val="009F1930"/>
    <w:rsid w:val="00A01216"/>
    <w:rsid w:val="00A063D0"/>
    <w:rsid w:val="00A53332"/>
    <w:rsid w:val="00A7751E"/>
    <w:rsid w:val="00A92490"/>
    <w:rsid w:val="00A93601"/>
    <w:rsid w:val="00AC2F32"/>
    <w:rsid w:val="00AE1B09"/>
    <w:rsid w:val="00B0208E"/>
    <w:rsid w:val="00B20FAB"/>
    <w:rsid w:val="00B540FE"/>
    <w:rsid w:val="00B818D0"/>
    <w:rsid w:val="00BA6957"/>
    <w:rsid w:val="00BB3ECA"/>
    <w:rsid w:val="00BE09EB"/>
    <w:rsid w:val="00BF0F52"/>
    <w:rsid w:val="00BF152E"/>
    <w:rsid w:val="00C04D9F"/>
    <w:rsid w:val="00C131DC"/>
    <w:rsid w:val="00C15B86"/>
    <w:rsid w:val="00C450FD"/>
    <w:rsid w:val="00C52F1A"/>
    <w:rsid w:val="00C61A73"/>
    <w:rsid w:val="00C87477"/>
    <w:rsid w:val="00C87DB5"/>
    <w:rsid w:val="00C939D5"/>
    <w:rsid w:val="00CA0691"/>
    <w:rsid w:val="00CA443B"/>
    <w:rsid w:val="00CA5FF8"/>
    <w:rsid w:val="00D106BE"/>
    <w:rsid w:val="00D454A2"/>
    <w:rsid w:val="00D470CB"/>
    <w:rsid w:val="00D53CD3"/>
    <w:rsid w:val="00D67CA1"/>
    <w:rsid w:val="00DB24AA"/>
    <w:rsid w:val="00DB3282"/>
    <w:rsid w:val="00DC187D"/>
    <w:rsid w:val="00DC4CF0"/>
    <w:rsid w:val="00DF1E2D"/>
    <w:rsid w:val="00E222C7"/>
    <w:rsid w:val="00E239D4"/>
    <w:rsid w:val="00E424EC"/>
    <w:rsid w:val="00E528D5"/>
    <w:rsid w:val="00E725A2"/>
    <w:rsid w:val="00E807C7"/>
    <w:rsid w:val="00E81FBA"/>
    <w:rsid w:val="00E92C5C"/>
    <w:rsid w:val="00E97EB3"/>
    <w:rsid w:val="00EC2653"/>
    <w:rsid w:val="00ED6953"/>
    <w:rsid w:val="00EE0ABB"/>
    <w:rsid w:val="00EE7023"/>
    <w:rsid w:val="00EF2433"/>
    <w:rsid w:val="00F15BFD"/>
    <w:rsid w:val="00F17A3C"/>
    <w:rsid w:val="00F20E33"/>
    <w:rsid w:val="00F24C1D"/>
    <w:rsid w:val="00F46893"/>
    <w:rsid w:val="00F5210A"/>
    <w:rsid w:val="00F5369F"/>
    <w:rsid w:val="00F53C77"/>
    <w:rsid w:val="00F6179F"/>
    <w:rsid w:val="00F83016"/>
    <w:rsid w:val="00F96579"/>
    <w:rsid w:val="00FB5F1F"/>
    <w:rsid w:val="00FD0F7D"/>
    <w:rsid w:val="00FD4CB5"/>
    <w:rsid w:val="00FD4F2C"/>
    <w:rsid w:val="00FE2413"/>
    <w:rsid w:val="00FF3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56CE0"/>
  <w15:chartTrackingRefBased/>
  <w15:docId w15:val="{BDF42A85-6564-4080-A6AF-73C20F0A2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1D31FB"/>
    <w:pPr>
      <w:widowControl w:val="0"/>
      <w:autoSpaceDE w:val="0"/>
      <w:autoSpaceDN w:val="0"/>
      <w:spacing w:after="0" w:line="240" w:lineRule="auto"/>
    </w:pPr>
    <w:rPr>
      <w:rFonts w:ascii="Times New Roman" w:eastAsia="Times New Roman" w:hAnsi="Times New Roman" w:cs="Times New Roman"/>
      <w:lang w:val="uk-UA"/>
    </w:rPr>
  </w:style>
  <w:style w:type="paragraph" w:styleId="1">
    <w:name w:val="heading 1"/>
    <w:basedOn w:val="a"/>
    <w:link w:val="10"/>
    <w:uiPriority w:val="1"/>
    <w:qFormat/>
    <w:rsid w:val="00D454A2"/>
    <w:pPr>
      <w:ind w:left="1501"/>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454A2"/>
    <w:rPr>
      <w:rFonts w:ascii="Times New Roman" w:eastAsia="Times New Roman" w:hAnsi="Times New Roman" w:cs="Times New Roman"/>
      <w:b/>
      <w:bCs/>
      <w:sz w:val="28"/>
      <w:szCs w:val="28"/>
      <w:lang w:val="uk-UA"/>
    </w:rPr>
  </w:style>
  <w:style w:type="paragraph" w:styleId="a3">
    <w:name w:val="Body Text"/>
    <w:basedOn w:val="a"/>
    <w:link w:val="a4"/>
    <w:uiPriority w:val="1"/>
    <w:qFormat/>
    <w:rsid w:val="00D454A2"/>
    <w:rPr>
      <w:sz w:val="28"/>
      <w:szCs w:val="28"/>
    </w:rPr>
  </w:style>
  <w:style w:type="character" w:customStyle="1" w:styleId="a4">
    <w:name w:val="Основний текст Знак"/>
    <w:basedOn w:val="a0"/>
    <w:link w:val="a3"/>
    <w:uiPriority w:val="1"/>
    <w:rsid w:val="00D454A2"/>
    <w:rPr>
      <w:rFonts w:ascii="Times New Roman" w:eastAsia="Times New Roman" w:hAnsi="Times New Roman" w:cs="Times New Roman"/>
      <w:sz w:val="28"/>
      <w:szCs w:val="28"/>
      <w:lang w:val="uk-UA"/>
    </w:rPr>
  </w:style>
  <w:style w:type="character" w:customStyle="1" w:styleId="rvts23">
    <w:name w:val="rvts23"/>
    <w:basedOn w:val="a0"/>
    <w:rsid w:val="00D454A2"/>
  </w:style>
  <w:style w:type="paragraph" w:styleId="a5">
    <w:name w:val="header"/>
    <w:basedOn w:val="a"/>
    <w:link w:val="a6"/>
    <w:uiPriority w:val="99"/>
    <w:unhideWhenUsed/>
    <w:rsid w:val="00D454A2"/>
    <w:pPr>
      <w:tabs>
        <w:tab w:val="center" w:pos="4677"/>
        <w:tab w:val="right" w:pos="9355"/>
      </w:tabs>
    </w:pPr>
  </w:style>
  <w:style w:type="character" w:customStyle="1" w:styleId="a6">
    <w:name w:val="Верхній колонтитул Знак"/>
    <w:basedOn w:val="a0"/>
    <w:link w:val="a5"/>
    <w:uiPriority w:val="99"/>
    <w:rsid w:val="00D454A2"/>
    <w:rPr>
      <w:rFonts w:ascii="Times New Roman" w:eastAsia="Times New Roman" w:hAnsi="Times New Roman" w:cs="Times New Roman"/>
      <w:lang w:val="uk-UA"/>
    </w:rPr>
  </w:style>
  <w:style w:type="paragraph" w:styleId="a7">
    <w:name w:val="footer"/>
    <w:basedOn w:val="a"/>
    <w:link w:val="a8"/>
    <w:uiPriority w:val="99"/>
    <w:unhideWhenUsed/>
    <w:rsid w:val="00D454A2"/>
    <w:pPr>
      <w:tabs>
        <w:tab w:val="center" w:pos="4677"/>
        <w:tab w:val="right" w:pos="9355"/>
      </w:tabs>
    </w:pPr>
  </w:style>
  <w:style w:type="character" w:customStyle="1" w:styleId="a8">
    <w:name w:val="Нижній колонтитул Знак"/>
    <w:basedOn w:val="a0"/>
    <w:link w:val="a7"/>
    <w:uiPriority w:val="99"/>
    <w:rsid w:val="00D454A2"/>
    <w:rPr>
      <w:rFonts w:ascii="Times New Roman" w:eastAsia="Times New Roman" w:hAnsi="Times New Roman" w:cs="Times New Roman"/>
      <w:lang w:val="uk-UA"/>
    </w:rPr>
  </w:style>
  <w:style w:type="table" w:customStyle="1" w:styleId="TableNormal">
    <w:name w:val="Table Normal"/>
    <w:uiPriority w:val="2"/>
    <w:semiHidden/>
    <w:unhideWhenUsed/>
    <w:qFormat/>
    <w:rsid w:val="00D454A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List Paragraph"/>
    <w:basedOn w:val="a"/>
    <w:uiPriority w:val="1"/>
    <w:qFormat/>
    <w:rsid w:val="00D454A2"/>
    <w:pPr>
      <w:ind w:left="1133" w:hanging="360"/>
    </w:pPr>
  </w:style>
  <w:style w:type="paragraph" w:customStyle="1" w:styleId="TableParagraph">
    <w:name w:val="Table Paragraph"/>
    <w:basedOn w:val="a"/>
    <w:uiPriority w:val="1"/>
    <w:qFormat/>
    <w:rsid w:val="00D454A2"/>
    <w:pPr>
      <w:ind w:left="122"/>
    </w:pPr>
  </w:style>
  <w:style w:type="paragraph" w:styleId="aa">
    <w:name w:val="Balloon Text"/>
    <w:basedOn w:val="a"/>
    <w:link w:val="ab"/>
    <w:uiPriority w:val="99"/>
    <w:semiHidden/>
    <w:unhideWhenUsed/>
    <w:rsid w:val="00C04D9F"/>
    <w:rPr>
      <w:rFonts w:ascii="Segoe UI" w:hAnsi="Segoe UI" w:cs="Segoe UI"/>
      <w:sz w:val="18"/>
      <w:szCs w:val="18"/>
    </w:rPr>
  </w:style>
  <w:style w:type="character" w:customStyle="1" w:styleId="ab">
    <w:name w:val="Текст у виносці Знак"/>
    <w:basedOn w:val="a0"/>
    <w:link w:val="aa"/>
    <w:uiPriority w:val="99"/>
    <w:semiHidden/>
    <w:rsid w:val="00C04D9F"/>
    <w:rPr>
      <w:rFonts w:ascii="Segoe UI" w:eastAsia="Times New Roman" w:hAnsi="Segoe UI" w:cs="Segoe UI"/>
      <w:sz w:val="18"/>
      <w:szCs w:val="18"/>
      <w:lang w:val="uk-UA"/>
    </w:rPr>
  </w:style>
  <w:style w:type="character" w:styleId="ac">
    <w:name w:val="Hyperlink"/>
    <w:basedOn w:val="a0"/>
    <w:uiPriority w:val="99"/>
    <w:unhideWhenUsed/>
    <w:rsid w:val="004F58F9"/>
    <w:rPr>
      <w:color w:val="0563C1" w:themeColor="hyperlink"/>
      <w:u w:val="single"/>
    </w:rPr>
  </w:style>
  <w:style w:type="character" w:customStyle="1" w:styleId="11">
    <w:name w:val="Незакрита згадка1"/>
    <w:basedOn w:val="a0"/>
    <w:uiPriority w:val="99"/>
    <w:semiHidden/>
    <w:unhideWhenUsed/>
    <w:rsid w:val="004F58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638463">
      <w:bodyDiv w:val="1"/>
      <w:marLeft w:val="0"/>
      <w:marRight w:val="0"/>
      <w:marTop w:val="0"/>
      <w:marBottom w:val="0"/>
      <w:divBdr>
        <w:top w:val="none" w:sz="0" w:space="0" w:color="auto"/>
        <w:left w:val="none" w:sz="0" w:space="0" w:color="auto"/>
        <w:bottom w:val="none" w:sz="0" w:space="0" w:color="auto"/>
        <w:right w:val="none" w:sz="0" w:space="0" w:color="auto"/>
      </w:divBdr>
    </w:div>
    <w:div w:id="117473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erc.gov.ua"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FD199-7971-47B0-9227-D9D16E682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11731</Words>
  <Characters>6687</Characters>
  <Application>Microsoft Office Word</Application>
  <DocSecurity>0</DocSecurity>
  <Lines>55</Lines>
  <Paragraphs>36</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Григорій Туленко</cp:lastModifiedBy>
  <cp:revision>2</cp:revision>
  <cp:lastPrinted>2022-02-09T13:25:00Z</cp:lastPrinted>
  <dcterms:created xsi:type="dcterms:W3CDTF">2022-10-18T13:08:00Z</dcterms:created>
  <dcterms:modified xsi:type="dcterms:W3CDTF">2022-10-18T13:08:00Z</dcterms:modified>
</cp:coreProperties>
</file>