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bookmarkStart w:id="0" w:name="_GoBack"/>
      <w:bookmarkEnd w:id="0"/>
      <w:r w:rsidRPr="00C32D1E">
        <w:rPr>
          <w:color w:val="000000"/>
          <w:sz w:val="28"/>
          <w:szCs w:val="28"/>
        </w:rPr>
        <w:t xml:space="preserve">Обґрунтування 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до питання про схвалення проєкту постанови НКРЕКП 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sz w:val="28"/>
          <w:szCs w:val="28"/>
        </w:rPr>
      </w:pPr>
      <w:r w:rsidRPr="00C32D1E">
        <w:rPr>
          <w:sz w:val="28"/>
          <w:szCs w:val="28"/>
        </w:rPr>
        <w:t>«Про внесення змін до Кодексу газотранспортної системи»</w:t>
      </w:r>
    </w:p>
    <w:p w:rsidR="004620CA" w:rsidRDefault="004620CA" w:rsidP="004620CA">
      <w:pPr>
        <w:pStyle w:val="Normal1"/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338E" w:rsidRDefault="00D5338E" w:rsidP="004620CA">
      <w:pPr>
        <w:pStyle w:val="Normal1"/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66AD" w:rsidRDefault="00D566AD" w:rsidP="004620CA">
      <w:pPr>
        <w:pStyle w:val="Normal1"/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20CA" w:rsidRPr="00C32D1E" w:rsidRDefault="004620CA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2D1E">
        <w:rPr>
          <w:rFonts w:ascii="Times New Roman" w:eastAsia="Times New Roman" w:hAnsi="Times New Roman" w:cs="Times New Roman"/>
          <w:sz w:val="28"/>
          <w:szCs w:val="28"/>
        </w:rPr>
        <w:t>оложеннями глави 8 розділу XIV Кодексу газотранспортної системи, затвердженого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остановою НКРЕКП від 30.09.2015</w:t>
      </w:r>
      <w:r w:rsidRPr="00C32D1E">
        <w:rPr>
          <w:rFonts w:ascii="Times New Roman" w:eastAsia="Times New Roman" w:hAnsi="Times New Roman" w:cs="Times New Roman"/>
          <w:sz w:val="28"/>
          <w:szCs w:val="28"/>
        </w:rPr>
        <w:t xml:space="preserve"> № 2493 (із змінами)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32D1E">
        <w:rPr>
          <w:rFonts w:ascii="Times New Roman" w:eastAsia="Times New Roman" w:hAnsi="Times New Roman" w:cs="Times New Roman"/>
          <w:sz w:val="28"/>
          <w:szCs w:val="28"/>
        </w:rPr>
        <w:t xml:space="preserve">(далі – Кодекс ГТС), визначено </w:t>
      </w:r>
      <w:r w:rsidRPr="00C32D1E">
        <w:rPr>
          <w:rFonts w:ascii="Times New Roman" w:hAnsi="Times New Roman" w:cs="Times New Roman"/>
          <w:sz w:val="28"/>
          <w:szCs w:val="28"/>
        </w:rPr>
        <w:t>принципи нейтральності балансування, згідно з якими оператор газотранспортної системи не повинен отримувати фінансову вигоду або зазнавати фінансових втрат унаслідок сплати та отримання плати за добовий небаланс та вчинення балансуючих дій, пов'язаних зі своєю діяльністю з балансування.</w:t>
      </w:r>
    </w:p>
    <w:p w:rsidR="004620CA" w:rsidRPr="00C32D1E" w:rsidRDefault="002044F7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сьогодні </w:t>
      </w:r>
      <w:r w:rsidR="00D566AD">
        <w:rPr>
          <w:rFonts w:ascii="Times New Roman" w:hAnsi="Times New Roman" w:cs="Times New Roman"/>
          <w:sz w:val="28"/>
          <w:szCs w:val="28"/>
        </w:rPr>
        <w:t>Кодексом</w:t>
      </w:r>
      <w:r w:rsidR="004620CA" w:rsidRPr="00C32D1E">
        <w:rPr>
          <w:rFonts w:ascii="Times New Roman" w:hAnsi="Times New Roman" w:cs="Times New Roman"/>
          <w:sz w:val="28"/>
          <w:szCs w:val="28"/>
        </w:rPr>
        <w:t xml:space="preserve"> ГТС передбачено поетапне запровадження плати за нейтральність балансування.</w:t>
      </w:r>
    </w:p>
    <w:p w:rsidR="004620CA" w:rsidRPr="00C32D1E" w:rsidRDefault="004620CA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D1E">
        <w:rPr>
          <w:rFonts w:ascii="Times New Roman" w:hAnsi="Times New Roman" w:cs="Times New Roman"/>
          <w:sz w:val="28"/>
          <w:szCs w:val="28"/>
        </w:rPr>
        <w:t>На першому ет</w:t>
      </w:r>
      <w:r w:rsidR="002044F7">
        <w:rPr>
          <w:rFonts w:ascii="Times New Roman" w:hAnsi="Times New Roman" w:cs="Times New Roman"/>
          <w:sz w:val="28"/>
          <w:szCs w:val="28"/>
        </w:rPr>
        <w:t xml:space="preserve">апі, що припадає на </w:t>
      </w:r>
      <w:r w:rsidR="002044F7" w:rsidRPr="00C32D1E">
        <w:rPr>
          <w:rFonts w:ascii="Times New Roman" w:hAnsi="Times New Roman" w:cs="Times New Roman"/>
          <w:sz w:val="28"/>
          <w:szCs w:val="28"/>
        </w:rPr>
        <w:t>газові роки</w:t>
      </w:r>
      <w:r w:rsidR="002044F7">
        <w:rPr>
          <w:rFonts w:ascii="Times New Roman" w:hAnsi="Times New Roman" w:cs="Times New Roman"/>
          <w:sz w:val="28"/>
          <w:szCs w:val="28"/>
        </w:rPr>
        <w:t xml:space="preserve"> 2019/2020,</w:t>
      </w:r>
      <w:r w:rsidRPr="00C32D1E">
        <w:rPr>
          <w:rFonts w:ascii="Times New Roman" w:hAnsi="Times New Roman" w:cs="Times New Roman"/>
          <w:sz w:val="28"/>
          <w:szCs w:val="28"/>
        </w:rPr>
        <w:t xml:space="preserve"> 2020/2021</w:t>
      </w:r>
      <w:r w:rsidR="002044F7">
        <w:rPr>
          <w:rFonts w:ascii="Times New Roman" w:hAnsi="Times New Roman" w:cs="Times New Roman"/>
          <w:sz w:val="28"/>
          <w:szCs w:val="28"/>
        </w:rPr>
        <w:t xml:space="preserve"> та 2021/2022</w:t>
      </w:r>
      <w:r w:rsidRPr="00C32D1E">
        <w:rPr>
          <w:rFonts w:ascii="Times New Roman" w:hAnsi="Times New Roman" w:cs="Times New Roman"/>
          <w:sz w:val="28"/>
          <w:szCs w:val="28"/>
        </w:rPr>
        <w:t>, передбачено, що плата за нейтральність балансування, розрахована Оператором ГТС згідно з вимогами Кодексу ГТС, має інформативний характер, не стягується та не виплачується.</w:t>
      </w:r>
    </w:p>
    <w:p w:rsidR="004620CA" w:rsidRDefault="004620CA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D1E">
        <w:rPr>
          <w:rFonts w:ascii="Times New Roman" w:hAnsi="Times New Roman" w:cs="Times New Roman"/>
          <w:sz w:val="28"/>
          <w:szCs w:val="28"/>
        </w:rPr>
        <w:t>На другому т</w:t>
      </w:r>
      <w:r w:rsidR="002044F7">
        <w:rPr>
          <w:rFonts w:ascii="Times New Roman" w:hAnsi="Times New Roman" w:cs="Times New Roman"/>
          <w:sz w:val="28"/>
          <w:szCs w:val="28"/>
        </w:rPr>
        <w:t>а третьому етапах, що припадає</w:t>
      </w:r>
      <w:r w:rsidRPr="00C32D1E">
        <w:rPr>
          <w:rFonts w:ascii="Times New Roman" w:hAnsi="Times New Roman" w:cs="Times New Roman"/>
          <w:sz w:val="28"/>
          <w:szCs w:val="28"/>
        </w:rPr>
        <w:t xml:space="preserve"> на 2022/2023</w:t>
      </w:r>
      <w:r w:rsidR="002044F7">
        <w:rPr>
          <w:rFonts w:ascii="Times New Roman" w:hAnsi="Times New Roman" w:cs="Times New Roman"/>
          <w:sz w:val="28"/>
          <w:szCs w:val="28"/>
        </w:rPr>
        <w:t xml:space="preserve"> та 2023/2024</w:t>
      </w:r>
      <w:r w:rsidRPr="00C32D1E">
        <w:rPr>
          <w:rFonts w:ascii="Times New Roman" w:hAnsi="Times New Roman" w:cs="Times New Roman"/>
          <w:sz w:val="28"/>
          <w:szCs w:val="28"/>
        </w:rPr>
        <w:t xml:space="preserve"> газові роки відповідно, передбачено обов’язкове стягнення на користь Оператора ГТС або виплату Оператором ГТС плати за нейтральність.</w:t>
      </w:r>
    </w:p>
    <w:p w:rsidR="004620CA" w:rsidRDefault="004620CA" w:rsidP="00136E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Разом з цим </w:t>
      </w:r>
      <w:r w:rsidR="002044F7">
        <w:rPr>
          <w:rFonts w:ascii="Times New Roman" w:hAnsi="Times New Roman" w:cs="Times New Roman"/>
          <w:sz w:val="28"/>
          <w:szCs w:val="28"/>
        </w:rPr>
        <w:t>військова агресія російської федерації проти України спричиняє</w:t>
      </w:r>
      <w:r w:rsidR="00D5338E">
        <w:rPr>
          <w:rFonts w:ascii="Times New Roman" w:hAnsi="Times New Roman" w:cs="Times New Roman"/>
          <w:sz w:val="28"/>
          <w:szCs w:val="28"/>
        </w:rPr>
        <w:t xml:space="preserve"> значний</w:t>
      </w:r>
      <w:r w:rsidR="002044F7">
        <w:rPr>
          <w:rFonts w:ascii="Times New Roman" w:hAnsi="Times New Roman" w:cs="Times New Roman"/>
          <w:sz w:val="28"/>
          <w:szCs w:val="28"/>
        </w:rPr>
        <w:t xml:space="preserve"> негативний вплив на господарську діяльність як замовників послуг транспортування, так і оператора газотранспортної системи, та на стале функціонування ринку природного газу в цілому.</w:t>
      </w:r>
    </w:p>
    <w:p w:rsidR="004620CA" w:rsidRDefault="002044F7" w:rsidP="00136E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таких умовах початок</w:t>
      </w:r>
      <w:r w:rsidR="004620CA">
        <w:rPr>
          <w:rFonts w:ascii="Times New Roman" w:hAnsi="Times New Roman" w:cs="Times New Roman"/>
          <w:sz w:val="28"/>
          <w:szCs w:val="28"/>
        </w:rPr>
        <w:t xml:space="preserve"> другого етапу впровадження плати за нейтральність балансування </w:t>
      </w:r>
      <w:r>
        <w:rPr>
          <w:rFonts w:ascii="Times New Roman" w:hAnsi="Times New Roman" w:cs="Times New Roman"/>
          <w:sz w:val="28"/>
          <w:szCs w:val="28"/>
        </w:rPr>
        <w:t>буде передчасним та може</w:t>
      </w:r>
      <w:r w:rsidR="00D5338E">
        <w:rPr>
          <w:rFonts w:ascii="Times New Roman" w:hAnsi="Times New Roman" w:cs="Times New Roman"/>
          <w:sz w:val="28"/>
          <w:szCs w:val="28"/>
        </w:rPr>
        <w:t xml:space="preserve"> суттєво</w:t>
      </w:r>
      <w:r>
        <w:rPr>
          <w:rFonts w:ascii="Times New Roman" w:hAnsi="Times New Roman" w:cs="Times New Roman"/>
          <w:sz w:val="28"/>
          <w:szCs w:val="28"/>
        </w:rPr>
        <w:t xml:space="preserve"> ускладнити функціонування ринку природного газу</w:t>
      </w:r>
      <w:r w:rsidR="004620CA">
        <w:rPr>
          <w:rFonts w:ascii="Times New Roman" w:hAnsi="Times New Roman" w:cs="Times New Roman"/>
          <w:sz w:val="28"/>
          <w:szCs w:val="28"/>
        </w:rPr>
        <w:t>.</w:t>
      </w:r>
    </w:p>
    <w:p w:rsidR="00944621" w:rsidRDefault="00D566AD" w:rsidP="00136E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Разом з т</w:t>
      </w:r>
      <w:r w:rsidR="00944621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під час дії першого етапу впровадження плати за нейтральність</w:t>
      </w:r>
      <w:r w:rsidR="00D5338E">
        <w:rPr>
          <w:rFonts w:ascii="Times New Roman" w:hAnsi="Times New Roman" w:cs="Times New Roman"/>
          <w:sz w:val="28"/>
          <w:szCs w:val="28"/>
        </w:rPr>
        <w:t xml:space="preserve"> балансування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621">
        <w:rPr>
          <w:rFonts w:ascii="Times New Roman" w:hAnsi="Times New Roman" w:cs="Times New Roman"/>
          <w:sz w:val="28"/>
          <w:szCs w:val="28"/>
        </w:rPr>
        <w:t xml:space="preserve">Регулятором за участі суб’єктів ринку природного газу буде продовжено роботу щодо виявлення та </w:t>
      </w:r>
      <w:r>
        <w:rPr>
          <w:rFonts w:ascii="Times New Roman" w:hAnsi="Times New Roman" w:cs="Times New Roman"/>
          <w:sz w:val="28"/>
          <w:szCs w:val="28"/>
        </w:rPr>
        <w:t>врегулювання проблемних питань, пов’язаних із запровадженням плати за нейтральність балансування на ринку природного газу.</w:t>
      </w:r>
    </w:p>
    <w:p w:rsidR="00136E05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У зв’язку із зазначеним, керуючись положеннями статті 17 Закону України «Про Національну комісію, що здійснює державне регулювання у сферах енергетики та комунальних послуг», Департаментом із регулювання відносин у нафтогазовій сфері було розроблено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 xml:space="preserve"> (далі – Проєкт постанови), </w:t>
      </w:r>
      <w:r w:rsidR="00136E05">
        <w:rPr>
          <w:color w:val="000000"/>
          <w:sz w:val="28"/>
          <w:szCs w:val="28"/>
        </w:rPr>
        <w:t>з метою його подальшого обговорення із суб’єктами ринку природного газу.</w:t>
      </w:r>
    </w:p>
    <w:p w:rsidR="004620CA" w:rsidRPr="00C32D1E" w:rsidRDefault="00136E05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Положеннями Проєкту постанови</w:t>
      </w:r>
      <w:r w:rsidR="004620CA" w:rsidRPr="00C32D1E">
        <w:rPr>
          <w:color w:val="000000"/>
          <w:sz w:val="28"/>
          <w:szCs w:val="28"/>
        </w:rPr>
        <w:t xml:space="preserve"> пропонується </w:t>
      </w:r>
      <w:r w:rsidR="004620CA" w:rsidRPr="00C32D1E">
        <w:rPr>
          <w:sz w:val="28"/>
          <w:szCs w:val="28"/>
        </w:rPr>
        <w:t>продовжити д</w:t>
      </w:r>
      <w:r w:rsidR="00D566AD">
        <w:rPr>
          <w:sz w:val="28"/>
          <w:szCs w:val="28"/>
        </w:rPr>
        <w:t xml:space="preserve">ію першого етапу </w:t>
      </w:r>
      <w:r w:rsidR="00D566AD" w:rsidRPr="00C32D1E">
        <w:rPr>
          <w:sz w:val="28"/>
          <w:szCs w:val="28"/>
        </w:rPr>
        <w:t xml:space="preserve">впровадження плати за нейтральність балансування </w:t>
      </w:r>
      <w:r w:rsidR="00D566AD">
        <w:rPr>
          <w:sz w:val="28"/>
          <w:szCs w:val="28"/>
        </w:rPr>
        <w:t>на період 2022/2023</w:t>
      </w:r>
      <w:r w:rsidR="004620CA" w:rsidRPr="00C32D1E">
        <w:rPr>
          <w:sz w:val="28"/>
          <w:szCs w:val="28"/>
        </w:rPr>
        <w:t xml:space="preserve"> газового року</w:t>
      </w:r>
      <w:r w:rsidR="004620CA">
        <w:rPr>
          <w:sz w:val="28"/>
          <w:szCs w:val="28"/>
        </w:rPr>
        <w:t xml:space="preserve"> та</w:t>
      </w:r>
      <w:r w:rsidR="004620CA" w:rsidRPr="00C32D1E">
        <w:rPr>
          <w:sz w:val="28"/>
          <w:szCs w:val="28"/>
        </w:rPr>
        <w:t xml:space="preserve"> перенести початок другого та третього етапів на один газовий рік</w:t>
      </w:r>
      <w:r w:rsidR="004620CA" w:rsidRPr="00C32D1E">
        <w:rPr>
          <w:color w:val="000000"/>
          <w:sz w:val="28"/>
          <w:szCs w:val="28"/>
        </w:rPr>
        <w:t>.</w:t>
      </w:r>
    </w:p>
    <w:p w:rsidR="004620CA" w:rsidRPr="00136E05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lastRenderedPageBreak/>
        <w:t>Цей Проєкт постанови має ознаки регуляторного акта.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t>З огляду на зазначене, Департамент із регулювання відносин у нафтогазовій сфері пропонує: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1. Схвалити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>.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rFonts w:eastAsia="Times New Roman"/>
          <w:sz w:val="28"/>
          <w:szCs w:val="28"/>
        </w:rPr>
      </w:pPr>
      <w:r w:rsidRPr="00C32D1E">
        <w:rPr>
          <w:color w:val="000000"/>
          <w:sz w:val="28"/>
          <w:szCs w:val="28"/>
        </w:rPr>
        <w:t>2. </w:t>
      </w:r>
      <w:r w:rsidRPr="00C32D1E">
        <w:rPr>
          <w:sz w:val="28"/>
          <w:szCs w:val="28"/>
          <w:lang w:eastAsia="uk-UA"/>
        </w:rPr>
        <w:t>На виконання положень статті 15 Закону України «Про Національну комісію, що здійснює державне регулювання у сферах енергетики та комунальних послуг» о</w:t>
      </w:r>
      <w:r w:rsidRPr="00C32D1E">
        <w:rPr>
          <w:color w:val="000000"/>
          <w:sz w:val="28"/>
          <w:szCs w:val="28"/>
        </w:rPr>
        <w:t xml:space="preserve">прилюднити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 xml:space="preserve"> на </w:t>
      </w:r>
      <w:r w:rsidRPr="00C32D1E">
        <w:rPr>
          <w:rFonts w:eastAsia="Times New Roman"/>
          <w:sz w:val="28"/>
          <w:szCs w:val="28"/>
        </w:rPr>
        <w:t xml:space="preserve">офіційному </w:t>
      </w:r>
      <w:proofErr w:type="spellStart"/>
      <w:r w:rsidRPr="00C32D1E">
        <w:rPr>
          <w:rFonts w:eastAsia="Times New Roman"/>
          <w:sz w:val="28"/>
          <w:szCs w:val="28"/>
        </w:rPr>
        <w:t>вебсайті</w:t>
      </w:r>
      <w:proofErr w:type="spellEnd"/>
      <w:r w:rsidRPr="00C32D1E">
        <w:rPr>
          <w:rFonts w:eastAsia="Times New Roman"/>
          <w:sz w:val="28"/>
          <w:szCs w:val="28"/>
        </w:rPr>
        <w:t xml:space="preserve"> НКРЕКП </w:t>
      </w:r>
      <w:hyperlink r:id="rId6" w:history="1">
        <w:r w:rsidRPr="00C32D1E">
          <w:rPr>
            <w:rFonts w:eastAsia="Times New Roman"/>
            <w:sz w:val="28"/>
            <w:szCs w:val="28"/>
          </w:rPr>
          <w:t>www.nerc.gov.ua</w:t>
        </w:r>
      </w:hyperlink>
      <w:r w:rsidRPr="00C32D1E">
        <w:rPr>
          <w:rFonts w:eastAsia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Pr="00E369B3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Директор Департаменту із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регулювання відносин</w:t>
      </w:r>
      <w:r w:rsidRPr="00C32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Pr="00C32D1E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32D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       </w:t>
      </w:r>
      <w:r w:rsidRPr="00C32D1E">
        <w:rPr>
          <w:rFonts w:ascii="Times New Roman" w:hAnsi="Times New Roman" w:cs="Times New Roman"/>
          <w:b/>
          <w:sz w:val="28"/>
          <w:szCs w:val="28"/>
        </w:rPr>
        <w:t>Т.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C32D1E">
        <w:rPr>
          <w:rFonts w:ascii="Times New Roman" w:hAnsi="Times New Roman" w:cs="Times New Roman"/>
          <w:b/>
          <w:sz w:val="28"/>
          <w:szCs w:val="28"/>
        </w:rPr>
        <w:t>Рябуха</w:t>
      </w:r>
    </w:p>
    <w:sectPr w:rsidR="004620CA" w:rsidRPr="00C32D1E" w:rsidSect="00D566A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38" w:rsidRDefault="00F56438" w:rsidP="004620CA">
      <w:pPr>
        <w:spacing w:after="0" w:line="240" w:lineRule="auto"/>
      </w:pPr>
      <w:r>
        <w:separator/>
      </w:r>
    </w:p>
  </w:endnote>
  <w:endnote w:type="continuationSeparator" w:id="0">
    <w:p w:rsidR="00F56438" w:rsidRDefault="00F56438" w:rsidP="0046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38" w:rsidRDefault="00F56438" w:rsidP="004620CA">
      <w:pPr>
        <w:spacing w:after="0" w:line="240" w:lineRule="auto"/>
      </w:pPr>
      <w:r>
        <w:separator/>
      </w:r>
    </w:p>
  </w:footnote>
  <w:footnote w:type="continuationSeparator" w:id="0">
    <w:p w:rsidR="00F56438" w:rsidRDefault="00F56438" w:rsidP="00462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CA"/>
    <w:rsid w:val="000473F0"/>
    <w:rsid w:val="00062FC9"/>
    <w:rsid w:val="00136E05"/>
    <w:rsid w:val="002044F7"/>
    <w:rsid w:val="004620CA"/>
    <w:rsid w:val="004F0E6D"/>
    <w:rsid w:val="00944621"/>
    <w:rsid w:val="00C95F4C"/>
    <w:rsid w:val="00D5338E"/>
    <w:rsid w:val="00D566AD"/>
    <w:rsid w:val="00D833AB"/>
    <w:rsid w:val="00F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797B4-FD0F-4511-BECE-5C4A0B9E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0CA"/>
    <w:pPr>
      <w:spacing w:after="200" w:line="276" w:lineRule="auto"/>
    </w:pPr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620CA"/>
    <w:rPr>
      <w:rFonts w:ascii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uiPriority w:val="99"/>
    <w:locked/>
    <w:rsid w:val="004620CA"/>
    <w:rPr>
      <w:rFonts w:ascii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620CA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EastAsia" w:hAnsi="Times New Roman" w:cs="Times New Roman"/>
      <w:b/>
      <w:bCs/>
      <w:spacing w:val="6"/>
      <w:sz w:val="23"/>
      <w:szCs w:val="23"/>
      <w:lang w:eastAsia="zh-CN"/>
    </w:rPr>
  </w:style>
  <w:style w:type="paragraph" w:customStyle="1" w:styleId="21">
    <w:name w:val="Основной текст2"/>
    <w:basedOn w:val="a"/>
    <w:link w:val="a3"/>
    <w:uiPriority w:val="99"/>
    <w:rsid w:val="004620CA"/>
    <w:pPr>
      <w:widowControl w:val="0"/>
      <w:shd w:val="clear" w:color="auto" w:fill="FFFFFF"/>
      <w:spacing w:before="300" w:after="0" w:line="317" w:lineRule="exact"/>
      <w:ind w:hanging="400"/>
      <w:jc w:val="both"/>
    </w:pPr>
    <w:rPr>
      <w:rFonts w:ascii="Times New Roman" w:eastAsiaTheme="minorEastAsia" w:hAnsi="Times New Roman" w:cs="Times New Roman"/>
      <w:spacing w:val="5"/>
      <w:sz w:val="23"/>
      <w:szCs w:val="23"/>
      <w:lang w:eastAsia="zh-CN"/>
    </w:rPr>
  </w:style>
  <w:style w:type="paragraph" w:styleId="a4">
    <w:name w:val="header"/>
    <w:basedOn w:val="a"/>
    <w:link w:val="a5"/>
    <w:uiPriority w:val="99"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620CA"/>
    <w:rPr>
      <w:rFonts w:ascii="Calibri" w:eastAsia="Times New Roman" w:hAnsi="Calibri" w:cs="Calibri"/>
      <w:lang w:eastAsia="uk-UA"/>
    </w:rPr>
  </w:style>
  <w:style w:type="paragraph" w:customStyle="1" w:styleId="Normal1">
    <w:name w:val="Normal1"/>
    <w:rsid w:val="004620CA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620CA"/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3</cp:revision>
  <cp:lastPrinted>2021-10-06T06:37:00Z</cp:lastPrinted>
  <dcterms:created xsi:type="dcterms:W3CDTF">2022-09-20T16:02:00Z</dcterms:created>
  <dcterms:modified xsi:type="dcterms:W3CDTF">2022-09-27T09:39:00Z</dcterms:modified>
</cp:coreProperties>
</file>