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10E" w:rsidRDefault="00AE210E" w:rsidP="00AE210E">
      <w:pPr>
        <w:spacing w:after="0" w:line="240" w:lineRule="auto"/>
        <w:ind w:left="284"/>
        <w:jc w:val="center"/>
        <w:rPr>
          <w:rFonts w:ascii="Times New Roman" w:hAnsi="Times New Roman" w:cs="Times New Roman"/>
          <w:b/>
          <w:sz w:val="28"/>
          <w:szCs w:val="28"/>
        </w:rPr>
      </w:pPr>
      <w:r w:rsidRPr="00AE210E">
        <w:rPr>
          <w:rFonts w:ascii="Times New Roman" w:hAnsi="Times New Roman" w:cs="Times New Roman"/>
          <w:b/>
          <w:sz w:val="28"/>
          <w:szCs w:val="28"/>
        </w:rPr>
        <w:t xml:space="preserve">Порівняльна таблиця до проєкту постанови НКРЕКП </w:t>
      </w:r>
    </w:p>
    <w:p w:rsidR="00AE210E" w:rsidRPr="00AE210E" w:rsidRDefault="00AE210E" w:rsidP="00AE210E">
      <w:pPr>
        <w:spacing w:after="0" w:line="240" w:lineRule="auto"/>
        <w:ind w:left="284"/>
        <w:jc w:val="center"/>
        <w:rPr>
          <w:rFonts w:ascii="Times New Roman" w:hAnsi="Times New Roman" w:cs="Times New Roman"/>
          <w:b/>
          <w:sz w:val="28"/>
          <w:szCs w:val="28"/>
        </w:rPr>
      </w:pPr>
      <w:r w:rsidRPr="00AE210E">
        <w:rPr>
          <w:rFonts w:ascii="Times New Roman" w:hAnsi="Times New Roman" w:cs="Times New Roman"/>
          <w:b/>
          <w:sz w:val="28"/>
          <w:szCs w:val="28"/>
        </w:rPr>
        <w:t>«Про внесення змін до Кодексу газотранспортної системи»</w:t>
      </w:r>
    </w:p>
    <w:p w:rsidR="00AE210E" w:rsidRPr="00A0037C" w:rsidRDefault="00AE210E" w:rsidP="00AE210E">
      <w:pPr>
        <w:spacing w:after="0" w:line="240" w:lineRule="auto"/>
        <w:ind w:left="284"/>
        <w:rPr>
          <w:rFonts w:ascii="Times New Roman" w:hAnsi="Times New Roman" w:cs="Times New Roman"/>
          <w:sz w:val="28"/>
          <w:szCs w:val="28"/>
        </w:rPr>
      </w:pPr>
    </w:p>
    <w:tbl>
      <w:tblPr>
        <w:tblStyle w:val="a3"/>
        <w:tblW w:w="14487" w:type="dxa"/>
        <w:tblInd w:w="250" w:type="dxa"/>
        <w:tblLayout w:type="fixed"/>
        <w:tblLook w:val="04A0" w:firstRow="1" w:lastRow="0" w:firstColumn="1" w:lastColumn="0" w:noHBand="0" w:noVBand="1"/>
      </w:tblPr>
      <w:tblGrid>
        <w:gridCol w:w="7258"/>
        <w:gridCol w:w="7229"/>
      </w:tblGrid>
      <w:tr w:rsidR="00AE210E" w:rsidRPr="00A0037C" w:rsidTr="00154348">
        <w:tc>
          <w:tcPr>
            <w:tcW w:w="7258" w:type="dxa"/>
          </w:tcPr>
          <w:p w:rsidR="00AE210E" w:rsidRPr="00A0037C" w:rsidRDefault="00AE210E" w:rsidP="00154348">
            <w:pPr>
              <w:jc w:val="center"/>
              <w:rPr>
                <w:rFonts w:ascii="Times New Roman" w:hAnsi="Times New Roman" w:cs="Times New Roman"/>
                <w:sz w:val="24"/>
                <w:szCs w:val="24"/>
              </w:rPr>
            </w:pPr>
            <w:r w:rsidRPr="005D59A4">
              <w:rPr>
                <w:rFonts w:ascii="Times New Roman" w:hAnsi="Times New Roman" w:cs="Times New Roman"/>
                <w:b/>
                <w:i/>
                <w:sz w:val="24"/>
                <w:szCs w:val="24"/>
              </w:rPr>
              <w:t>КОДЕКС ГАЗОТРАНСПОРТНОЇ СИСТЕМИ</w:t>
            </w:r>
          </w:p>
        </w:tc>
        <w:tc>
          <w:tcPr>
            <w:tcW w:w="7229" w:type="dxa"/>
          </w:tcPr>
          <w:p w:rsidR="00AE210E" w:rsidRPr="00A0037C" w:rsidRDefault="00AE210E" w:rsidP="00154348">
            <w:pPr>
              <w:jc w:val="center"/>
              <w:rPr>
                <w:rFonts w:ascii="Times New Roman" w:eastAsia="Times New Roman" w:hAnsi="Times New Roman" w:cs="Times New Roman"/>
                <w:b/>
                <w:i/>
                <w:sz w:val="24"/>
                <w:szCs w:val="24"/>
                <w:lang w:eastAsia="uk-UA"/>
              </w:rPr>
            </w:pPr>
            <w:r>
              <w:rPr>
                <w:rFonts w:ascii="Times New Roman" w:eastAsia="Times New Roman" w:hAnsi="Times New Roman" w:cs="Times New Roman"/>
                <w:b/>
                <w:i/>
                <w:sz w:val="24"/>
                <w:szCs w:val="24"/>
                <w:lang w:eastAsia="uk-UA"/>
              </w:rPr>
              <w:t>ЗМІНИ ДО КОДЕКСУ ГАЗОТРАНСПОРТНОЇ СИСТЕМИ</w:t>
            </w:r>
          </w:p>
        </w:tc>
      </w:tr>
      <w:tr w:rsidR="00AE210E" w:rsidRPr="00A0037C" w:rsidTr="00154348">
        <w:tc>
          <w:tcPr>
            <w:tcW w:w="7258" w:type="dxa"/>
          </w:tcPr>
          <w:p w:rsidR="00AE210E" w:rsidRPr="002E66B4" w:rsidRDefault="00AE210E" w:rsidP="00154348">
            <w:pPr>
              <w:jc w:val="center"/>
              <w:rPr>
                <w:rFonts w:ascii="Times New Roman" w:eastAsia="Calibri" w:hAnsi="Times New Roman" w:cs="Times New Roman"/>
                <w:b/>
                <w:sz w:val="24"/>
                <w:szCs w:val="24"/>
              </w:rPr>
            </w:pPr>
            <w:r w:rsidRPr="00AE210E">
              <w:rPr>
                <w:rFonts w:ascii="Times New Roman" w:eastAsia="Calibri" w:hAnsi="Times New Roman" w:cs="Times New Roman"/>
                <w:b/>
                <w:sz w:val="24"/>
                <w:szCs w:val="24"/>
              </w:rPr>
              <w:t>XIV. КОМЕРЦІЙНЕ БАЛАНСУВАННЯ</w:t>
            </w:r>
          </w:p>
        </w:tc>
        <w:tc>
          <w:tcPr>
            <w:tcW w:w="7229" w:type="dxa"/>
          </w:tcPr>
          <w:p w:rsidR="00AE210E" w:rsidRPr="002E66B4" w:rsidRDefault="00AE210E" w:rsidP="00154348">
            <w:pPr>
              <w:jc w:val="center"/>
              <w:rPr>
                <w:rFonts w:ascii="Times New Roman" w:eastAsia="Calibri" w:hAnsi="Times New Roman" w:cs="Times New Roman"/>
                <w:b/>
                <w:sz w:val="24"/>
                <w:szCs w:val="24"/>
              </w:rPr>
            </w:pPr>
            <w:r w:rsidRPr="00AE210E">
              <w:rPr>
                <w:rFonts w:ascii="Times New Roman" w:eastAsia="Calibri" w:hAnsi="Times New Roman" w:cs="Times New Roman"/>
                <w:b/>
                <w:sz w:val="24"/>
                <w:szCs w:val="24"/>
              </w:rPr>
              <w:t>XIV. КОМЕРЦІЙНЕ БАЛАНСУВАННЯ</w:t>
            </w:r>
          </w:p>
        </w:tc>
      </w:tr>
      <w:tr w:rsidR="00AE210E" w:rsidRPr="00A0037C" w:rsidTr="00154348">
        <w:tc>
          <w:tcPr>
            <w:tcW w:w="7258" w:type="dxa"/>
          </w:tcPr>
          <w:p w:rsidR="00AE210E" w:rsidRPr="002E66B4" w:rsidRDefault="00917231" w:rsidP="00154348">
            <w:pPr>
              <w:jc w:val="center"/>
              <w:rPr>
                <w:rFonts w:ascii="Times New Roman" w:eastAsia="Calibri" w:hAnsi="Times New Roman" w:cs="Times New Roman"/>
                <w:b/>
                <w:sz w:val="24"/>
                <w:szCs w:val="24"/>
              </w:rPr>
            </w:pPr>
            <w:r w:rsidRPr="00917231">
              <w:rPr>
                <w:rFonts w:ascii="Times New Roman" w:eastAsia="Calibri" w:hAnsi="Times New Roman" w:cs="Times New Roman"/>
                <w:b/>
                <w:sz w:val="24"/>
                <w:szCs w:val="24"/>
              </w:rPr>
              <w:t>8. Нейтральність балансування</w:t>
            </w:r>
          </w:p>
        </w:tc>
        <w:tc>
          <w:tcPr>
            <w:tcW w:w="7229" w:type="dxa"/>
          </w:tcPr>
          <w:p w:rsidR="00AE210E" w:rsidRPr="002E66B4" w:rsidRDefault="00917231" w:rsidP="00154348">
            <w:pPr>
              <w:jc w:val="center"/>
              <w:rPr>
                <w:rFonts w:ascii="Times New Roman" w:eastAsia="Calibri" w:hAnsi="Times New Roman" w:cs="Times New Roman"/>
                <w:b/>
                <w:sz w:val="24"/>
                <w:szCs w:val="24"/>
              </w:rPr>
            </w:pPr>
            <w:r w:rsidRPr="00917231">
              <w:rPr>
                <w:rFonts w:ascii="Times New Roman" w:eastAsia="Calibri" w:hAnsi="Times New Roman" w:cs="Times New Roman"/>
                <w:b/>
                <w:sz w:val="24"/>
                <w:szCs w:val="24"/>
              </w:rPr>
              <w:t>8. Нейтральність балансування</w:t>
            </w:r>
          </w:p>
        </w:tc>
      </w:tr>
      <w:tr w:rsidR="00A31CBB" w:rsidRPr="00A0037C" w:rsidTr="00154348">
        <w:tc>
          <w:tcPr>
            <w:tcW w:w="7258" w:type="dxa"/>
          </w:tcPr>
          <w:p w:rsidR="00A31CBB" w:rsidRPr="0002713A" w:rsidRDefault="00A31CBB" w:rsidP="0030400E">
            <w:pPr>
              <w:ind w:firstLine="346"/>
              <w:jc w:val="both"/>
              <w:rPr>
                <w:rFonts w:ascii="Times New Roman" w:hAnsi="Times New Roman" w:cs="Times New Roman"/>
                <w:sz w:val="24"/>
                <w:szCs w:val="24"/>
              </w:rPr>
            </w:pPr>
            <w:r w:rsidRPr="0002713A">
              <w:rPr>
                <w:rFonts w:ascii="Times New Roman" w:hAnsi="Times New Roman" w:cs="Times New Roman"/>
                <w:sz w:val="24"/>
                <w:szCs w:val="24"/>
              </w:rPr>
              <w:t xml:space="preserve">9. </w:t>
            </w:r>
            <w:r w:rsidR="0030400E" w:rsidRPr="0002713A">
              <w:rPr>
                <w:rFonts w:ascii="Times New Roman" w:hAnsi="Times New Roman" w:cs="Times New Roman"/>
                <w:sz w:val="24"/>
                <w:szCs w:val="24"/>
                <w:shd w:val="clear" w:color="auto" w:fill="FFFFFF"/>
              </w:rPr>
              <w:t xml:space="preserve">Для газових років 2019/2020, 2020/2021 </w:t>
            </w:r>
            <w:r w:rsidR="0030400E" w:rsidRPr="0002713A">
              <w:rPr>
                <w:rFonts w:ascii="Times New Roman" w:hAnsi="Times New Roman" w:cs="Times New Roman"/>
                <w:i/>
                <w:sz w:val="24"/>
                <w:szCs w:val="24"/>
                <w:shd w:val="clear" w:color="auto" w:fill="FFFFFF"/>
              </w:rPr>
              <w:t>та 2021/2022</w:t>
            </w:r>
            <w:r w:rsidR="0030400E" w:rsidRPr="0002713A">
              <w:rPr>
                <w:rFonts w:ascii="Times New Roman" w:hAnsi="Times New Roman" w:cs="Times New Roman"/>
                <w:sz w:val="24"/>
                <w:szCs w:val="24"/>
                <w:shd w:val="clear" w:color="auto" w:fill="FFFFFF"/>
              </w:rPr>
              <w:t xml:space="preserve"> починаючи з 01 березня 2020 року плата за нейтральність балансування застосовується відповідно до цього пункту.</w:t>
            </w:r>
          </w:p>
          <w:p w:rsidR="0030400E" w:rsidRPr="0002713A" w:rsidRDefault="0030400E" w:rsidP="0030400E">
            <w:pPr>
              <w:shd w:val="clear" w:color="auto" w:fill="FFFFFF"/>
              <w:ind w:firstLine="450"/>
              <w:jc w:val="both"/>
              <w:rPr>
                <w:rFonts w:ascii="Times New Roman" w:eastAsia="Times New Roman" w:hAnsi="Times New Roman" w:cs="Times New Roman"/>
                <w:sz w:val="24"/>
                <w:szCs w:val="24"/>
                <w:lang w:eastAsia="zh-CN"/>
              </w:rPr>
            </w:pPr>
            <w:r w:rsidRPr="0002713A">
              <w:rPr>
                <w:rFonts w:ascii="Times New Roman" w:eastAsia="Times New Roman" w:hAnsi="Times New Roman" w:cs="Times New Roman"/>
                <w:sz w:val="24"/>
                <w:szCs w:val="24"/>
                <w:lang w:eastAsia="zh-CN"/>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02713A">
              <w:rPr>
                <w:rFonts w:ascii="Times New Roman" w:eastAsia="Times New Roman" w:hAnsi="Times New Roman" w:cs="Times New Roman"/>
                <w:sz w:val="24"/>
                <w:szCs w:val="24"/>
                <w:lang w:eastAsia="zh-CN"/>
              </w:rPr>
              <w:t>вебсайті</w:t>
            </w:r>
            <w:proofErr w:type="spellEnd"/>
            <w:r w:rsidRPr="0002713A">
              <w:rPr>
                <w:rFonts w:ascii="Times New Roman" w:eastAsia="Times New Roman" w:hAnsi="Times New Roman" w:cs="Times New Roman"/>
                <w:sz w:val="24"/>
                <w:szCs w:val="24"/>
                <w:lang w:eastAsia="zh-CN"/>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31CBB" w:rsidRPr="0002713A" w:rsidRDefault="0030400E" w:rsidP="0030400E">
            <w:pPr>
              <w:shd w:val="clear" w:color="auto" w:fill="FFFFFF"/>
              <w:ind w:firstLine="450"/>
              <w:jc w:val="both"/>
              <w:rPr>
                <w:rFonts w:ascii="Times New Roman" w:hAnsi="Times New Roman" w:cs="Times New Roman"/>
                <w:sz w:val="24"/>
                <w:szCs w:val="24"/>
              </w:rPr>
            </w:pPr>
            <w:bookmarkStart w:id="0" w:name="n2598"/>
            <w:bookmarkEnd w:id="0"/>
            <w:r w:rsidRPr="0002713A">
              <w:rPr>
                <w:rFonts w:ascii="Times New Roman" w:eastAsia="Times New Roman" w:hAnsi="Times New Roman" w:cs="Times New Roman"/>
                <w:sz w:val="24"/>
                <w:szCs w:val="24"/>
                <w:lang w:eastAsia="zh-CN"/>
              </w:rPr>
              <w:t xml:space="preserve">За газові роки 2019/2020, 2020/2021 </w:t>
            </w:r>
            <w:r w:rsidRPr="0002713A">
              <w:rPr>
                <w:rFonts w:ascii="Times New Roman" w:eastAsia="Times New Roman" w:hAnsi="Times New Roman" w:cs="Times New Roman"/>
                <w:i/>
                <w:sz w:val="24"/>
                <w:szCs w:val="24"/>
                <w:lang w:eastAsia="zh-CN"/>
              </w:rPr>
              <w:t>та 2021/2022</w:t>
            </w:r>
            <w:r w:rsidRPr="0002713A">
              <w:rPr>
                <w:rFonts w:ascii="Times New Roman" w:eastAsia="Times New Roman" w:hAnsi="Times New Roman" w:cs="Times New Roman"/>
                <w:sz w:val="24"/>
                <w:szCs w:val="24"/>
                <w:lang w:eastAsia="zh-CN"/>
              </w:rPr>
              <w:t xml:space="preserve"> плата за нейтральність балансування не стягується та не виплачується.</w:t>
            </w:r>
          </w:p>
        </w:tc>
        <w:tc>
          <w:tcPr>
            <w:tcW w:w="7229" w:type="dxa"/>
          </w:tcPr>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t xml:space="preserve">9. Для газових років </w:t>
            </w:r>
            <w:r w:rsidRPr="00A713F7">
              <w:rPr>
                <w:rFonts w:ascii="Times New Roman" w:hAnsi="Times New Roman" w:cs="Times New Roman"/>
                <w:sz w:val="24"/>
                <w:szCs w:val="24"/>
              </w:rPr>
              <w:t>2019/2020</w:t>
            </w:r>
            <w:r w:rsidRPr="0092094A">
              <w:rPr>
                <w:rFonts w:ascii="Times New Roman" w:hAnsi="Times New Roman" w:cs="Times New Roman"/>
                <w:b/>
                <w:sz w:val="24"/>
                <w:szCs w:val="24"/>
              </w:rPr>
              <w:t>, 2020/2021</w:t>
            </w:r>
            <w:r w:rsidR="0030400E">
              <w:rPr>
                <w:rFonts w:ascii="Times New Roman" w:hAnsi="Times New Roman" w:cs="Times New Roman"/>
                <w:b/>
                <w:sz w:val="24"/>
                <w:szCs w:val="24"/>
              </w:rPr>
              <w:t>,</w:t>
            </w:r>
            <w:r w:rsidRPr="0092094A">
              <w:rPr>
                <w:rFonts w:ascii="Times New Roman" w:hAnsi="Times New Roman" w:cs="Times New Roman"/>
                <w:b/>
                <w:sz w:val="24"/>
                <w:szCs w:val="24"/>
              </w:rPr>
              <w:t xml:space="preserve"> 2021/2022</w:t>
            </w:r>
            <w:r w:rsidR="0030400E">
              <w:rPr>
                <w:rFonts w:ascii="Times New Roman" w:hAnsi="Times New Roman" w:cs="Times New Roman"/>
                <w:b/>
                <w:sz w:val="24"/>
                <w:szCs w:val="24"/>
              </w:rPr>
              <w:t xml:space="preserve"> та 2022/2023</w:t>
            </w:r>
            <w:r w:rsidRPr="0092094A">
              <w:rPr>
                <w:rFonts w:ascii="Times New Roman" w:hAnsi="Times New Roman" w:cs="Times New Roman"/>
                <w:b/>
                <w:sz w:val="24"/>
                <w:szCs w:val="24"/>
              </w:rPr>
              <w:t xml:space="preserve"> </w:t>
            </w:r>
            <w:r w:rsidRPr="0092094A">
              <w:rPr>
                <w:rFonts w:ascii="Times New Roman" w:hAnsi="Times New Roman" w:cs="Times New Roman"/>
                <w:sz w:val="24"/>
                <w:szCs w:val="24"/>
              </w:rPr>
              <w:t>починаючи з 01 березня 2020 року плата за нейтральність балансування застосовується відповідно до цього пункту.</w:t>
            </w:r>
          </w:p>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92094A">
              <w:rPr>
                <w:rFonts w:ascii="Times New Roman" w:hAnsi="Times New Roman" w:cs="Times New Roman"/>
                <w:sz w:val="24"/>
                <w:szCs w:val="24"/>
              </w:rPr>
              <w:t>вебсайті</w:t>
            </w:r>
            <w:proofErr w:type="spellEnd"/>
            <w:r w:rsidRPr="0092094A">
              <w:rPr>
                <w:rFonts w:ascii="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31CBB" w:rsidRPr="0092094A" w:rsidRDefault="00A31CBB" w:rsidP="002E132C">
            <w:pPr>
              <w:ind w:firstLine="346"/>
              <w:jc w:val="both"/>
              <w:rPr>
                <w:rFonts w:ascii="Times New Roman" w:hAnsi="Times New Roman" w:cs="Times New Roman"/>
                <w:sz w:val="24"/>
                <w:szCs w:val="24"/>
              </w:rPr>
            </w:pPr>
            <w:r w:rsidRPr="0092094A">
              <w:rPr>
                <w:rFonts w:ascii="Times New Roman" w:hAnsi="Times New Roman" w:cs="Times New Roman"/>
                <w:sz w:val="24"/>
                <w:szCs w:val="24"/>
              </w:rPr>
              <w:t xml:space="preserve">За газові роки </w:t>
            </w:r>
            <w:r w:rsidR="002E132C" w:rsidRPr="00A713F7">
              <w:rPr>
                <w:rFonts w:ascii="Times New Roman" w:hAnsi="Times New Roman" w:cs="Times New Roman"/>
                <w:sz w:val="24"/>
                <w:szCs w:val="24"/>
              </w:rPr>
              <w:t>2019/2020</w:t>
            </w:r>
            <w:r w:rsidR="0030400E">
              <w:rPr>
                <w:rFonts w:ascii="Times New Roman" w:hAnsi="Times New Roman" w:cs="Times New Roman"/>
                <w:b/>
                <w:sz w:val="24"/>
                <w:szCs w:val="24"/>
              </w:rPr>
              <w:t>, 2020/2021,</w:t>
            </w:r>
            <w:r w:rsidR="002E132C" w:rsidRPr="0092094A">
              <w:rPr>
                <w:rFonts w:ascii="Times New Roman" w:hAnsi="Times New Roman" w:cs="Times New Roman"/>
                <w:b/>
                <w:sz w:val="24"/>
                <w:szCs w:val="24"/>
              </w:rPr>
              <w:t xml:space="preserve"> 2021/2022</w:t>
            </w:r>
            <w:r w:rsidR="0030400E">
              <w:rPr>
                <w:rFonts w:ascii="Times New Roman" w:hAnsi="Times New Roman" w:cs="Times New Roman"/>
                <w:b/>
                <w:sz w:val="24"/>
                <w:szCs w:val="24"/>
              </w:rPr>
              <w:t xml:space="preserve"> та 2022/2023</w:t>
            </w:r>
            <w:r w:rsidR="002E132C" w:rsidRPr="0092094A">
              <w:rPr>
                <w:rFonts w:ascii="Times New Roman" w:hAnsi="Times New Roman" w:cs="Times New Roman"/>
                <w:b/>
                <w:sz w:val="24"/>
                <w:szCs w:val="24"/>
              </w:rPr>
              <w:t xml:space="preserve"> </w:t>
            </w:r>
            <w:r w:rsidRPr="0092094A">
              <w:rPr>
                <w:rFonts w:ascii="Times New Roman" w:hAnsi="Times New Roman" w:cs="Times New Roman"/>
                <w:sz w:val="24"/>
                <w:szCs w:val="24"/>
              </w:rPr>
              <w:t>плата за нейтральність балансування не стягується та не виплачується.</w:t>
            </w:r>
          </w:p>
        </w:tc>
      </w:tr>
      <w:tr w:rsidR="00A31CBB" w:rsidRPr="00A0037C" w:rsidTr="00154348">
        <w:tc>
          <w:tcPr>
            <w:tcW w:w="7258" w:type="dxa"/>
          </w:tcPr>
          <w:p w:rsidR="00A31CBB" w:rsidRPr="0002713A" w:rsidRDefault="00A31CBB" w:rsidP="00A31CBB">
            <w:pPr>
              <w:ind w:firstLine="346"/>
              <w:jc w:val="both"/>
              <w:rPr>
                <w:rFonts w:ascii="Times New Roman" w:hAnsi="Times New Roman" w:cs="Times New Roman"/>
                <w:sz w:val="24"/>
                <w:szCs w:val="24"/>
              </w:rPr>
            </w:pPr>
            <w:r w:rsidRPr="0002713A">
              <w:rPr>
                <w:rFonts w:ascii="Times New Roman" w:hAnsi="Times New Roman" w:cs="Times New Roman"/>
                <w:sz w:val="24"/>
                <w:szCs w:val="24"/>
              </w:rPr>
              <w:t xml:space="preserve">10. </w:t>
            </w:r>
            <w:r w:rsidR="0030400E" w:rsidRPr="0002713A">
              <w:rPr>
                <w:rFonts w:ascii="Times New Roman" w:hAnsi="Times New Roman" w:cs="Times New Roman"/>
                <w:sz w:val="24"/>
                <w:szCs w:val="24"/>
                <w:shd w:val="clear" w:color="auto" w:fill="FFFFFF"/>
              </w:rPr>
              <w:t xml:space="preserve">Для газового року </w:t>
            </w:r>
            <w:r w:rsidR="0030400E" w:rsidRPr="0002713A">
              <w:rPr>
                <w:rFonts w:ascii="Times New Roman" w:hAnsi="Times New Roman" w:cs="Times New Roman"/>
                <w:i/>
                <w:sz w:val="24"/>
                <w:szCs w:val="24"/>
                <w:shd w:val="clear" w:color="auto" w:fill="FFFFFF"/>
              </w:rPr>
              <w:t>2022/2023</w:t>
            </w:r>
            <w:r w:rsidR="0030400E" w:rsidRPr="0002713A">
              <w:rPr>
                <w:rFonts w:ascii="Times New Roman" w:hAnsi="Times New Roman" w:cs="Times New Roman"/>
                <w:sz w:val="24"/>
                <w:szCs w:val="24"/>
                <w:shd w:val="clear" w:color="auto" w:fill="FFFFFF"/>
              </w:rPr>
              <w:t xml:space="preserve"> плата за нейтральність балансування застосовується відповідно до цього пункту.</w:t>
            </w:r>
          </w:p>
          <w:p w:rsidR="00A31CBB" w:rsidRPr="0002713A" w:rsidRDefault="00A31CBB" w:rsidP="00A31CBB">
            <w:pPr>
              <w:ind w:firstLine="346"/>
              <w:jc w:val="both"/>
              <w:rPr>
                <w:rFonts w:ascii="Times New Roman" w:hAnsi="Times New Roman" w:cs="Times New Roman"/>
                <w:sz w:val="24"/>
                <w:szCs w:val="24"/>
              </w:rPr>
            </w:pPr>
            <w:r w:rsidRPr="0002713A">
              <w:rPr>
                <w:rFonts w:ascii="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02713A">
              <w:rPr>
                <w:rFonts w:ascii="Times New Roman" w:hAnsi="Times New Roman" w:cs="Times New Roman"/>
                <w:sz w:val="24"/>
                <w:szCs w:val="24"/>
              </w:rPr>
              <w:t>вебсайті</w:t>
            </w:r>
            <w:proofErr w:type="spellEnd"/>
            <w:r w:rsidRPr="0002713A">
              <w:rPr>
                <w:rFonts w:ascii="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31CBB" w:rsidRPr="0002713A" w:rsidRDefault="00A31CBB" w:rsidP="00A31CBB">
            <w:pPr>
              <w:ind w:firstLine="346"/>
              <w:jc w:val="both"/>
              <w:rPr>
                <w:rFonts w:ascii="Times New Roman" w:hAnsi="Times New Roman" w:cs="Times New Roman"/>
                <w:sz w:val="24"/>
                <w:szCs w:val="24"/>
              </w:rPr>
            </w:pPr>
            <w:r w:rsidRPr="0002713A">
              <w:rPr>
                <w:rFonts w:ascii="Times New Roman" w:hAnsi="Times New Roman" w:cs="Times New Roman"/>
                <w:sz w:val="24"/>
                <w:szCs w:val="24"/>
              </w:rPr>
              <w:lastRenderedPageBreak/>
              <w:t xml:space="preserve">За газовий рік </w:t>
            </w:r>
            <w:r w:rsidR="0030400E" w:rsidRPr="0002713A">
              <w:rPr>
                <w:rFonts w:ascii="Times New Roman" w:hAnsi="Times New Roman" w:cs="Times New Roman"/>
                <w:i/>
                <w:sz w:val="24"/>
                <w:szCs w:val="24"/>
                <w:shd w:val="clear" w:color="auto" w:fill="FFFFFF"/>
              </w:rPr>
              <w:t>2022/2023</w:t>
            </w:r>
            <w:r w:rsidR="0030400E" w:rsidRPr="0002713A">
              <w:rPr>
                <w:rFonts w:ascii="Times New Roman" w:hAnsi="Times New Roman" w:cs="Times New Roman"/>
                <w:sz w:val="24"/>
                <w:szCs w:val="24"/>
                <w:shd w:val="clear" w:color="auto" w:fill="FFFFFF"/>
              </w:rPr>
              <w:t xml:space="preserve"> </w:t>
            </w:r>
            <w:r w:rsidRPr="0002713A">
              <w:rPr>
                <w:rFonts w:ascii="Times New Roman" w:hAnsi="Times New Roman" w:cs="Times New Roman"/>
                <w:sz w:val="24"/>
                <w:szCs w:val="24"/>
              </w:rPr>
              <w:t xml:space="preserve">плата за нейтральність балансування стягується та виплачується в загальному обсязі за всі місяці газового року один раз на рік у строк до 01 січня </w:t>
            </w:r>
            <w:r w:rsidRPr="0002713A">
              <w:rPr>
                <w:rFonts w:ascii="Times New Roman" w:hAnsi="Times New Roman" w:cs="Times New Roman"/>
                <w:i/>
                <w:sz w:val="24"/>
                <w:szCs w:val="24"/>
              </w:rPr>
              <w:t>202</w:t>
            </w:r>
            <w:r w:rsidR="0002713A" w:rsidRPr="0002713A">
              <w:rPr>
                <w:rFonts w:ascii="Times New Roman" w:hAnsi="Times New Roman" w:cs="Times New Roman"/>
                <w:i/>
                <w:sz w:val="24"/>
                <w:szCs w:val="24"/>
                <w:lang w:val="ru-RU"/>
              </w:rPr>
              <w:t>4</w:t>
            </w:r>
            <w:r w:rsidRPr="0002713A">
              <w:rPr>
                <w:rFonts w:ascii="Times New Roman" w:hAnsi="Times New Roman" w:cs="Times New Roman"/>
                <w:sz w:val="24"/>
                <w:szCs w:val="24"/>
              </w:rPr>
              <w:t xml:space="preserve">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від замовників послуг транспортування в якості плати за добовий небаланс за відповідні місяці газового року та здійснення </w:t>
            </w:r>
            <w:proofErr w:type="spellStart"/>
            <w:r w:rsidRPr="0002713A">
              <w:rPr>
                <w:rFonts w:ascii="Times New Roman" w:hAnsi="Times New Roman" w:cs="Times New Roman"/>
                <w:sz w:val="24"/>
                <w:szCs w:val="24"/>
              </w:rPr>
              <w:t>оплат</w:t>
            </w:r>
            <w:proofErr w:type="spellEnd"/>
            <w:r w:rsidRPr="0002713A">
              <w:rPr>
                <w:rFonts w:ascii="Times New Roman" w:hAnsi="Times New Roman" w:cs="Times New Roman"/>
                <w:sz w:val="24"/>
                <w:szCs w:val="24"/>
              </w:rPr>
              <w:t xml:space="preserve"> оператором газотранспортної системи в якості погашення витрат, визначених пунктом 4 цієї глави, станом на 31 грудня </w:t>
            </w:r>
            <w:r w:rsidR="0030400E" w:rsidRPr="0002713A">
              <w:rPr>
                <w:rFonts w:ascii="Times New Roman" w:hAnsi="Times New Roman" w:cs="Times New Roman"/>
                <w:i/>
                <w:sz w:val="24"/>
                <w:szCs w:val="24"/>
              </w:rPr>
              <w:t>2023</w:t>
            </w:r>
            <w:r w:rsidRPr="0002713A">
              <w:rPr>
                <w:rFonts w:ascii="Times New Roman" w:hAnsi="Times New Roman" w:cs="Times New Roman"/>
                <w:sz w:val="24"/>
                <w:szCs w:val="24"/>
              </w:rPr>
              <w:t xml:space="preserve"> року. Така виплата здійснюється </w:t>
            </w:r>
            <w:proofErr w:type="spellStart"/>
            <w:r w:rsidRPr="0002713A">
              <w:rPr>
                <w:rFonts w:ascii="Times New Roman" w:hAnsi="Times New Roman" w:cs="Times New Roman"/>
                <w:sz w:val="24"/>
                <w:szCs w:val="24"/>
              </w:rPr>
              <w:t>пропорційно</w:t>
            </w:r>
            <w:proofErr w:type="spellEnd"/>
            <w:r w:rsidRPr="0002713A">
              <w:rPr>
                <w:rFonts w:ascii="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p w:rsidR="00A31CBB" w:rsidRPr="0002713A" w:rsidRDefault="00A31CBB" w:rsidP="00A31CBB">
            <w:pPr>
              <w:ind w:firstLine="346"/>
              <w:jc w:val="both"/>
              <w:rPr>
                <w:rFonts w:ascii="Times New Roman" w:hAnsi="Times New Roman" w:cs="Times New Roman"/>
                <w:sz w:val="24"/>
                <w:szCs w:val="24"/>
              </w:rPr>
            </w:pPr>
            <w:r w:rsidRPr="0002713A">
              <w:rPr>
                <w:rFonts w:ascii="Times New Roman" w:hAnsi="Times New Roman" w:cs="Times New Roman"/>
                <w:sz w:val="24"/>
                <w:szCs w:val="24"/>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цієї глави, відповідного звітного місяця газового року </w:t>
            </w:r>
            <w:r w:rsidR="0030400E" w:rsidRPr="0002713A">
              <w:rPr>
                <w:rFonts w:ascii="Times New Roman" w:hAnsi="Times New Roman" w:cs="Times New Roman"/>
                <w:i/>
                <w:sz w:val="24"/>
                <w:szCs w:val="24"/>
              </w:rPr>
              <w:t>2022/2023</w:t>
            </w:r>
            <w:r w:rsidRPr="0002713A">
              <w:rPr>
                <w:rFonts w:ascii="Times New Roman" w:hAnsi="Times New Roman" w:cs="Times New Roman"/>
                <w:sz w:val="24"/>
                <w:szCs w:val="24"/>
              </w:rPr>
              <w:t xml:space="preserve">,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02713A">
              <w:rPr>
                <w:rFonts w:ascii="Times New Roman" w:hAnsi="Times New Roman" w:cs="Times New Roman"/>
                <w:sz w:val="24"/>
                <w:szCs w:val="24"/>
              </w:rPr>
              <w:t>пропорційно</w:t>
            </w:r>
            <w:proofErr w:type="spellEnd"/>
            <w:r w:rsidRPr="0002713A">
              <w:rPr>
                <w:rFonts w:ascii="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tc>
        <w:tc>
          <w:tcPr>
            <w:tcW w:w="7229" w:type="dxa"/>
          </w:tcPr>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lastRenderedPageBreak/>
              <w:t xml:space="preserve">10. Для </w:t>
            </w:r>
            <w:r w:rsidRPr="009069D4">
              <w:rPr>
                <w:rFonts w:ascii="Times New Roman" w:hAnsi="Times New Roman" w:cs="Times New Roman"/>
                <w:sz w:val="24"/>
                <w:szCs w:val="24"/>
              </w:rPr>
              <w:t>газов</w:t>
            </w:r>
            <w:r w:rsidR="008D6F15" w:rsidRPr="009069D4">
              <w:rPr>
                <w:rFonts w:ascii="Times New Roman" w:hAnsi="Times New Roman" w:cs="Times New Roman"/>
                <w:sz w:val="24"/>
                <w:szCs w:val="24"/>
              </w:rPr>
              <w:t>ого</w:t>
            </w:r>
            <w:r w:rsidRPr="009069D4">
              <w:rPr>
                <w:rFonts w:ascii="Times New Roman" w:hAnsi="Times New Roman" w:cs="Times New Roman"/>
                <w:sz w:val="24"/>
                <w:szCs w:val="24"/>
              </w:rPr>
              <w:t xml:space="preserve"> рок</w:t>
            </w:r>
            <w:r w:rsidR="008D6F15" w:rsidRPr="009069D4">
              <w:rPr>
                <w:rFonts w:ascii="Times New Roman" w:hAnsi="Times New Roman" w:cs="Times New Roman"/>
                <w:sz w:val="24"/>
                <w:szCs w:val="24"/>
              </w:rPr>
              <w:t>у</w:t>
            </w:r>
            <w:r w:rsidRPr="0092094A">
              <w:rPr>
                <w:rFonts w:ascii="Times New Roman" w:hAnsi="Times New Roman" w:cs="Times New Roman"/>
                <w:b/>
                <w:sz w:val="24"/>
                <w:szCs w:val="24"/>
              </w:rPr>
              <w:t xml:space="preserve"> 202</w:t>
            </w:r>
            <w:r w:rsidR="0030400E">
              <w:rPr>
                <w:rFonts w:ascii="Times New Roman" w:hAnsi="Times New Roman" w:cs="Times New Roman"/>
                <w:b/>
                <w:sz w:val="24"/>
                <w:szCs w:val="24"/>
              </w:rPr>
              <w:t>3</w:t>
            </w:r>
            <w:r w:rsidRPr="0092094A">
              <w:rPr>
                <w:rFonts w:ascii="Times New Roman" w:hAnsi="Times New Roman" w:cs="Times New Roman"/>
                <w:b/>
                <w:sz w:val="24"/>
                <w:szCs w:val="24"/>
              </w:rPr>
              <w:t>/202</w:t>
            </w:r>
            <w:r w:rsidR="0030400E">
              <w:rPr>
                <w:rFonts w:ascii="Times New Roman" w:hAnsi="Times New Roman" w:cs="Times New Roman"/>
                <w:b/>
                <w:sz w:val="24"/>
                <w:szCs w:val="24"/>
              </w:rPr>
              <w:t>4</w:t>
            </w:r>
            <w:r w:rsidRPr="0092094A">
              <w:rPr>
                <w:rFonts w:ascii="Times New Roman" w:hAnsi="Times New Roman" w:cs="Times New Roman"/>
                <w:sz w:val="24"/>
                <w:szCs w:val="24"/>
              </w:rPr>
              <w:t xml:space="preserve"> плата за нейтральність балансування застосовується відповідно до цього пункту.</w:t>
            </w:r>
          </w:p>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92094A">
              <w:rPr>
                <w:rFonts w:ascii="Times New Roman" w:hAnsi="Times New Roman" w:cs="Times New Roman"/>
                <w:sz w:val="24"/>
                <w:szCs w:val="24"/>
              </w:rPr>
              <w:t>вебсайті</w:t>
            </w:r>
            <w:proofErr w:type="spellEnd"/>
            <w:r w:rsidRPr="0092094A">
              <w:rPr>
                <w:rFonts w:ascii="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lastRenderedPageBreak/>
              <w:t xml:space="preserve">За газовий рік </w:t>
            </w:r>
            <w:r w:rsidR="008D6F15" w:rsidRPr="0092094A">
              <w:rPr>
                <w:rFonts w:ascii="Times New Roman" w:hAnsi="Times New Roman" w:cs="Times New Roman"/>
                <w:b/>
                <w:sz w:val="24"/>
                <w:szCs w:val="24"/>
              </w:rPr>
              <w:t>202</w:t>
            </w:r>
            <w:r w:rsidR="0030400E">
              <w:rPr>
                <w:rFonts w:ascii="Times New Roman" w:hAnsi="Times New Roman" w:cs="Times New Roman"/>
                <w:b/>
                <w:sz w:val="24"/>
                <w:szCs w:val="24"/>
              </w:rPr>
              <w:t>3</w:t>
            </w:r>
            <w:r w:rsidR="008D6F15" w:rsidRPr="0092094A">
              <w:rPr>
                <w:rFonts w:ascii="Times New Roman" w:hAnsi="Times New Roman" w:cs="Times New Roman"/>
                <w:b/>
                <w:sz w:val="24"/>
                <w:szCs w:val="24"/>
              </w:rPr>
              <w:t>/202</w:t>
            </w:r>
            <w:r w:rsidR="0030400E">
              <w:rPr>
                <w:rFonts w:ascii="Times New Roman" w:hAnsi="Times New Roman" w:cs="Times New Roman"/>
                <w:b/>
                <w:sz w:val="24"/>
                <w:szCs w:val="24"/>
              </w:rPr>
              <w:t>4</w:t>
            </w:r>
            <w:r w:rsidRPr="0092094A">
              <w:rPr>
                <w:rFonts w:ascii="Times New Roman" w:hAnsi="Times New Roman" w:cs="Times New Roman"/>
                <w:sz w:val="24"/>
                <w:szCs w:val="24"/>
              </w:rPr>
              <w:t xml:space="preserve"> плата за нейтральність балансування стягується та виплачується в загальному обсязі за всі місяці газового року один раз</w:t>
            </w:r>
            <w:r w:rsidR="008D6F15" w:rsidRPr="0092094A">
              <w:rPr>
                <w:rFonts w:ascii="Times New Roman" w:hAnsi="Times New Roman" w:cs="Times New Roman"/>
                <w:sz w:val="24"/>
                <w:szCs w:val="24"/>
              </w:rPr>
              <w:t xml:space="preserve"> на рік у строк до 01 січня </w:t>
            </w:r>
            <w:r w:rsidR="00042D5A">
              <w:rPr>
                <w:rFonts w:ascii="Times New Roman" w:hAnsi="Times New Roman" w:cs="Times New Roman"/>
                <w:b/>
                <w:sz w:val="24"/>
                <w:szCs w:val="24"/>
              </w:rPr>
              <w:t>2025</w:t>
            </w:r>
            <w:r w:rsidRPr="0092094A">
              <w:rPr>
                <w:rFonts w:ascii="Times New Roman" w:hAnsi="Times New Roman" w:cs="Times New Roman"/>
                <w:sz w:val="24"/>
                <w:szCs w:val="24"/>
              </w:rPr>
              <w:t xml:space="preserve">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від замовників послуг транспортування в якості плати за добовий небаланс за відповідні місяці газового року та здійснення </w:t>
            </w:r>
            <w:proofErr w:type="spellStart"/>
            <w:r w:rsidRPr="0092094A">
              <w:rPr>
                <w:rFonts w:ascii="Times New Roman" w:hAnsi="Times New Roman" w:cs="Times New Roman"/>
                <w:sz w:val="24"/>
                <w:szCs w:val="24"/>
              </w:rPr>
              <w:t>оплат</w:t>
            </w:r>
            <w:proofErr w:type="spellEnd"/>
            <w:r w:rsidRPr="0092094A">
              <w:rPr>
                <w:rFonts w:ascii="Times New Roman" w:hAnsi="Times New Roman" w:cs="Times New Roman"/>
                <w:sz w:val="24"/>
                <w:szCs w:val="24"/>
              </w:rPr>
              <w:t xml:space="preserve"> оператором газотранспортної системи в якості погашення витрат, визначених пунктом 4 цієї глави, станом на 31 грудня </w:t>
            </w:r>
            <w:r w:rsidRPr="0092094A">
              <w:rPr>
                <w:rFonts w:ascii="Times New Roman" w:hAnsi="Times New Roman" w:cs="Times New Roman"/>
                <w:b/>
                <w:sz w:val="24"/>
                <w:szCs w:val="24"/>
              </w:rPr>
              <w:t>202</w:t>
            </w:r>
            <w:r w:rsidR="0030400E">
              <w:rPr>
                <w:rFonts w:ascii="Times New Roman" w:hAnsi="Times New Roman" w:cs="Times New Roman"/>
                <w:b/>
                <w:sz w:val="24"/>
                <w:szCs w:val="24"/>
              </w:rPr>
              <w:t>4</w:t>
            </w:r>
            <w:r w:rsidRPr="0092094A">
              <w:rPr>
                <w:rFonts w:ascii="Times New Roman" w:hAnsi="Times New Roman" w:cs="Times New Roman"/>
                <w:sz w:val="24"/>
                <w:szCs w:val="24"/>
              </w:rPr>
              <w:t xml:space="preserve"> року. Така виплата здійснюється </w:t>
            </w:r>
            <w:proofErr w:type="spellStart"/>
            <w:r w:rsidRPr="0092094A">
              <w:rPr>
                <w:rFonts w:ascii="Times New Roman" w:hAnsi="Times New Roman" w:cs="Times New Roman"/>
                <w:sz w:val="24"/>
                <w:szCs w:val="24"/>
              </w:rPr>
              <w:t>пропорційно</w:t>
            </w:r>
            <w:proofErr w:type="spellEnd"/>
            <w:r w:rsidRPr="0092094A">
              <w:rPr>
                <w:rFonts w:ascii="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p w:rsidR="00A31CBB" w:rsidRPr="0092094A" w:rsidRDefault="00A31CBB" w:rsidP="009069D4">
            <w:pPr>
              <w:ind w:firstLine="346"/>
              <w:jc w:val="both"/>
              <w:rPr>
                <w:rFonts w:ascii="Times New Roman" w:hAnsi="Times New Roman" w:cs="Times New Roman"/>
                <w:sz w:val="24"/>
                <w:szCs w:val="24"/>
              </w:rPr>
            </w:pPr>
            <w:r w:rsidRPr="0092094A">
              <w:rPr>
                <w:rFonts w:ascii="Times New Roman" w:hAnsi="Times New Roman" w:cs="Times New Roman"/>
                <w:sz w:val="24"/>
                <w:szCs w:val="24"/>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цієї глави, відповідного звітного місяця газового року </w:t>
            </w:r>
            <w:r w:rsidR="008D6F15" w:rsidRPr="0092094A">
              <w:rPr>
                <w:rFonts w:ascii="Times New Roman" w:hAnsi="Times New Roman" w:cs="Times New Roman"/>
                <w:b/>
                <w:sz w:val="24"/>
                <w:szCs w:val="24"/>
              </w:rPr>
              <w:t>202</w:t>
            </w:r>
            <w:r w:rsidR="0030400E">
              <w:rPr>
                <w:rFonts w:ascii="Times New Roman" w:hAnsi="Times New Roman" w:cs="Times New Roman"/>
                <w:b/>
                <w:sz w:val="24"/>
                <w:szCs w:val="24"/>
              </w:rPr>
              <w:t>3</w:t>
            </w:r>
            <w:r w:rsidR="008D6F15" w:rsidRPr="0092094A">
              <w:rPr>
                <w:rFonts w:ascii="Times New Roman" w:hAnsi="Times New Roman" w:cs="Times New Roman"/>
                <w:b/>
                <w:sz w:val="24"/>
                <w:szCs w:val="24"/>
              </w:rPr>
              <w:t>/202</w:t>
            </w:r>
            <w:r w:rsidR="0030400E">
              <w:rPr>
                <w:rFonts w:ascii="Times New Roman" w:hAnsi="Times New Roman" w:cs="Times New Roman"/>
                <w:b/>
                <w:sz w:val="24"/>
                <w:szCs w:val="24"/>
              </w:rPr>
              <w:t>4</w:t>
            </w:r>
            <w:r w:rsidRPr="0092094A">
              <w:rPr>
                <w:rFonts w:ascii="Times New Roman" w:hAnsi="Times New Roman" w:cs="Times New Roman"/>
                <w:sz w:val="24"/>
                <w:szCs w:val="24"/>
              </w:rPr>
              <w:t xml:space="preserve">,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92094A">
              <w:rPr>
                <w:rFonts w:ascii="Times New Roman" w:hAnsi="Times New Roman" w:cs="Times New Roman"/>
                <w:sz w:val="24"/>
                <w:szCs w:val="24"/>
              </w:rPr>
              <w:t>пропорційно</w:t>
            </w:r>
            <w:proofErr w:type="spellEnd"/>
            <w:r w:rsidRPr="0092094A">
              <w:rPr>
                <w:rFonts w:ascii="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tc>
      </w:tr>
      <w:tr w:rsidR="00A31CBB" w:rsidRPr="00A0037C" w:rsidTr="00154348">
        <w:tc>
          <w:tcPr>
            <w:tcW w:w="7258" w:type="dxa"/>
          </w:tcPr>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lastRenderedPageBreak/>
              <w:t xml:space="preserve">11. Для газового року </w:t>
            </w:r>
            <w:r w:rsidR="0030400E">
              <w:rPr>
                <w:rFonts w:ascii="Times New Roman" w:hAnsi="Times New Roman" w:cs="Times New Roman"/>
                <w:i/>
                <w:sz w:val="24"/>
                <w:szCs w:val="24"/>
              </w:rPr>
              <w:t>2023/2024</w:t>
            </w:r>
            <w:r w:rsidRPr="0092094A">
              <w:rPr>
                <w:rFonts w:ascii="Times New Roman" w:hAnsi="Times New Roman" w:cs="Times New Roman"/>
                <w:sz w:val="24"/>
                <w:szCs w:val="24"/>
              </w:rPr>
              <w:t xml:space="preserve"> та наступних газових років плата за нейтральність балансування застосовується відповідно до цього пункту.</w:t>
            </w:r>
          </w:p>
          <w:p w:rsidR="00A31CBB" w:rsidRPr="0002713A" w:rsidRDefault="0002713A" w:rsidP="00A31CBB">
            <w:pPr>
              <w:ind w:firstLine="346"/>
              <w:jc w:val="both"/>
              <w:rPr>
                <w:rFonts w:ascii="Times New Roman" w:hAnsi="Times New Roman" w:cs="Times New Roman"/>
                <w:sz w:val="24"/>
                <w:szCs w:val="24"/>
              </w:rPr>
            </w:pPr>
            <w:r>
              <w:rPr>
                <w:rFonts w:ascii="Times New Roman" w:hAnsi="Times New Roman" w:cs="Times New Roman"/>
                <w:sz w:val="24"/>
                <w:szCs w:val="24"/>
              </w:rPr>
              <w:t>…</w:t>
            </w:r>
          </w:p>
        </w:tc>
        <w:tc>
          <w:tcPr>
            <w:tcW w:w="7229" w:type="dxa"/>
          </w:tcPr>
          <w:p w:rsidR="00A31CBB" w:rsidRPr="0092094A" w:rsidRDefault="00A31CBB" w:rsidP="00A31CBB">
            <w:pPr>
              <w:ind w:firstLine="346"/>
              <w:jc w:val="both"/>
              <w:rPr>
                <w:rFonts w:ascii="Times New Roman" w:hAnsi="Times New Roman" w:cs="Times New Roman"/>
                <w:sz w:val="24"/>
                <w:szCs w:val="24"/>
              </w:rPr>
            </w:pPr>
            <w:r w:rsidRPr="0092094A">
              <w:rPr>
                <w:rFonts w:ascii="Times New Roman" w:hAnsi="Times New Roman" w:cs="Times New Roman"/>
                <w:sz w:val="24"/>
                <w:szCs w:val="24"/>
              </w:rPr>
              <w:t xml:space="preserve">11. Для газового року </w:t>
            </w:r>
            <w:r w:rsidRPr="0092094A">
              <w:rPr>
                <w:rFonts w:ascii="Times New Roman" w:hAnsi="Times New Roman" w:cs="Times New Roman"/>
                <w:b/>
                <w:sz w:val="24"/>
                <w:szCs w:val="24"/>
              </w:rPr>
              <w:t>202</w:t>
            </w:r>
            <w:r w:rsidR="0030400E">
              <w:rPr>
                <w:rFonts w:ascii="Times New Roman" w:hAnsi="Times New Roman" w:cs="Times New Roman"/>
                <w:b/>
                <w:sz w:val="24"/>
                <w:szCs w:val="24"/>
              </w:rPr>
              <w:t>4</w:t>
            </w:r>
            <w:r w:rsidRPr="0092094A">
              <w:rPr>
                <w:rFonts w:ascii="Times New Roman" w:hAnsi="Times New Roman" w:cs="Times New Roman"/>
                <w:b/>
                <w:sz w:val="24"/>
                <w:szCs w:val="24"/>
              </w:rPr>
              <w:t>/202</w:t>
            </w:r>
            <w:r w:rsidR="0030400E">
              <w:rPr>
                <w:rFonts w:ascii="Times New Roman" w:hAnsi="Times New Roman" w:cs="Times New Roman"/>
                <w:b/>
                <w:sz w:val="24"/>
                <w:szCs w:val="24"/>
              </w:rPr>
              <w:t>5</w:t>
            </w:r>
            <w:r w:rsidRPr="0092094A">
              <w:rPr>
                <w:rFonts w:ascii="Times New Roman" w:hAnsi="Times New Roman" w:cs="Times New Roman"/>
                <w:sz w:val="24"/>
                <w:szCs w:val="24"/>
              </w:rPr>
              <w:t xml:space="preserve"> та наступних газових років плата за нейтральність балансування застосовується відповідно до цього пункту.</w:t>
            </w:r>
          </w:p>
          <w:p w:rsidR="00A31CBB" w:rsidRPr="0092094A" w:rsidRDefault="0002713A" w:rsidP="00A31CBB">
            <w:pPr>
              <w:ind w:firstLine="346"/>
              <w:jc w:val="both"/>
              <w:rPr>
                <w:rFonts w:ascii="Times New Roman" w:hAnsi="Times New Roman" w:cs="Times New Roman"/>
                <w:sz w:val="24"/>
                <w:szCs w:val="24"/>
              </w:rPr>
            </w:pPr>
            <w:r>
              <w:rPr>
                <w:rFonts w:ascii="Times New Roman" w:hAnsi="Times New Roman" w:cs="Times New Roman"/>
                <w:sz w:val="24"/>
                <w:szCs w:val="24"/>
              </w:rPr>
              <w:t>…</w:t>
            </w:r>
            <w:bookmarkStart w:id="1" w:name="_GoBack"/>
            <w:bookmarkEnd w:id="1"/>
          </w:p>
        </w:tc>
      </w:tr>
    </w:tbl>
    <w:p w:rsidR="00EE666A" w:rsidRDefault="00EE666A" w:rsidP="0030400E">
      <w:pPr>
        <w:spacing w:after="0" w:line="240" w:lineRule="auto"/>
      </w:pPr>
    </w:p>
    <w:p w:rsidR="00C95F4C" w:rsidRDefault="00C95F4C" w:rsidP="0030400E">
      <w:pPr>
        <w:tabs>
          <w:tab w:val="left" w:pos="8295"/>
        </w:tabs>
        <w:spacing w:after="0" w:line="240" w:lineRule="auto"/>
      </w:pPr>
    </w:p>
    <w:p w:rsidR="008949A9" w:rsidRPr="008949A9" w:rsidRDefault="008949A9" w:rsidP="0030400E">
      <w:pPr>
        <w:spacing w:after="0" w:line="240" w:lineRule="auto"/>
        <w:ind w:left="284"/>
        <w:contextualSpacing/>
        <w:jc w:val="both"/>
        <w:rPr>
          <w:rFonts w:ascii="Times New Roman" w:eastAsia="Times New Roman" w:hAnsi="Times New Roman" w:cs="Times New Roman"/>
          <w:b/>
          <w:sz w:val="28"/>
          <w:szCs w:val="28"/>
          <w:lang w:eastAsia="uk-UA"/>
        </w:rPr>
      </w:pPr>
      <w:r w:rsidRPr="008949A9">
        <w:rPr>
          <w:rFonts w:ascii="Times New Roman" w:eastAsia="Times New Roman" w:hAnsi="Times New Roman" w:cs="Times New Roman"/>
          <w:b/>
          <w:sz w:val="28"/>
          <w:szCs w:val="28"/>
          <w:lang w:eastAsia="uk-UA"/>
        </w:rPr>
        <w:t xml:space="preserve">Директор Департаменту із </w:t>
      </w:r>
    </w:p>
    <w:p w:rsidR="008949A9" w:rsidRPr="008949A9" w:rsidRDefault="008949A9" w:rsidP="0030400E">
      <w:pPr>
        <w:spacing w:after="0" w:line="240" w:lineRule="auto"/>
        <w:ind w:left="284"/>
        <w:contextualSpacing/>
        <w:jc w:val="both"/>
        <w:rPr>
          <w:rFonts w:ascii="Times New Roman" w:eastAsia="Times New Roman" w:hAnsi="Times New Roman" w:cs="Times New Roman"/>
          <w:b/>
          <w:sz w:val="28"/>
          <w:szCs w:val="28"/>
          <w:lang w:eastAsia="uk-UA"/>
        </w:rPr>
      </w:pPr>
      <w:r w:rsidRPr="008949A9">
        <w:rPr>
          <w:rFonts w:ascii="Times New Roman" w:eastAsia="Times New Roman" w:hAnsi="Times New Roman" w:cs="Times New Roman"/>
          <w:b/>
          <w:sz w:val="28"/>
          <w:szCs w:val="28"/>
          <w:lang w:eastAsia="uk-UA"/>
        </w:rPr>
        <w:t>регулювання відносин у нафтогазовій сфері</w:t>
      </w:r>
      <w:r w:rsidRPr="008949A9">
        <w:rPr>
          <w:rFonts w:ascii="Times New Roman" w:eastAsia="Times New Roman" w:hAnsi="Times New Roman" w:cs="Times New Roman"/>
          <w:b/>
          <w:sz w:val="28"/>
          <w:szCs w:val="28"/>
          <w:lang w:eastAsia="uk-UA"/>
        </w:rPr>
        <w:tab/>
      </w:r>
      <w:r w:rsidRPr="008949A9">
        <w:rPr>
          <w:rFonts w:ascii="Times New Roman" w:eastAsia="Times New Roman" w:hAnsi="Times New Roman" w:cs="Times New Roman"/>
          <w:b/>
          <w:sz w:val="28"/>
          <w:szCs w:val="28"/>
          <w:lang w:eastAsia="uk-UA"/>
        </w:rPr>
        <w:tab/>
      </w:r>
      <w:r w:rsidRPr="008949A9">
        <w:rPr>
          <w:rFonts w:ascii="Times New Roman" w:eastAsia="Times New Roman" w:hAnsi="Times New Roman" w:cs="Times New Roman"/>
          <w:b/>
          <w:sz w:val="28"/>
          <w:szCs w:val="28"/>
          <w:lang w:eastAsia="uk-UA"/>
        </w:rPr>
        <w:tab/>
      </w:r>
      <w:r w:rsidRPr="008949A9">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0030400E">
        <w:rPr>
          <w:rFonts w:ascii="Times New Roman" w:eastAsia="Times New Roman" w:hAnsi="Times New Roman" w:cs="Times New Roman"/>
          <w:b/>
          <w:sz w:val="28"/>
          <w:szCs w:val="28"/>
          <w:lang w:eastAsia="uk-UA"/>
        </w:rPr>
        <w:tab/>
      </w:r>
      <w:r w:rsidRPr="008949A9">
        <w:rPr>
          <w:rFonts w:ascii="Times New Roman" w:eastAsia="Times New Roman" w:hAnsi="Times New Roman" w:cs="Times New Roman"/>
          <w:b/>
          <w:sz w:val="28"/>
          <w:szCs w:val="28"/>
          <w:lang w:eastAsia="uk-UA"/>
        </w:rPr>
        <w:t>Т. Рябуха</w:t>
      </w:r>
    </w:p>
    <w:sectPr w:rsidR="008949A9" w:rsidRPr="008949A9" w:rsidSect="00FE078C">
      <w:footerReference w:type="default" r:id="rId7"/>
      <w:pgSz w:w="16838" w:h="11906" w:orient="landscape"/>
      <w:pgMar w:top="851" w:right="1134" w:bottom="993" w:left="709" w:header="709"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05F" w:rsidRDefault="00F4105F">
      <w:pPr>
        <w:spacing w:after="0" w:line="240" w:lineRule="auto"/>
      </w:pPr>
      <w:r>
        <w:separator/>
      </w:r>
    </w:p>
  </w:endnote>
  <w:endnote w:type="continuationSeparator" w:id="0">
    <w:p w:rsidR="00F4105F" w:rsidRDefault="00F4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994860"/>
      <w:docPartObj>
        <w:docPartGallery w:val="Page Numbers (Bottom of Page)"/>
        <w:docPartUnique/>
      </w:docPartObj>
    </w:sdtPr>
    <w:sdtEndPr/>
    <w:sdtContent>
      <w:p w:rsidR="00C17C56" w:rsidRDefault="008D6F15">
        <w:pPr>
          <w:pStyle w:val="ab"/>
          <w:jc w:val="right"/>
        </w:pPr>
        <w:r>
          <w:fldChar w:fldCharType="begin"/>
        </w:r>
        <w:r>
          <w:instrText>PAGE   \* MERGEFORMAT</w:instrText>
        </w:r>
        <w:r>
          <w:fldChar w:fldCharType="separate"/>
        </w:r>
        <w:r w:rsidR="00042D5A">
          <w:rPr>
            <w:noProof/>
          </w:rPr>
          <w:t>3</w:t>
        </w:r>
        <w:r>
          <w:fldChar w:fldCharType="end"/>
        </w:r>
      </w:p>
    </w:sdtContent>
  </w:sdt>
  <w:p w:rsidR="00C17C56" w:rsidRDefault="00F4105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05F" w:rsidRDefault="00F4105F">
      <w:pPr>
        <w:spacing w:after="0" w:line="240" w:lineRule="auto"/>
      </w:pPr>
      <w:r>
        <w:separator/>
      </w:r>
    </w:p>
  </w:footnote>
  <w:footnote w:type="continuationSeparator" w:id="0">
    <w:p w:rsidR="00F4105F" w:rsidRDefault="00F410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36491E"/>
    <w:multiLevelType w:val="multilevel"/>
    <w:tmpl w:val="8C6689A4"/>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0E"/>
    <w:rsid w:val="0002713A"/>
    <w:rsid w:val="00037662"/>
    <w:rsid w:val="00042D5A"/>
    <w:rsid w:val="002E132C"/>
    <w:rsid w:val="0030400E"/>
    <w:rsid w:val="003B3555"/>
    <w:rsid w:val="00464F1A"/>
    <w:rsid w:val="004F0E6D"/>
    <w:rsid w:val="005041DC"/>
    <w:rsid w:val="006978F5"/>
    <w:rsid w:val="008949A9"/>
    <w:rsid w:val="008D6F15"/>
    <w:rsid w:val="009069D4"/>
    <w:rsid w:val="00917231"/>
    <w:rsid w:val="0092094A"/>
    <w:rsid w:val="00A31CBB"/>
    <w:rsid w:val="00A713F7"/>
    <w:rsid w:val="00AA4253"/>
    <w:rsid w:val="00AB6572"/>
    <w:rsid w:val="00AE210E"/>
    <w:rsid w:val="00C95F4C"/>
    <w:rsid w:val="00E46E5F"/>
    <w:rsid w:val="00EE666A"/>
    <w:rsid w:val="00F4105F"/>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7B432"/>
  <w15:chartTrackingRefBased/>
  <w15:docId w15:val="{987C4713-219F-4787-AB3F-53F92CE3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E210E"/>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210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AE210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AE210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5">
    <w:name w:val="Hyperlink"/>
    <w:basedOn w:val="a0"/>
    <w:uiPriority w:val="99"/>
    <w:semiHidden/>
    <w:unhideWhenUsed/>
    <w:rsid w:val="00AE210E"/>
    <w:rPr>
      <w:color w:val="0563C1" w:themeColor="hyperlink"/>
      <w:u w:val="single"/>
    </w:rPr>
  </w:style>
  <w:style w:type="paragraph" w:styleId="a6">
    <w:name w:val="List Paragraph"/>
    <w:basedOn w:val="a"/>
    <w:uiPriority w:val="34"/>
    <w:qFormat/>
    <w:rsid w:val="00AE210E"/>
    <w:pPr>
      <w:ind w:left="720"/>
      <w:contextualSpacing/>
    </w:pPr>
  </w:style>
  <w:style w:type="paragraph" w:styleId="a7">
    <w:name w:val="Balloon Text"/>
    <w:basedOn w:val="a"/>
    <w:link w:val="a8"/>
    <w:uiPriority w:val="99"/>
    <w:semiHidden/>
    <w:unhideWhenUsed/>
    <w:rsid w:val="00AE210E"/>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E210E"/>
    <w:rPr>
      <w:rFonts w:ascii="Segoe UI" w:eastAsiaTheme="minorHAnsi" w:hAnsi="Segoe UI" w:cs="Segoe UI"/>
      <w:sz w:val="18"/>
      <w:szCs w:val="18"/>
      <w:lang w:eastAsia="en-US"/>
    </w:rPr>
  </w:style>
  <w:style w:type="paragraph" w:styleId="a9">
    <w:name w:val="header"/>
    <w:basedOn w:val="a"/>
    <w:link w:val="aa"/>
    <w:uiPriority w:val="99"/>
    <w:unhideWhenUsed/>
    <w:rsid w:val="00AE210E"/>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AE210E"/>
    <w:rPr>
      <w:rFonts w:eastAsiaTheme="minorHAnsi"/>
      <w:lang w:eastAsia="en-US"/>
    </w:rPr>
  </w:style>
  <w:style w:type="paragraph" w:styleId="ab">
    <w:name w:val="footer"/>
    <w:basedOn w:val="a"/>
    <w:link w:val="ac"/>
    <w:uiPriority w:val="99"/>
    <w:unhideWhenUsed/>
    <w:rsid w:val="00AE210E"/>
    <w:pPr>
      <w:tabs>
        <w:tab w:val="center" w:pos="4819"/>
        <w:tab w:val="right" w:pos="9639"/>
      </w:tabs>
      <w:spacing w:after="0" w:line="240" w:lineRule="auto"/>
    </w:pPr>
  </w:style>
  <w:style w:type="character" w:customStyle="1" w:styleId="ac">
    <w:name w:val="Нижній колонтитул Знак"/>
    <w:basedOn w:val="a0"/>
    <w:link w:val="ab"/>
    <w:uiPriority w:val="99"/>
    <w:rsid w:val="00AE210E"/>
    <w:rPr>
      <w:rFonts w:eastAsiaTheme="minorHAnsi"/>
      <w:lang w:eastAsia="en-US"/>
    </w:rPr>
  </w:style>
  <w:style w:type="character" w:customStyle="1" w:styleId="rvts46">
    <w:name w:val="rvts46"/>
    <w:basedOn w:val="a0"/>
    <w:qFormat/>
    <w:rsid w:val="00AE2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59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4276</Words>
  <Characters>2438</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Марина Різанова</cp:lastModifiedBy>
  <cp:revision>2</cp:revision>
  <cp:lastPrinted>2021-09-30T05:44:00Z</cp:lastPrinted>
  <dcterms:created xsi:type="dcterms:W3CDTF">2022-09-20T16:17:00Z</dcterms:created>
  <dcterms:modified xsi:type="dcterms:W3CDTF">2022-09-20T16:17:00Z</dcterms:modified>
</cp:coreProperties>
</file>