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339F" w:rsidRPr="00B3339F" w:rsidRDefault="00B3339F" w:rsidP="00B3339F">
      <w:pPr>
        <w:spacing w:before="120"/>
        <w:contextualSpacing/>
        <w:jc w:val="center"/>
        <w:rPr>
          <w:bCs/>
          <w:sz w:val="28"/>
          <w:szCs w:val="28"/>
          <w:lang w:val="uk-UA"/>
        </w:rPr>
      </w:pPr>
      <w:r w:rsidRPr="00B3339F">
        <w:rPr>
          <w:sz w:val="28"/>
          <w:szCs w:val="28"/>
          <w:lang w:val="uk-UA"/>
        </w:rPr>
        <w:t>НАЦІОНАЛЬНА КОМІСІЯ, ЩО ЗДІЙСНЮЄ ДЕРЖАВНЕ РЕГУЛЮВАННЯ У СФЕРАХ ЕНЕРГЕТИКИ ТА КОМУНАЛЬНИХ ПОСЛУГ</w:t>
      </w:r>
    </w:p>
    <w:p w:rsidR="00B3339F" w:rsidRPr="00CD156B" w:rsidRDefault="00B3339F" w:rsidP="00B3339F">
      <w:pPr>
        <w:rPr>
          <w:b/>
          <w:sz w:val="27"/>
          <w:szCs w:val="27"/>
          <w:lang w:val="uk-UA"/>
        </w:rPr>
      </w:pPr>
    </w:p>
    <w:p w:rsidR="00B3339F" w:rsidRPr="00CD156B" w:rsidRDefault="00B3339F" w:rsidP="00B3339F">
      <w:pPr>
        <w:jc w:val="center"/>
        <w:rPr>
          <w:b/>
          <w:sz w:val="27"/>
          <w:szCs w:val="27"/>
          <w:lang w:val="uk-UA"/>
        </w:rPr>
      </w:pPr>
      <w:r w:rsidRPr="00CD156B">
        <w:rPr>
          <w:b/>
          <w:sz w:val="27"/>
          <w:szCs w:val="27"/>
          <w:lang w:val="uk-UA"/>
        </w:rPr>
        <w:t>АНАЛІЗ ВПЛИВУ</w:t>
      </w:r>
    </w:p>
    <w:p w:rsidR="00B3339F" w:rsidRPr="00CD156B" w:rsidRDefault="00B3339F" w:rsidP="00B3339F">
      <w:pPr>
        <w:jc w:val="center"/>
        <w:rPr>
          <w:b/>
          <w:sz w:val="27"/>
          <w:szCs w:val="27"/>
          <w:lang w:val="uk-UA"/>
        </w:rPr>
      </w:pPr>
      <w:proofErr w:type="spellStart"/>
      <w:r w:rsidRPr="00CD156B">
        <w:rPr>
          <w:b/>
          <w:sz w:val="27"/>
          <w:szCs w:val="27"/>
          <w:lang w:val="uk-UA"/>
        </w:rPr>
        <w:t>проєкту</w:t>
      </w:r>
      <w:proofErr w:type="spellEnd"/>
      <w:r w:rsidRPr="00CD156B">
        <w:rPr>
          <w:b/>
          <w:sz w:val="27"/>
          <w:szCs w:val="27"/>
          <w:lang w:val="uk-UA"/>
        </w:rPr>
        <w:t xml:space="preserve"> постанови НКРЕКП </w:t>
      </w:r>
      <w:bookmarkStart w:id="0" w:name="_Hlk9418831"/>
      <w:r w:rsidRPr="00CD156B">
        <w:rPr>
          <w:b/>
          <w:color w:val="000000"/>
          <w:sz w:val="27"/>
          <w:szCs w:val="27"/>
          <w:lang w:val="uk-UA"/>
        </w:rPr>
        <w:t>«</w:t>
      </w:r>
      <w:r w:rsidRPr="007D52A5">
        <w:rPr>
          <w:b/>
          <w:sz w:val="27"/>
          <w:szCs w:val="27"/>
          <w:lang w:val="uk-UA"/>
        </w:rPr>
        <w:t xml:space="preserve">Про </w:t>
      </w:r>
      <w:r>
        <w:rPr>
          <w:b/>
          <w:sz w:val="27"/>
          <w:szCs w:val="27"/>
          <w:lang w:val="uk-UA"/>
        </w:rPr>
        <w:t>внесення з</w:t>
      </w:r>
      <w:r w:rsidRPr="007D52A5">
        <w:rPr>
          <w:b/>
          <w:sz w:val="27"/>
          <w:szCs w:val="27"/>
          <w:lang w:val="uk-UA"/>
        </w:rPr>
        <w:t xml:space="preserve">мін </w:t>
      </w:r>
      <w:r w:rsidR="00AD6542">
        <w:rPr>
          <w:b/>
          <w:sz w:val="27"/>
          <w:szCs w:val="27"/>
          <w:lang w:val="uk-UA"/>
        </w:rPr>
        <w:t>деяких постанов НКРЕКП</w:t>
      </w:r>
      <w:r w:rsidRPr="007D52A5">
        <w:rPr>
          <w:b/>
          <w:color w:val="000000"/>
          <w:sz w:val="27"/>
          <w:szCs w:val="27"/>
          <w:lang w:val="uk-UA"/>
        </w:rPr>
        <w:t>»</w:t>
      </w:r>
      <w:bookmarkEnd w:id="0"/>
      <w:r w:rsidRPr="00CD156B">
        <w:rPr>
          <w:b/>
          <w:color w:val="000000"/>
          <w:sz w:val="27"/>
          <w:szCs w:val="27"/>
          <w:lang w:val="uk-UA"/>
        </w:rPr>
        <w:t xml:space="preserve">, </w:t>
      </w:r>
      <w:r w:rsidR="008E3972" w:rsidRPr="008E3972">
        <w:rPr>
          <w:b/>
          <w:color w:val="000000"/>
          <w:sz w:val="27"/>
          <w:szCs w:val="27"/>
          <w:lang w:val="uk-UA"/>
        </w:rPr>
        <w:t>що</w:t>
      </w:r>
      <w:r w:rsidR="003B2D23" w:rsidRPr="008E3972">
        <w:rPr>
          <w:b/>
          <w:color w:val="FF0000"/>
          <w:sz w:val="27"/>
          <w:szCs w:val="27"/>
          <w:lang w:val="uk-UA"/>
        </w:rPr>
        <w:t xml:space="preserve"> </w:t>
      </w:r>
      <w:r w:rsidR="003B2D23" w:rsidRPr="008E3972">
        <w:rPr>
          <w:b/>
          <w:sz w:val="27"/>
          <w:szCs w:val="27"/>
          <w:lang w:val="uk-UA"/>
        </w:rPr>
        <w:t>має</w:t>
      </w:r>
      <w:r w:rsidRPr="003B2D23">
        <w:rPr>
          <w:b/>
          <w:color w:val="FF0000"/>
          <w:sz w:val="27"/>
          <w:szCs w:val="27"/>
          <w:lang w:val="uk-UA"/>
        </w:rPr>
        <w:t xml:space="preserve"> </w:t>
      </w:r>
      <w:r w:rsidRPr="00CD156B">
        <w:rPr>
          <w:b/>
          <w:color w:val="000000"/>
          <w:sz w:val="27"/>
          <w:szCs w:val="27"/>
          <w:lang w:val="uk-UA"/>
        </w:rPr>
        <w:t xml:space="preserve">ознаки регуляторного </w:t>
      </w:r>
      <w:proofErr w:type="spellStart"/>
      <w:r w:rsidRPr="00CD156B">
        <w:rPr>
          <w:b/>
          <w:color w:val="000000"/>
          <w:sz w:val="27"/>
          <w:szCs w:val="27"/>
          <w:lang w:val="uk-UA"/>
        </w:rPr>
        <w:t>акта</w:t>
      </w:r>
      <w:proofErr w:type="spellEnd"/>
    </w:p>
    <w:p w:rsidR="00B3339F" w:rsidRPr="00CD156B" w:rsidRDefault="00B3339F" w:rsidP="00B3339F">
      <w:pPr>
        <w:pStyle w:val="a3"/>
        <w:widowControl w:val="0"/>
        <w:spacing w:before="0" w:beforeAutospacing="0" w:after="0" w:afterAutospacing="0"/>
        <w:rPr>
          <w:b/>
          <w:sz w:val="27"/>
          <w:szCs w:val="27"/>
          <w:lang w:val="uk-UA"/>
        </w:rPr>
      </w:pPr>
    </w:p>
    <w:p w:rsidR="00B3339F" w:rsidRPr="00CD156B" w:rsidRDefault="00B3339F" w:rsidP="00B3339F">
      <w:pPr>
        <w:ind w:firstLine="540"/>
        <w:rPr>
          <w:b/>
          <w:sz w:val="27"/>
          <w:szCs w:val="27"/>
          <w:lang w:val="uk-UA"/>
        </w:rPr>
      </w:pPr>
      <w:r w:rsidRPr="00CD156B">
        <w:rPr>
          <w:b/>
          <w:iCs/>
          <w:sz w:val="27"/>
          <w:szCs w:val="27"/>
          <w:lang w:val="uk-UA"/>
        </w:rPr>
        <w:t xml:space="preserve">І. </w:t>
      </w:r>
      <w:r w:rsidRPr="00CD156B">
        <w:rPr>
          <w:b/>
          <w:sz w:val="27"/>
          <w:szCs w:val="27"/>
          <w:lang w:val="uk-UA"/>
        </w:rPr>
        <w:t>Визначення проблеми</w:t>
      </w:r>
    </w:p>
    <w:p w:rsidR="00B3339F" w:rsidRPr="00CD156B" w:rsidRDefault="00B3339F" w:rsidP="00B3339F">
      <w:pPr>
        <w:widowControl w:val="0"/>
        <w:jc w:val="center"/>
        <w:rPr>
          <w:rFonts w:eastAsia="Calibri"/>
          <w:sz w:val="27"/>
          <w:szCs w:val="27"/>
          <w:lang w:val="uk-UA" w:eastAsia="en-US"/>
        </w:rPr>
      </w:pPr>
    </w:p>
    <w:p w:rsidR="00AD6542" w:rsidRPr="00AD6542" w:rsidRDefault="00AD6542" w:rsidP="00AD6542">
      <w:pPr>
        <w:ind w:firstLine="851"/>
        <w:jc w:val="both"/>
        <w:rPr>
          <w:rFonts w:eastAsia="Calibri"/>
          <w:sz w:val="28"/>
          <w:szCs w:val="28"/>
          <w:lang w:val="uk-UA" w:eastAsia="en-US"/>
        </w:rPr>
      </w:pPr>
      <w:r w:rsidRPr="00AD6542">
        <w:rPr>
          <w:rFonts w:eastAsia="Calibri"/>
          <w:sz w:val="28"/>
          <w:szCs w:val="28"/>
          <w:lang w:val="uk-UA" w:eastAsia="en-US"/>
        </w:rPr>
        <w:t>Відповідно до статті 3 Закону України «Про Національну комісію, що здійснює державне регулювання у сферах енергетики та комунальних послуг» (далі – Закон) Регулятор здійснює державне регулювання з метою досягнення балансу інтересів споживачів, суб'єктів господарювання, що провадять діяльність у сферах енергетики та комунальних послуг, і держави, забезпечення енергетичної безпеки, європейської інтеграції ринків електричної енергії та природного газу України.</w:t>
      </w:r>
    </w:p>
    <w:p w:rsidR="00AD6542" w:rsidRPr="00AD6542" w:rsidRDefault="00AD6542" w:rsidP="00AD6542">
      <w:pPr>
        <w:ind w:firstLine="851"/>
        <w:jc w:val="both"/>
        <w:rPr>
          <w:rFonts w:eastAsia="Calibri"/>
          <w:sz w:val="28"/>
          <w:szCs w:val="28"/>
          <w:lang w:val="uk-UA" w:eastAsia="en-US"/>
        </w:rPr>
      </w:pPr>
      <w:r w:rsidRPr="00AD6542">
        <w:rPr>
          <w:rFonts w:eastAsia="Calibri"/>
          <w:sz w:val="28"/>
          <w:szCs w:val="28"/>
          <w:lang w:val="uk-UA" w:eastAsia="en-US"/>
        </w:rPr>
        <w:t>Регулятор здійснює державне регулювання шляхом, зокрема, нормативно-правового регулювання у випадках, коли відповідні повноваження надані Регулятору законом.</w:t>
      </w:r>
    </w:p>
    <w:p w:rsidR="00AD6542" w:rsidRPr="00AD6542" w:rsidRDefault="00AD6542" w:rsidP="00AD6542">
      <w:pPr>
        <w:ind w:firstLine="851"/>
        <w:jc w:val="both"/>
        <w:rPr>
          <w:rFonts w:eastAsia="Calibri"/>
          <w:sz w:val="28"/>
          <w:szCs w:val="28"/>
          <w:lang w:val="uk-UA" w:eastAsia="en-US"/>
        </w:rPr>
      </w:pPr>
      <w:r w:rsidRPr="00AD6542">
        <w:rPr>
          <w:rFonts w:eastAsia="Calibri"/>
          <w:sz w:val="28"/>
          <w:szCs w:val="28"/>
          <w:lang w:val="uk-UA" w:eastAsia="en-US"/>
        </w:rPr>
        <w:t>Згідно з положеннями статті 17 Закону для ефективного виконання завдань державного регулювання у сферах енергетики та комунальних послуг Регулятор розробляє та затверджує нормативно-правові акти, зокрема, кодекси газотранспортної та газорозподільних систем, затверджує типові договори відповідно до закону, та ініціює внесення змін до них.</w:t>
      </w:r>
    </w:p>
    <w:p w:rsidR="00AD6542" w:rsidRPr="00AD6542" w:rsidRDefault="00AD6542" w:rsidP="00AD6542">
      <w:pPr>
        <w:ind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AD6542">
        <w:rPr>
          <w:rFonts w:eastAsia="Calibri"/>
          <w:sz w:val="28"/>
          <w:szCs w:val="28"/>
          <w:lang w:val="uk-UA" w:eastAsia="en-US"/>
        </w:rPr>
        <w:t xml:space="preserve">Разом з тим, </w:t>
      </w:r>
      <w:r w:rsidRPr="00AD6542">
        <w:rPr>
          <w:rFonts w:eastAsia="Calibri"/>
          <w:bCs/>
          <w:sz w:val="28"/>
          <w:szCs w:val="28"/>
          <w:lang w:val="uk-UA"/>
        </w:rPr>
        <w:t xml:space="preserve">правові засади функціонування </w:t>
      </w:r>
      <w:r w:rsidRPr="00AD6542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ринку природного газу України, заснованого, зокрема, на принципах вільної конкуренції, належного захисту прав споживачів та безпеки постачання природного газу визначає Закон України «Про ринок природного газу» (далі – Закон про ринок газу).</w:t>
      </w:r>
    </w:p>
    <w:p w:rsidR="00AD6542" w:rsidRPr="00AD6542" w:rsidRDefault="00AD6542" w:rsidP="00AD6542">
      <w:pPr>
        <w:ind w:firstLine="709"/>
        <w:jc w:val="both"/>
        <w:rPr>
          <w:rFonts w:eastAsia="Calibri"/>
          <w:sz w:val="28"/>
          <w:szCs w:val="28"/>
          <w:shd w:val="clear" w:color="auto" w:fill="FFFFFF"/>
          <w:lang w:val="uk-UA"/>
        </w:rPr>
      </w:pPr>
      <w:r w:rsidRPr="00AD6542">
        <w:rPr>
          <w:rFonts w:eastAsia="Calibri"/>
          <w:sz w:val="28"/>
          <w:szCs w:val="28"/>
          <w:shd w:val="clear" w:color="auto" w:fill="FFFFFF"/>
          <w:lang w:val="uk-UA"/>
        </w:rPr>
        <w:t>Відповідно до положень Закону про ринок газу постачальник «останньої надії» – визначений Кабінетом Міністрів України постачальник, який не має права відмовити в укладенні договору постачання природного газу на обмежений період часу.</w:t>
      </w:r>
    </w:p>
    <w:p w:rsidR="00AD6542" w:rsidRPr="00AD6542" w:rsidRDefault="00AD6542" w:rsidP="00AD6542">
      <w:pPr>
        <w:ind w:firstLine="851"/>
        <w:jc w:val="both"/>
        <w:rPr>
          <w:rFonts w:eastAsia="Calibri"/>
          <w:sz w:val="28"/>
          <w:szCs w:val="28"/>
          <w:lang w:val="uk-UA" w:eastAsia="en-US"/>
        </w:rPr>
      </w:pPr>
      <w:r w:rsidRPr="00AD6542">
        <w:rPr>
          <w:rFonts w:eastAsia="Calibri"/>
          <w:sz w:val="28"/>
          <w:szCs w:val="28"/>
          <w:shd w:val="clear" w:color="auto" w:fill="FFFFFF"/>
          <w:lang w:val="uk-UA"/>
        </w:rPr>
        <w:t xml:space="preserve">У разі якщо постачальника ліквідовано, визнано банкрутом, його ліцензію на провадження діяльності з постачання природного газу анульовано або її дію </w:t>
      </w:r>
      <w:proofErr w:type="spellStart"/>
      <w:r w:rsidRPr="00AD6542">
        <w:rPr>
          <w:rFonts w:eastAsia="Calibri"/>
          <w:sz w:val="28"/>
          <w:szCs w:val="28"/>
          <w:shd w:val="clear" w:color="auto" w:fill="FFFFFF"/>
          <w:lang w:val="uk-UA"/>
        </w:rPr>
        <w:t>зупинено</w:t>
      </w:r>
      <w:proofErr w:type="spellEnd"/>
      <w:r w:rsidRPr="00AD6542">
        <w:rPr>
          <w:rFonts w:eastAsia="Calibri"/>
          <w:sz w:val="28"/>
          <w:szCs w:val="28"/>
          <w:shd w:val="clear" w:color="auto" w:fill="FFFFFF"/>
          <w:lang w:val="uk-UA"/>
        </w:rPr>
        <w:t>, а також в інших випадках, передбачених правилами для постачальника «останньої надії», постачання природного газу споживачу здійснюється у порядку, визначеному правилами для постачальника «останньої надії», та на умовах типового договору постачання постачальником «останньої надії», що затверджується Регулятором.</w:t>
      </w:r>
    </w:p>
    <w:p w:rsidR="00AD6542" w:rsidRPr="00AD6542" w:rsidRDefault="00AD6542" w:rsidP="00AD6542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AD6542">
        <w:rPr>
          <w:rFonts w:eastAsia="Calibri"/>
          <w:sz w:val="28"/>
          <w:szCs w:val="28"/>
          <w:lang w:val="uk-UA" w:eastAsia="en-US"/>
        </w:rPr>
        <w:t xml:space="preserve">Разом з тим, до статті 15 Закону про ринок газу було </w:t>
      </w:r>
      <w:proofErr w:type="spellStart"/>
      <w:r w:rsidRPr="00AD6542">
        <w:rPr>
          <w:rFonts w:eastAsia="Calibri"/>
          <w:sz w:val="28"/>
          <w:szCs w:val="28"/>
          <w:lang w:val="uk-UA" w:eastAsia="en-US"/>
        </w:rPr>
        <w:t>внесено</w:t>
      </w:r>
      <w:proofErr w:type="spellEnd"/>
      <w:r w:rsidRPr="00AD6542">
        <w:rPr>
          <w:rFonts w:eastAsia="Calibri"/>
          <w:sz w:val="28"/>
          <w:szCs w:val="28"/>
          <w:lang w:val="uk-UA" w:eastAsia="en-US"/>
        </w:rPr>
        <w:t xml:space="preserve"> зміни, якими передбачається, що договір між постачальником «останньої надії» та Оператором ГРМ не може бути укладений за наявності простроченої заборгованості постачальником «останньої надії», крім періоду з 1 січня 2022 року по 28 лютого 2022 року.</w:t>
      </w:r>
    </w:p>
    <w:p w:rsidR="00AD6542" w:rsidRPr="00AD6542" w:rsidRDefault="00AD6542" w:rsidP="00AD6542">
      <w:pPr>
        <w:ind w:firstLine="851"/>
        <w:jc w:val="both"/>
        <w:rPr>
          <w:rFonts w:eastAsia="Calibri"/>
          <w:sz w:val="28"/>
          <w:szCs w:val="28"/>
          <w:lang w:val="uk-UA" w:eastAsia="en-US"/>
        </w:rPr>
      </w:pPr>
      <w:r w:rsidRPr="00AD6542">
        <w:rPr>
          <w:rFonts w:eastAsia="Calibri"/>
          <w:sz w:val="28"/>
          <w:szCs w:val="28"/>
          <w:lang w:val="uk-UA" w:eastAsia="en-US"/>
        </w:rPr>
        <w:lastRenderedPageBreak/>
        <w:t>Оскільки нормами діючого законодавства передбачені чіткі механізми реєстрації споживача, у тому числі Оператора ГРМ, в реєстрі постачальника «останньої надії» та укладення з ним договору, виникає необхідність внесення змін до нормативно-правових актів НКРЕКП.</w:t>
      </w:r>
    </w:p>
    <w:p w:rsidR="00AD6542" w:rsidRPr="00AD6542" w:rsidRDefault="00AD6542" w:rsidP="00AD6542">
      <w:pPr>
        <w:ind w:firstLine="851"/>
        <w:jc w:val="both"/>
        <w:rPr>
          <w:rFonts w:eastAsia="Calibri"/>
          <w:sz w:val="28"/>
          <w:szCs w:val="28"/>
          <w:lang w:val="uk-UA" w:eastAsia="en-US"/>
        </w:rPr>
      </w:pPr>
      <w:r w:rsidRPr="00AD6542">
        <w:rPr>
          <w:rFonts w:eastAsia="Calibri"/>
          <w:sz w:val="28"/>
          <w:szCs w:val="28"/>
          <w:lang w:val="uk-UA" w:eastAsia="en-US"/>
        </w:rPr>
        <w:t xml:space="preserve">У зв’язку із зазначеним, керуючись положеннями статті 17 Закону, з метою удосконалення нормативно-правових актів НКРЕКП та приведення їх положень у відповідність до вимог статті 15 Закону про ринок газу, </w:t>
      </w:r>
      <w:r>
        <w:rPr>
          <w:rFonts w:eastAsia="Calibri"/>
          <w:sz w:val="28"/>
          <w:szCs w:val="28"/>
          <w:lang w:val="uk-UA" w:eastAsia="en-US"/>
        </w:rPr>
        <w:t>НКРЕКП</w:t>
      </w:r>
      <w:r w:rsidRPr="00AD6542">
        <w:rPr>
          <w:rFonts w:eastAsia="Calibri"/>
          <w:sz w:val="28"/>
          <w:szCs w:val="28"/>
          <w:lang w:val="uk-UA" w:eastAsia="en-US"/>
        </w:rPr>
        <w:t xml:space="preserve"> було розроблено </w:t>
      </w:r>
      <w:proofErr w:type="spellStart"/>
      <w:r w:rsidRPr="00AD6542">
        <w:rPr>
          <w:rFonts w:eastAsia="Calibri"/>
          <w:sz w:val="28"/>
          <w:szCs w:val="28"/>
          <w:lang w:val="uk-UA" w:eastAsia="en-US"/>
        </w:rPr>
        <w:t>проєкт</w:t>
      </w:r>
      <w:proofErr w:type="spellEnd"/>
      <w:r w:rsidRPr="00AD6542">
        <w:rPr>
          <w:rFonts w:eastAsia="Calibri"/>
          <w:sz w:val="28"/>
          <w:szCs w:val="28"/>
          <w:lang w:val="uk-UA" w:eastAsia="en-US"/>
        </w:rPr>
        <w:t xml:space="preserve"> постанови «Про внесення змін до деяких постанов НКРЕКП» (далі – </w:t>
      </w:r>
      <w:proofErr w:type="spellStart"/>
      <w:r w:rsidRPr="00AD6542">
        <w:rPr>
          <w:rFonts w:eastAsia="Calibri"/>
          <w:sz w:val="28"/>
          <w:szCs w:val="28"/>
          <w:lang w:val="uk-UA" w:eastAsia="en-US"/>
        </w:rPr>
        <w:t>Проєкт</w:t>
      </w:r>
      <w:proofErr w:type="spellEnd"/>
      <w:r w:rsidRPr="00AD6542">
        <w:rPr>
          <w:rFonts w:eastAsia="Calibri"/>
          <w:sz w:val="28"/>
          <w:szCs w:val="28"/>
          <w:lang w:val="uk-UA" w:eastAsia="en-US"/>
        </w:rPr>
        <w:t xml:space="preserve"> постанови), яким передбачені зміни до </w:t>
      </w:r>
      <w:r w:rsidRPr="008E3972">
        <w:rPr>
          <w:rFonts w:eastAsia="Calibri"/>
          <w:sz w:val="28"/>
          <w:szCs w:val="28"/>
          <w:lang w:val="uk-UA" w:eastAsia="en-US"/>
        </w:rPr>
        <w:t>Кодексу газотранспортної системи</w:t>
      </w:r>
      <w:r w:rsidR="003B2D23" w:rsidRPr="008E3972">
        <w:rPr>
          <w:rFonts w:eastAsia="Calibri"/>
          <w:sz w:val="28"/>
          <w:szCs w:val="28"/>
          <w:lang w:val="uk-UA" w:eastAsia="en-US"/>
        </w:rPr>
        <w:t>, затвердженого постановою від 30.09.2015 № 2493 (далі – Кодекс газотранспортної системи),</w:t>
      </w:r>
      <w:r w:rsidRPr="008E3972">
        <w:rPr>
          <w:rFonts w:eastAsia="Calibri"/>
          <w:sz w:val="28"/>
          <w:szCs w:val="28"/>
          <w:lang w:val="uk-UA" w:eastAsia="en-US"/>
        </w:rPr>
        <w:t xml:space="preserve"> Правил постачання природного газу</w:t>
      </w:r>
      <w:r w:rsidR="003B2D23" w:rsidRPr="008E3972">
        <w:rPr>
          <w:rFonts w:eastAsia="Calibri"/>
          <w:sz w:val="28"/>
          <w:szCs w:val="28"/>
          <w:lang w:val="uk-UA" w:eastAsia="en-US"/>
        </w:rPr>
        <w:t xml:space="preserve">, затверджених постановою НКРЕКП від 30.09.2015 № 2496 (далі – </w:t>
      </w:r>
      <w:r w:rsidR="00EB4E81" w:rsidRPr="008E3972">
        <w:rPr>
          <w:rFonts w:eastAsia="Calibri"/>
          <w:sz w:val="28"/>
          <w:szCs w:val="28"/>
          <w:lang w:val="uk-UA" w:eastAsia="en-US"/>
        </w:rPr>
        <w:t>П</w:t>
      </w:r>
      <w:r w:rsidR="003B2D23" w:rsidRPr="008E3972">
        <w:rPr>
          <w:rFonts w:eastAsia="Calibri"/>
          <w:sz w:val="28"/>
          <w:szCs w:val="28"/>
          <w:lang w:val="uk-UA" w:eastAsia="en-US"/>
        </w:rPr>
        <w:t xml:space="preserve">равила постачання природного газу), </w:t>
      </w:r>
      <w:r w:rsidRPr="008E3972">
        <w:rPr>
          <w:rFonts w:eastAsia="Calibri"/>
          <w:sz w:val="28"/>
          <w:szCs w:val="28"/>
          <w:lang w:val="uk-UA" w:eastAsia="en-US"/>
        </w:rPr>
        <w:t>та Типового договору постачання природного газу постачальником «останньої надії»</w:t>
      </w:r>
      <w:r w:rsidR="003B2D23" w:rsidRPr="008E3972">
        <w:rPr>
          <w:rFonts w:eastAsia="Calibri"/>
          <w:sz w:val="28"/>
          <w:szCs w:val="28"/>
          <w:lang w:val="uk-UA" w:eastAsia="en-US"/>
        </w:rPr>
        <w:t xml:space="preserve">, затвердженого постановою НКРЕКП від 30.09.2015 № 2501 (далі </w:t>
      </w:r>
      <w:r w:rsidR="00EB4E81" w:rsidRPr="008E3972">
        <w:rPr>
          <w:rFonts w:eastAsia="Calibri"/>
          <w:sz w:val="28"/>
          <w:szCs w:val="28"/>
          <w:lang w:val="uk-UA" w:eastAsia="en-US"/>
        </w:rPr>
        <w:t>–</w:t>
      </w:r>
      <w:r w:rsidR="003B2D23" w:rsidRPr="008E3972">
        <w:rPr>
          <w:rFonts w:eastAsia="Calibri"/>
          <w:sz w:val="28"/>
          <w:szCs w:val="28"/>
          <w:lang w:val="uk-UA" w:eastAsia="en-US"/>
        </w:rPr>
        <w:t xml:space="preserve"> </w:t>
      </w:r>
      <w:r w:rsidR="00EB4E81" w:rsidRPr="008E3972">
        <w:rPr>
          <w:rFonts w:eastAsia="Calibri"/>
          <w:sz w:val="28"/>
          <w:szCs w:val="28"/>
          <w:lang w:val="uk-UA" w:eastAsia="en-US"/>
        </w:rPr>
        <w:t>Типовий договір постачання природного газу постачальником «останньої надії»)</w:t>
      </w:r>
      <w:r w:rsidR="003B2D23" w:rsidRPr="008E3972">
        <w:rPr>
          <w:rFonts w:eastAsia="Calibri"/>
          <w:sz w:val="28"/>
          <w:szCs w:val="28"/>
          <w:lang w:val="uk-UA" w:eastAsia="en-US"/>
        </w:rPr>
        <w:t>.</w:t>
      </w:r>
    </w:p>
    <w:p w:rsidR="00AD6542" w:rsidRPr="00AD6542" w:rsidRDefault="00AD6542" w:rsidP="00AD6542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AD6542">
        <w:rPr>
          <w:rFonts w:eastAsia="Calibri"/>
          <w:sz w:val="28"/>
          <w:szCs w:val="28"/>
          <w:lang w:val="uk-UA" w:eastAsia="en-US"/>
        </w:rPr>
        <w:t xml:space="preserve">Запропоновані </w:t>
      </w:r>
      <w:proofErr w:type="spellStart"/>
      <w:r w:rsidRPr="00AD6542">
        <w:rPr>
          <w:rFonts w:eastAsia="Calibri"/>
          <w:sz w:val="28"/>
          <w:szCs w:val="28"/>
          <w:lang w:val="uk-UA" w:eastAsia="en-US"/>
        </w:rPr>
        <w:t>Проєктом</w:t>
      </w:r>
      <w:proofErr w:type="spellEnd"/>
      <w:r w:rsidRPr="00AD6542">
        <w:rPr>
          <w:rFonts w:eastAsia="Calibri"/>
          <w:sz w:val="28"/>
          <w:szCs w:val="28"/>
          <w:lang w:val="uk-UA" w:eastAsia="en-US"/>
        </w:rPr>
        <w:t xml:space="preserve"> постанови зміни направлені на унеможливлення автоматичного включення Оператора ГРМ в реєстр постачальника «останньої надії» у випадку наявності заборгованості перед постачальником «останньої надії» та неподанням таким постачальником повідомлення на відключення Оператора ГРМ.</w:t>
      </w:r>
    </w:p>
    <w:p w:rsidR="00730C78" w:rsidRDefault="00730C78" w:rsidP="00B3339F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B3339F" w:rsidRDefault="00B3339F" w:rsidP="00B3339F">
      <w:pPr>
        <w:ind w:firstLine="540"/>
        <w:jc w:val="both"/>
        <w:rPr>
          <w:sz w:val="27"/>
          <w:szCs w:val="27"/>
          <w:lang w:val="uk-UA"/>
        </w:rPr>
      </w:pPr>
    </w:p>
    <w:p w:rsidR="00B3339F" w:rsidRPr="00B3339F" w:rsidRDefault="00B3339F" w:rsidP="00B3339F">
      <w:pPr>
        <w:ind w:firstLine="540"/>
        <w:jc w:val="both"/>
        <w:rPr>
          <w:sz w:val="28"/>
          <w:szCs w:val="28"/>
          <w:lang w:val="uk-UA"/>
        </w:rPr>
      </w:pPr>
      <w:r w:rsidRPr="00B3339F">
        <w:rPr>
          <w:sz w:val="28"/>
          <w:szCs w:val="28"/>
          <w:lang w:val="uk-UA"/>
        </w:rPr>
        <w:t xml:space="preserve">Основні групи (підгрупи), на які проблема справляє вплив: </w:t>
      </w:r>
    </w:p>
    <w:p w:rsidR="00B3339F" w:rsidRPr="00CD156B" w:rsidRDefault="00B3339F" w:rsidP="00B3339F">
      <w:pPr>
        <w:ind w:firstLine="540"/>
        <w:jc w:val="both"/>
        <w:rPr>
          <w:sz w:val="27"/>
          <w:szCs w:val="27"/>
          <w:lang w:val="uk-UA"/>
        </w:rPr>
      </w:pPr>
    </w:p>
    <w:tbl>
      <w:tblPr>
        <w:tblW w:w="103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4557"/>
        <w:gridCol w:w="2463"/>
      </w:tblGrid>
      <w:tr w:rsidR="00B3339F" w:rsidRPr="00CD156B" w:rsidTr="005F776F">
        <w:trPr>
          <w:jc w:val="center"/>
        </w:trPr>
        <w:tc>
          <w:tcPr>
            <w:tcW w:w="3348" w:type="dxa"/>
            <w:shd w:val="clear" w:color="auto" w:fill="auto"/>
          </w:tcPr>
          <w:p w:rsidR="00B3339F" w:rsidRPr="00CD156B" w:rsidRDefault="00B3339F" w:rsidP="005F776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Групи (підгрупи)</w:t>
            </w:r>
          </w:p>
        </w:tc>
        <w:tc>
          <w:tcPr>
            <w:tcW w:w="4557" w:type="dxa"/>
            <w:shd w:val="clear" w:color="auto" w:fill="auto"/>
          </w:tcPr>
          <w:p w:rsidR="00B3339F" w:rsidRPr="00CD156B" w:rsidRDefault="00B3339F" w:rsidP="005F776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63" w:type="dxa"/>
            <w:shd w:val="clear" w:color="auto" w:fill="auto"/>
          </w:tcPr>
          <w:p w:rsidR="00B3339F" w:rsidRPr="00CD156B" w:rsidRDefault="00B3339F" w:rsidP="005F776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D156B">
              <w:rPr>
                <w:b/>
                <w:sz w:val="22"/>
                <w:szCs w:val="22"/>
                <w:lang w:val="uk-UA"/>
              </w:rPr>
              <w:t>Ні</w:t>
            </w:r>
          </w:p>
        </w:tc>
      </w:tr>
      <w:tr w:rsidR="00B3339F" w:rsidRPr="00CD156B" w:rsidTr="005F776F">
        <w:trPr>
          <w:jc w:val="center"/>
        </w:trPr>
        <w:tc>
          <w:tcPr>
            <w:tcW w:w="3348" w:type="dxa"/>
            <w:shd w:val="clear" w:color="auto" w:fill="auto"/>
            <w:vAlign w:val="center"/>
          </w:tcPr>
          <w:p w:rsidR="00B3339F" w:rsidRPr="00CD156B" w:rsidRDefault="00B3339F" w:rsidP="005F776F">
            <w:pPr>
              <w:rPr>
                <w:sz w:val="22"/>
                <w:szCs w:val="22"/>
                <w:lang w:val="uk-UA"/>
              </w:rPr>
            </w:pPr>
          </w:p>
          <w:p w:rsidR="00B3339F" w:rsidRPr="00CD156B" w:rsidRDefault="00B3339F" w:rsidP="005F776F">
            <w:pPr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Громадяни</w:t>
            </w:r>
          </w:p>
          <w:p w:rsidR="00B3339F" w:rsidRPr="00CD156B" w:rsidRDefault="00B3339F" w:rsidP="005F776F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4557" w:type="dxa"/>
            <w:shd w:val="clear" w:color="auto" w:fill="auto"/>
          </w:tcPr>
          <w:p w:rsidR="00B3339F" w:rsidRPr="00CD156B" w:rsidRDefault="00B3339F" w:rsidP="005F776F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3339F" w:rsidRPr="00CD156B" w:rsidRDefault="00B3339F" w:rsidP="005F776F">
            <w:pPr>
              <w:jc w:val="center"/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B3339F" w:rsidRPr="00CD156B" w:rsidRDefault="00730C78" w:rsidP="005F776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Ні</w:t>
            </w:r>
          </w:p>
        </w:tc>
      </w:tr>
      <w:tr w:rsidR="00B3339F" w:rsidRPr="00CD156B" w:rsidTr="005F776F">
        <w:trPr>
          <w:jc w:val="center"/>
        </w:trPr>
        <w:tc>
          <w:tcPr>
            <w:tcW w:w="3348" w:type="dxa"/>
            <w:shd w:val="clear" w:color="auto" w:fill="auto"/>
            <w:vAlign w:val="center"/>
          </w:tcPr>
          <w:p w:rsidR="00B3339F" w:rsidRPr="00CD156B" w:rsidRDefault="00B3339F" w:rsidP="005F776F">
            <w:pPr>
              <w:rPr>
                <w:sz w:val="22"/>
                <w:szCs w:val="22"/>
                <w:lang w:val="uk-UA"/>
              </w:rPr>
            </w:pPr>
          </w:p>
          <w:p w:rsidR="00B3339F" w:rsidRPr="00CD156B" w:rsidRDefault="00B3339F" w:rsidP="005F776F">
            <w:pPr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Держава</w:t>
            </w:r>
          </w:p>
          <w:p w:rsidR="00B3339F" w:rsidRPr="00CD156B" w:rsidRDefault="00B3339F" w:rsidP="005F776F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4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339F" w:rsidRPr="00CD156B" w:rsidRDefault="00AD6542" w:rsidP="005F776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2463" w:type="dxa"/>
            <w:tcBorders>
              <w:bottom w:val="single" w:sz="4" w:space="0" w:color="auto"/>
            </w:tcBorders>
            <w:shd w:val="clear" w:color="auto" w:fill="auto"/>
          </w:tcPr>
          <w:p w:rsidR="00B3339F" w:rsidRPr="00CD156B" w:rsidRDefault="00B3339F" w:rsidP="005F776F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B3339F" w:rsidRPr="00CD156B" w:rsidRDefault="00AD6542" w:rsidP="005F776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Ні</w:t>
            </w:r>
          </w:p>
        </w:tc>
      </w:tr>
      <w:tr w:rsidR="00B3339F" w:rsidRPr="00CD156B" w:rsidTr="005F776F">
        <w:trPr>
          <w:jc w:val="center"/>
        </w:trPr>
        <w:tc>
          <w:tcPr>
            <w:tcW w:w="3348" w:type="dxa"/>
            <w:shd w:val="clear" w:color="auto" w:fill="auto"/>
            <w:vAlign w:val="center"/>
          </w:tcPr>
          <w:p w:rsidR="00B3339F" w:rsidRDefault="00B3339F" w:rsidP="005F776F">
            <w:pPr>
              <w:rPr>
                <w:sz w:val="22"/>
                <w:szCs w:val="22"/>
                <w:lang w:val="uk-UA"/>
              </w:rPr>
            </w:pPr>
          </w:p>
          <w:p w:rsidR="00B3339F" w:rsidRPr="00CD156B" w:rsidRDefault="00B3339F" w:rsidP="005F776F">
            <w:pPr>
              <w:rPr>
                <w:sz w:val="22"/>
                <w:szCs w:val="22"/>
                <w:lang w:val="uk-UA"/>
              </w:rPr>
            </w:pPr>
            <w:r w:rsidRPr="00CD156B">
              <w:rPr>
                <w:sz w:val="22"/>
                <w:szCs w:val="22"/>
                <w:lang w:val="uk-UA"/>
              </w:rPr>
              <w:t>Суб’єкти господарювання</w:t>
            </w:r>
          </w:p>
        </w:tc>
        <w:tc>
          <w:tcPr>
            <w:tcW w:w="4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339F" w:rsidRPr="00CD156B" w:rsidRDefault="00B3339F" w:rsidP="005F776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Так</w:t>
            </w:r>
          </w:p>
        </w:tc>
        <w:tc>
          <w:tcPr>
            <w:tcW w:w="2463" w:type="dxa"/>
            <w:tcBorders>
              <w:bottom w:val="single" w:sz="4" w:space="0" w:color="auto"/>
            </w:tcBorders>
            <w:shd w:val="clear" w:color="auto" w:fill="auto"/>
          </w:tcPr>
          <w:p w:rsidR="00B3339F" w:rsidRPr="00CD156B" w:rsidRDefault="00B3339F" w:rsidP="005F776F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</w:tbl>
    <w:p w:rsidR="00B3339F" w:rsidRPr="00CD156B" w:rsidRDefault="00B3339F" w:rsidP="00B3339F">
      <w:pPr>
        <w:pStyle w:val="a3"/>
        <w:widowControl w:val="0"/>
        <w:spacing w:before="0" w:beforeAutospacing="0" w:after="0" w:afterAutospacing="0"/>
        <w:rPr>
          <w:b/>
          <w:bCs/>
          <w:color w:val="000000"/>
          <w:sz w:val="27"/>
          <w:szCs w:val="27"/>
          <w:lang w:val="uk-UA"/>
        </w:rPr>
      </w:pPr>
    </w:p>
    <w:p w:rsidR="00B3339F" w:rsidRPr="00B3339F" w:rsidRDefault="00B3339F" w:rsidP="00B3339F">
      <w:pPr>
        <w:pStyle w:val="a3"/>
        <w:widowControl w:val="0"/>
        <w:spacing w:before="0" w:beforeAutospacing="0" w:after="0" w:afterAutospacing="0"/>
        <w:ind w:firstLine="567"/>
        <w:rPr>
          <w:b/>
          <w:sz w:val="28"/>
          <w:szCs w:val="28"/>
          <w:lang w:val="uk-UA"/>
        </w:rPr>
      </w:pPr>
      <w:r w:rsidRPr="00B3339F">
        <w:rPr>
          <w:b/>
          <w:bCs/>
          <w:color w:val="000000"/>
          <w:sz w:val="28"/>
          <w:szCs w:val="28"/>
          <w:lang w:val="uk-UA"/>
        </w:rPr>
        <w:t xml:space="preserve">ІІ. </w:t>
      </w:r>
      <w:r w:rsidRPr="00B3339F">
        <w:rPr>
          <w:b/>
          <w:sz w:val="28"/>
          <w:szCs w:val="28"/>
          <w:lang w:val="uk-UA"/>
        </w:rPr>
        <w:t>Цілі державного регулювання</w:t>
      </w:r>
    </w:p>
    <w:p w:rsidR="00B3339F" w:rsidRPr="00B3339F" w:rsidRDefault="00B3339F" w:rsidP="00B3339F">
      <w:pPr>
        <w:pStyle w:val="a3"/>
        <w:widowControl w:val="0"/>
        <w:spacing w:before="0" w:beforeAutospacing="0" w:after="0" w:afterAutospacing="0"/>
        <w:ind w:firstLine="540"/>
        <w:rPr>
          <w:b/>
          <w:bCs/>
          <w:color w:val="000000"/>
          <w:sz w:val="28"/>
          <w:szCs w:val="28"/>
          <w:lang w:val="uk-UA"/>
        </w:rPr>
      </w:pPr>
    </w:p>
    <w:p w:rsidR="00AD6542" w:rsidRPr="00AD6542" w:rsidRDefault="00B3339F" w:rsidP="00AD6542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bookmarkStart w:id="1" w:name="_Hlk14968184"/>
      <w:r w:rsidRPr="00B3339F">
        <w:rPr>
          <w:sz w:val="28"/>
          <w:szCs w:val="28"/>
          <w:lang w:val="uk-UA"/>
        </w:rPr>
        <w:t xml:space="preserve">Метою прийняття </w:t>
      </w:r>
      <w:proofErr w:type="spellStart"/>
      <w:r w:rsidRPr="00B3339F">
        <w:rPr>
          <w:bCs/>
          <w:sz w:val="28"/>
          <w:szCs w:val="28"/>
          <w:lang w:val="uk-UA"/>
        </w:rPr>
        <w:t>проєкту</w:t>
      </w:r>
      <w:proofErr w:type="spellEnd"/>
      <w:r w:rsidRPr="00B3339F">
        <w:rPr>
          <w:bCs/>
          <w:sz w:val="28"/>
          <w:szCs w:val="28"/>
          <w:lang w:val="uk-UA"/>
        </w:rPr>
        <w:t xml:space="preserve"> Постанови</w:t>
      </w:r>
      <w:r w:rsidRPr="00B3339F">
        <w:rPr>
          <w:sz w:val="28"/>
          <w:szCs w:val="28"/>
          <w:lang w:val="uk-UA" w:eastAsia="uk-UA"/>
        </w:rPr>
        <w:t xml:space="preserve"> </w:t>
      </w:r>
      <w:bookmarkStart w:id="2" w:name="_Hlk63257727"/>
      <w:r w:rsidRPr="00B3339F">
        <w:rPr>
          <w:sz w:val="28"/>
          <w:szCs w:val="28"/>
          <w:lang w:val="uk-UA"/>
        </w:rPr>
        <w:t xml:space="preserve">є </w:t>
      </w:r>
      <w:bookmarkEnd w:id="1"/>
      <w:r w:rsidR="00AD6542">
        <w:rPr>
          <w:sz w:val="28"/>
          <w:szCs w:val="28"/>
          <w:lang w:val="uk-UA"/>
        </w:rPr>
        <w:t>приведення положень нормативно-правових актів, що регулюють діяльність на ринку природного газу у відповідність до вимог статті 15 Закону про ринок</w:t>
      </w:r>
      <w:r w:rsidR="0032415D">
        <w:rPr>
          <w:sz w:val="28"/>
          <w:szCs w:val="28"/>
          <w:lang w:val="uk-UA"/>
        </w:rPr>
        <w:t xml:space="preserve"> газу</w:t>
      </w:r>
      <w:r w:rsidR="00AD6542">
        <w:rPr>
          <w:sz w:val="28"/>
          <w:szCs w:val="28"/>
          <w:lang w:val="uk-UA"/>
        </w:rPr>
        <w:t xml:space="preserve"> та </w:t>
      </w:r>
      <w:r w:rsidR="00AD6542" w:rsidRPr="00AD6542">
        <w:rPr>
          <w:rFonts w:eastAsia="Calibri"/>
          <w:sz w:val="28"/>
          <w:szCs w:val="28"/>
          <w:lang w:val="uk-UA" w:eastAsia="en-US"/>
        </w:rPr>
        <w:t>унеможливлення автоматичного включення Оператора ГРМ в реєстр постачальника «останньої надії» у випадку наявності заборгованості перед постачальником «останньої надії» та неподанням таким постачальником повідомлення на відключення Оператора ГРМ.</w:t>
      </w:r>
    </w:p>
    <w:bookmarkEnd w:id="2"/>
    <w:p w:rsidR="00B3339F" w:rsidRPr="00B3339F" w:rsidRDefault="00B3339F" w:rsidP="00B3339F">
      <w:pPr>
        <w:widowControl w:val="0"/>
        <w:jc w:val="both"/>
        <w:rPr>
          <w:b/>
          <w:bCs/>
          <w:color w:val="000000"/>
          <w:sz w:val="28"/>
          <w:szCs w:val="28"/>
          <w:lang w:val="uk-UA"/>
        </w:rPr>
      </w:pPr>
    </w:p>
    <w:p w:rsidR="00B3339F" w:rsidRPr="00B3339F" w:rsidRDefault="00B3339F" w:rsidP="00B3339F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bCs/>
          <w:color w:val="000000"/>
          <w:sz w:val="28"/>
          <w:szCs w:val="28"/>
          <w:lang w:val="uk-UA"/>
        </w:rPr>
      </w:pPr>
      <w:r w:rsidRPr="00B3339F">
        <w:rPr>
          <w:b/>
          <w:bCs/>
          <w:color w:val="000000"/>
          <w:sz w:val="28"/>
          <w:szCs w:val="28"/>
          <w:lang w:val="uk-UA"/>
        </w:rPr>
        <w:t>ІІІ. Визначення та оцінка альтернативних способів досягнення цілей</w:t>
      </w:r>
    </w:p>
    <w:p w:rsidR="00B3339F" w:rsidRPr="00B3339F" w:rsidRDefault="00B3339F" w:rsidP="00B3339F">
      <w:pPr>
        <w:ind w:firstLine="540"/>
        <w:jc w:val="both"/>
        <w:rPr>
          <w:sz w:val="28"/>
          <w:szCs w:val="28"/>
          <w:lang w:val="uk-UA"/>
        </w:rPr>
      </w:pPr>
    </w:p>
    <w:p w:rsidR="00B3339F" w:rsidRPr="00B3339F" w:rsidRDefault="00B3339F" w:rsidP="00B3339F">
      <w:pPr>
        <w:ind w:left="9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1. </w:t>
      </w:r>
      <w:r w:rsidRPr="00B3339F">
        <w:rPr>
          <w:sz w:val="28"/>
          <w:szCs w:val="28"/>
          <w:lang w:val="uk-UA"/>
        </w:rPr>
        <w:t>Визначення альтернативних способів</w:t>
      </w:r>
    </w:p>
    <w:p w:rsidR="00B3339F" w:rsidRPr="00CD156B" w:rsidRDefault="00B3339F" w:rsidP="00B3339F">
      <w:pPr>
        <w:ind w:left="900"/>
        <w:jc w:val="both"/>
        <w:rPr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5"/>
        <w:gridCol w:w="7423"/>
      </w:tblGrid>
      <w:tr w:rsidR="00AD6542" w:rsidRPr="00CD156B" w:rsidTr="005F776F">
        <w:tc>
          <w:tcPr>
            <w:tcW w:w="2268" w:type="dxa"/>
            <w:shd w:val="clear" w:color="auto" w:fill="auto"/>
          </w:tcPr>
          <w:p w:rsidR="00B3339F" w:rsidRPr="00CD156B" w:rsidRDefault="00B3339F" w:rsidP="005F776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>Вид альтернативи</w:t>
            </w:r>
          </w:p>
        </w:tc>
        <w:tc>
          <w:tcPr>
            <w:tcW w:w="8100" w:type="dxa"/>
            <w:shd w:val="clear" w:color="auto" w:fill="auto"/>
          </w:tcPr>
          <w:p w:rsidR="00B3339F" w:rsidRPr="00CD156B" w:rsidRDefault="00B3339F" w:rsidP="005F776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CD156B">
              <w:rPr>
                <w:b/>
                <w:bCs/>
                <w:sz w:val="22"/>
                <w:szCs w:val="22"/>
                <w:lang w:val="uk-UA"/>
              </w:rPr>
              <w:t>Опис альтернативи</w:t>
            </w:r>
          </w:p>
        </w:tc>
      </w:tr>
      <w:tr w:rsidR="00AD6542" w:rsidRPr="00AD6542" w:rsidTr="005F776F">
        <w:tc>
          <w:tcPr>
            <w:tcW w:w="2268" w:type="dxa"/>
            <w:shd w:val="clear" w:color="auto" w:fill="auto"/>
          </w:tcPr>
          <w:p w:rsidR="00B3339F" w:rsidRPr="0032415D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32415D">
              <w:rPr>
                <w:bCs/>
                <w:lang w:val="uk-UA"/>
              </w:rPr>
              <w:t>Альтернатива 1</w:t>
            </w:r>
          </w:p>
          <w:p w:rsidR="00B3339F" w:rsidRPr="0032415D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32415D">
              <w:rPr>
                <w:bCs/>
                <w:lang w:val="uk-UA"/>
              </w:rPr>
              <w:t>Збереження чинного регулювання</w:t>
            </w:r>
          </w:p>
        </w:tc>
        <w:tc>
          <w:tcPr>
            <w:tcW w:w="8100" w:type="dxa"/>
            <w:shd w:val="clear" w:color="auto" w:fill="auto"/>
          </w:tcPr>
          <w:p w:rsidR="00B95F66" w:rsidRPr="0032415D" w:rsidRDefault="00B3339F" w:rsidP="00AD6542">
            <w:pPr>
              <w:shd w:val="clear" w:color="auto" w:fill="FFFFFF"/>
              <w:jc w:val="both"/>
              <w:rPr>
                <w:bCs/>
                <w:lang w:val="uk-UA"/>
              </w:rPr>
            </w:pPr>
            <w:r w:rsidRPr="0032415D">
              <w:rPr>
                <w:lang w:val="uk-UA"/>
              </w:rPr>
              <w:t xml:space="preserve">Збереження вимог </w:t>
            </w:r>
            <w:r w:rsidR="00AD6542" w:rsidRPr="0032415D">
              <w:rPr>
                <w:lang w:val="uk-UA"/>
              </w:rPr>
              <w:t>чинних нормативно-правових актів, якими передбачено автоматичне включення Операторів ГРМ до Реєстру споживачів постачальника «останньої надії, у тому числі у разі наявності заборгованості, буде суперечити вимогам статті 15 Закону про ринок.</w:t>
            </w:r>
          </w:p>
        </w:tc>
      </w:tr>
      <w:tr w:rsidR="00AD6542" w:rsidRPr="00CD156B" w:rsidTr="005F776F">
        <w:tc>
          <w:tcPr>
            <w:tcW w:w="2268" w:type="dxa"/>
            <w:shd w:val="clear" w:color="auto" w:fill="auto"/>
          </w:tcPr>
          <w:p w:rsidR="00B3339F" w:rsidRPr="0032415D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32415D">
              <w:rPr>
                <w:bCs/>
                <w:lang w:val="uk-UA"/>
              </w:rPr>
              <w:t>Альтернатива 2</w:t>
            </w:r>
          </w:p>
          <w:p w:rsidR="00B3339F" w:rsidRPr="0032415D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32415D">
              <w:rPr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8100" w:type="dxa"/>
            <w:shd w:val="clear" w:color="auto" w:fill="auto"/>
          </w:tcPr>
          <w:p w:rsidR="00B3339F" w:rsidRPr="0032415D" w:rsidRDefault="00B95F66" w:rsidP="005F776F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32415D">
              <w:rPr>
                <w:bCs/>
                <w:lang w:val="uk-UA"/>
              </w:rPr>
              <w:t xml:space="preserve">Зміни до </w:t>
            </w:r>
            <w:r w:rsidRPr="0032415D">
              <w:rPr>
                <w:lang w:val="uk-UA"/>
              </w:rPr>
              <w:t>Кодексу газотранспортної системи</w:t>
            </w:r>
            <w:r w:rsidR="00AD6542" w:rsidRPr="0032415D">
              <w:rPr>
                <w:lang w:val="uk-UA"/>
              </w:rPr>
              <w:t xml:space="preserve">, Правил постачання природного газу та Типового договору постачання природного газу постачальником «останньої надії» </w:t>
            </w:r>
            <w:r w:rsidR="0032415D" w:rsidRPr="00AD6542">
              <w:rPr>
                <w:lang w:val="uk-UA"/>
              </w:rPr>
              <w:t>унеможлив</w:t>
            </w:r>
            <w:r w:rsidR="0032415D" w:rsidRPr="0032415D">
              <w:rPr>
                <w:lang w:val="uk-UA"/>
              </w:rPr>
              <w:t>лять</w:t>
            </w:r>
            <w:r w:rsidR="0032415D" w:rsidRPr="00AD6542">
              <w:rPr>
                <w:lang w:val="uk-UA"/>
              </w:rPr>
              <w:t xml:space="preserve"> автоматичн</w:t>
            </w:r>
            <w:r w:rsidR="0032415D" w:rsidRPr="0032415D">
              <w:rPr>
                <w:lang w:val="uk-UA"/>
              </w:rPr>
              <w:t>е</w:t>
            </w:r>
            <w:r w:rsidR="0032415D" w:rsidRPr="00AD6542">
              <w:rPr>
                <w:lang w:val="uk-UA"/>
              </w:rPr>
              <w:t xml:space="preserve"> включення Оператора ГРМ в реєстр постачальника «останньої надії» у випадку наявності заборгованості перед постачальником «останньої надії» та неподанням таким постачальником повідомлення на відключення Оператора ГРМ</w:t>
            </w:r>
            <w:r w:rsidR="0032415D" w:rsidRPr="0032415D">
              <w:rPr>
                <w:lang w:val="uk-UA"/>
              </w:rPr>
              <w:t>.</w:t>
            </w:r>
          </w:p>
        </w:tc>
      </w:tr>
    </w:tbl>
    <w:p w:rsidR="00B3339F" w:rsidRPr="00B95F66" w:rsidRDefault="00B3339F" w:rsidP="00B3339F">
      <w:pPr>
        <w:tabs>
          <w:tab w:val="left" w:pos="720"/>
        </w:tabs>
        <w:rPr>
          <w:sz w:val="28"/>
          <w:szCs w:val="28"/>
          <w:lang w:val="uk-UA"/>
        </w:rPr>
      </w:pPr>
    </w:p>
    <w:p w:rsidR="00B3339F" w:rsidRPr="00B95F66" w:rsidRDefault="00B3339F" w:rsidP="00B3339F">
      <w:pPr>
        <w:tabs>
          <w:tab w:val="left" w:pos="720"/>
        </w:tabs>
        <w:ind w:firstLine="540"/>
        <w:rPr>
          <w:sz w:val="28"/>
          <w:szCs w:val="28"/>
          <w:lang w:val="uk-UA"/>
        </w:rPr>
      </w:pPr>
      <w:r w:rsidRPr="00B95F66">
        <w:rPr>
          <w:sz w:val="28"/>
          <w:szCs w:val="28"/>
          <w:lang w:val="uk-UA"/>
        </w:rPr>
        <w:t>2. Оцінка вибраних альтернативних способів досягнення цілей</w:t>
      </w:r>
    </w:p>
    <w:p w:rsidR="00B3339F" w:rsidRPr="00B95F66" w:rsidRDefault="00B3339F" w:rsidP="00B3339F">
      <w:pPr>
        <w:rPr>
          <w:sz w:val="28"/>
          <w:szCs w:val="28"/>
          <w:lang w:val="uk-UA"/>
        </w:rPr>
      </w:pPr>
    </w:p>
    <w:p w:rsidR="00B3339F" w:rsidRPr="00B95F66" w:rsidRDefault="00B3339F" w:rsidP="00B3339F">
      <w:pPr>
        <w:numPr>
          <w:ilvl w:val="0"/>
          <w:numId w:val="3"/>
        </w:numPr>
        <w:rPr>
          <w:sz w:val="28"/>
          <w:szCs w:val="28"/>
          <w:lang w:val="uk-UA"/>
        </w:rPr>
      </w:pPr>
      <w:r w:rsidRPr="00B95F66">
        <w:rPr>
          <w:sz w:val="28"/>
          <w:szCs w:val="28"/>
          <w:lang w:val="uk-UA"/>
        </w:rPr>
        <w:t>Оцінка впливу на сферу інтересів держави:</w:t>
      </w:r>
    </w:p>
    <w:p w:rsidR="00B3339F" w:rsidRPr="00CD156B" w:rsidRDefault="00B3339F" w:rsidP="00B3339F">
      <w:pPr>
        <w:rPr>
          <w:sz w:val="20"/>
          <w:szCs w:val="20"/>
          <w:lang w:val="uk-U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4111"/>
        <w:gridCol w:w="3572"/>
      </w:tblGrid>
      <w:tr w:rsidR="00B3339F" w:rsidRPr="00D2518C" w:rsidTr="005F776F">
        <w:tc>
          <w:tcPr>
            <w:tcW w:w="2093" w:type="dxa"/>
            <w:shd w:val="clear" w:color="auto" w:fill="auto"/>
          </w:tcPr>
          <w:p w:rsidR="00B3339F" w:rsidRPr="00D2518C" w:rsidRDefault="00B3339F" w:rsidP="00B95F66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D2518C">
              <w:rPr>
                <w:b/>
                <w:bCs/>
                <w:lang w:val="uk-UA"/>
              </w:rPr>
              <w:t>Вид альтернативи</w:t>
            </w:r>
          </w:p>
        </w:tc>
        <w:tc>
          <w:tcPr>
            <w:tcW w:w="4111" w:type="dxa"/>
            <w:shd w:val="clear" w:color="auto" w:fill="auto"/>
          </w:tcPr>
          <w:p w:rsidR="00B3339F" w:rsidRPr="00D2518C" w:rsidRDefault="00B3339F" w:rsidP="00B95F66">
            <w:pPr>
              <w:pStyle w:val="a3"/>
              <w:widowControl w:val="0"/>
              <w:spacing w:before="0" w:beforeAutospacing="0" w:after="0" w:afterAutospacing="0"/>
              <w:ind w:right="-136"/>
              <w:jc w:val="center"/>
              <w:rPr>
                <w:b/>
                <w:bCs/>
                <w:lang w:val="uk-UA"/>
              </w:rPr>
            </w:pPr>
            <w:r w:rsidRPr="00D2518C">
              <w:rPr>
                <w:b/>
                <w:bCs/>
                <w:lang w:val="uk-UA"/>
              </w:rPr>
              <w:t>Вигоди</w:t>
            </w:r>
          </w:p>
        </w:tc>
        <w:tc>
          <w:tcPr>
            <w:tcW w:w="3572" w:type="dxa"/>
            <w:shd w:val="clear" w:color="auto" w:fill="auto"/>
          </w:tcPr>
          <w:p w:rsidR="00B3339F" w:rsidRPr="00D2518C" w:rsidRDefault="00B3339F" w:rsidP="00B95F66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D2518C">
              <w:rPr>
                <w:b/>
                <w:bCs/>
                <w:lang w:val="uk-UA"/>
              </w:rPr>
              <w:t>Витрати</w:t>
            </w:r>
          </w:p>
        </w:tc>
      </w:tr>
      <w:tr w:rsidR="00B3339F" w:rsidRPr="00D2518C" w:rsidTr="005F776F">
        <w:tc>
          <w:tcPr>
            <w:tcW w:w="2093" w:type="dxa"/>
            <w:shd w:val="clear" w:color="auto" w:fill="auto"/>
          </w:tcPr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D2518C">
              <w:rPr>
                <w:bCs/>
                <w:lang w:val="uk-UA"/>
              </w:rPr>
              <w:t>Альтернатива 1</w:t>
            </w:r>
          </w:p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/>
                <w:bCs/>
                <w:lang w:val="uk-UA"/>
              </w:rPr>
            </w:pPr>
            <w:r w:rsidRPr="00D2518C">
              <w:rPr>
                <w:bCs/>
                <w:lang w:val="uk-UA"/>
              </w:rPr>
              <w:t>Збереження чинного регулювання</w:t>
            </w:r>
          </w:p>
        </w:tc>
        <w:tc>
          <w:tcPr>
            <w:tcW w:w="4111" w:type="dxa"/>
            <w:shd w:val="clear" w:color="auto" w:fill="auto"/>
          </w:tcPr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D2518C">
              <w:rPr>
                <w:bCs/>
                <w:lang w:val="uk-UA"/>
              </w:rPr>
              <w:t>Відсутні</w:t>
            </w:r>
          </w:p>
        </w:tc>
        <w:tc>
          <w:tcPr>
            <w:tcW w:w="3572" w:type="dxa"/>
            <w:shd w:val="clear" w:color="auto" w:fill="auto"/>
          </w:tcPr>
          <w:p w:rsidR="00B3339F" w:rsidRPr="00D2518C" w:rsidRDefault="0032415D" w:rsidP="00D2518C">
            <w:pPr>
              <w:shd w:val="clear" w:color="auto" w:fill="FFFFFF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Відсутні</w:t>
            </w:r>
          </w:p>
        </w:tc>
      </w:tr>
      <w:tr w:rsidR="00B3339F" w:rsidRPr="00D2518C" w:rsidTr="005F776F">
        <w:tc>
          <w:tcPr>
            <w:tcW w:w="2093" w:type="dxa"/>
            <w:shd w:val="clear" w:color="auto" w:fill="auto"/>
          </w:tcPr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D2518C">
              <w:rPr>
                <w:bCs/>
                <w:lang w:val="uk-UA"/>
              </w:rPr>
              <w:t>Альтернатива 2</w:t>
            </w:r>
          </w:p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jc w:val="both"/>
              <w:rPr>
                <w:b/>
                <w:bCs/>
                <w:lang w:val="uk-UA"/>
              </w:rPr>
            </w:pPr>
            <w:r w:rsidRPr="00D2518C">
              <w:rPr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4111" w:type="dxa"/>
            <w:shd w:val="clear" w:color="auto" w:fill="auto"/>
          </w:tcPr>
          <w:p w:rsidR="00B3339F" w:rsidRPr="00D2518C" w:rsidRDefault="0032415D" w:rsidP="005F776F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>
              <w:rPr>
                <w:lang w:val="uk-UA"/>
              </w:rPr>
              <w:t>Відсутні</w:t>
            </w:r>
          </w:p>
        </w:tc>
        <w:tc>
          <w:tcPr>
            <w:tcW w:w="3572" w:type="dxa"/>
            <w:shd w:val="clear" w:color="auto" w:fill="auto"/>
          </w:tcPr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D2518C">
              <w:rPr>
                <w:lang w:val="uk-UA"/>
              </w:rPr>
              <w:t>Відсутні</w:t>
            </w:r>
          </w:p>
        </w:tc>
      </w:tr>
    </w:tbl>
    <w:p w:rsidR="00B3339F" w:rsidRPr="00CD156B" w:rsidRDefault="00B3339F" w:rsidP="00B3339F">
      <w:pPr>
        <w:pStyle w:val="a3"/>
        <w:widowControl w:val="0"/>
        <w:spacing w:before="0" w:beforeAutospacing="0" w:after="0" w:afterAutospacing="0"/>
        <w:jc w:val="both"/>
        <w:rPr>
          <w:b/>
          <w:bCs/>
          <w:sz w:val="8"/>
          <w:szCs w:val="8"/>
          <w:lang w:val="uk-UA"/>
        </w:rPr>
      </w:pPr>
    </w:p>
    <w:p w:rsidR="00B3339F" w:rsidRPr="00B95F66" w:rsidRDefault="00B3339F" w:rsidP="00B3339F">
      <w:pPr>
        <w:pStyle w:val="a3"/>
        <w:widowControl w:val="0"/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</w:p>
    <w:p w:rsidR="00B3339F" w:rsidRPr="00B95F66" w:rsidRDefault="00B3339F" w:rsidP="00B3339F">
      <w:pPr>
        <w:pStyle w:val="a3"/>
        <w:widowControl w:val="0"/>
        <w:numPr>
          <w:ilvl w:val="0"/>
          <w:numId w:val="1"/>
        </w:numPr>
        <w:spacing w:before="0" w:beforeAutospacing="0" w:after="0" w:afterAutospacing="0"/>
        <w:rPr>
          <w:bCs/>
          <w:color w:val="000000"/>
          <w:sz w:val="28"/>
          <w:szCs w:val="28"/>
          <w:lang w:val="uk-UA"/>
        </w:rPr>
      </w:pPr>
      <w:r w:rsidRPr="00B95F66">
        <w:rPr>
          <w:bCs/>
          <w:color w:val="000000"/>
          <w:sz w:val="28"/>
          <w:szCs w:val="28"/>
          <w:lang w:val="uk-UA"/>
        </w:rPr>
        <w:t>Оцінка впливу на сферу інтересів громадян:</w:t>
      </w:r>
    </w:p>
    <w:p w:rsidR="00B3339F" w:rsidRPr="00CD156B" w:rsidRDefault="00B3339F" w:rsidP="00B3339F">
      <w:pPr>
        <w:pStyle w:val="a3"/>
        <w:widowControl w:val="0"/>
        <w:spacing w:before="0" w:beforeAutospacing="0" w:after="0" w:afterAutospacing="0"/>
        <w:rPr>
          <w:bCs/>
          <w:color w:val="000000"/>
          <w:sz w:val="20"/>
          <w:szCs w:val="20"/>
          <w:lang w:val="uk-U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3780"/>
        <w:gridCol w:w="3368"/>
      </w:tblGrid>
      <w:tr w:rsidR="00B3339F" w:rsidRPr="00D2518C" w:rsidTr="005F776F">
        <w:tc>
          <w:tcPr>
            <w:tcW w:w="2628" w:type="dxa"/>
            <w:shd w:val="clear" w:color="auto" w:fill="auto"/>
          </w:tcPr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D2518C">
              <w:rPr>
                <w:b/>
                <w:bCs/>
                <w:lang w:val="uk-UA"/>
              </w:rPr>
              <w:t>Вид альтернативи</w:t>
            </w:r>
          </w:p>
        </w:tc>
        <w:tc>
          <w:tcPr>
            <w:tcW w:w="3780" w:type="dxa"/>
            <w:shd w:val="clear" w:color="auto" w:fill="auto"/>
          </w:tcPr>
          <w:p w:rsidR="00B3339F" w:rsidRPr="00D2518C" w:rsidRDefault="00B3339F" w:rsidP="00B95F66">
            <w:pPr>
              <w:pStyle w:val="a3"/>
              <w:widowControl w:val="0"/>
              <w:spacing w:before="0" w:beforeAutospacing="0" w:after="0" w:afterAutospacing="0"/>
              <w:ind w:right="-74"/>
              <w:jc w:val="center"/>
              <w:rPr>
                <w:b/>
                <w:bCs/>
                <w:lang w:val="uk-UA"/>
              </w:rPr>
            </w:pPr>
            <w:r w:rsidRPr="00D2518C">
              <w:rPr>
                <w:b/>
                <w:bCs/>
                <w:lang w:val="uk-UA"/>
              </w:rPr>
              <w:t>Вигоди</w:t>
            </w:r>
          </w:p>
        </w:tc>
        <w:tc>
          <w:tcPr>
            <w:tcW w:w="3368" w:type="dxa"/>
            <w:shd w:val="clear" w:color="auto" w:fill="auto"/>
          </w:tcPr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D2518C">
              <w:rPr>
                <w:b/>
                <w:bCs/>
                <w:lang w:val="uk-UA"/>
              </w:rPr>
              <w:t>Витрати</w:t>
            </w:r>
          </w:p>
        </w:tc>
      </w:tr>
      <w:tr w:rsidR="00B3339F" w:rsidRPr="00D2518C" w:rsidTr="005F776F">
        <w:tc>
          <w:tcPr>
            <w:tcW w:w="2628" w:type="dxa"/>
            <w:shd w:val="clear" w:color="auto" w:fill="auto"/>
          </w:tcPr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D2518C">
              <w:rPr>
                <w:bCs/>
                <w:lang w:val="uk-UA"/>
              </w:rPr>
              <w:t>Альтернатива 1</w:t>
            </w:r>
          </w:p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/>
                <w:bCs/>
                <w:lang w:val="uk-UA"/>
              </w:rPr>
            </w:pPr>
            <w:r w:rsidRPr="00D2518C">
              <w:rPr>
                <w:bCs/>
                <w:lang w:val="uk-UA"/>
              </w:rPr>
              <w:t>Збереження чинного регулювання</w:t>
            </w:r>
          </w:p>
        </w:tc>
        <w:tc>
          <w:tcPr>
            <w:tcW w:w="3780" w:type="dxa"/>
            <w:shd w:val="clear" w:color="auto" w:fill="auto"/>
          </w:tcPr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D2518C">
              <w:rPr>
                <w:bCs/>
                <w:lang w:val="uk-UA"/>
              </w:rPr>
              <w:t>Відсутні</w:t>
            </w:r>
          </w:p>
        </w:tc>
        <w:tc>
          <w:tcPr>
            <w:tcW w:w="3368" w:type="dxa"/>
            <w:shd w:val="clear" w:color="auto" w:fill="auto"/>
          </w:tcPr>
          <w:p w:rsidR="00B3339F" w:rsidRPr="00D2518C" w:rsidRDefault="00B3339F" w:rsidP="00D2518C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D2518C">
              <w:rPr>
                <w:lang w:val="uk-UA"/>
              </w:rPr>
              <w:t>Відсутні</w:t>
            </w:r>
          </w:p>
        </w:tc>
      </w:tr>
      <w:tr w:rsidR="00B3339F" w:rsidRPr="00D2518C" w:rsidTr="005F776F">
        <w:tc>
          <w:tcPr>
            <w:tcW w:w="2628" w:type="dxa"/>
            <w:shd w:val="clear" w:color="auto" w:fill="auto"/>
          </w:tcPr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D2518C">
              <w:rPr>
                <w:bCs/>
                <w:lang w:val="uk-UA"/>
              </w:rPr>
              <w:t>Альтернатива 2</w:t>
            </w:r>
          </w:p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D2518C">
              <w:rPr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3780" w:type="dxa"/>
            <w:shd w:val="clear" w:color="auto" w:fill="auto"/>
          </w:tcPr>
          <w:p w:rsidR="00B3339F" w:rsidRPr="00D2518C" w:rsidRDefault="00730C78" w:rsidP="00B95F66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>
              <w:rPr>
                <w:lang w:val="uk-UA"/>
              </w:rPr>
              <w:t>Відсутні</w:t>
            </w:r>
          </w:p>
        </w:tc>
        <w:tc>
          <w:tcPr>
            <w:tcW w:w="3368" w:type="dxa"/>
            <w:shd w:val="clear" w:color="auto" w:fill="auto"/>
          </w:tcPr>
          <w:p w:rsidR="00B3339F" w:rsidRPr="00D2518C" w:rsidRDefault="00B3339F" w:rsidP="00D2518C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D2518C">
              <w:rPr>
                <w:bCs/>
                <w:lang w:val="uk-UA"/>
              </w:rPr>
              <w:t>Відсутні</w:t>
            </w:r>
          </w:p>
        </w:tc>
      </w:tr>
    </w:tbl>
    <w:p w:rsidR="00B3339F" w:rsidRPr="00CD156B" w:rsidRDefault="00B3339F" w:rsidP="00B3339F">
      <w:pPr>
        <w:pStyle w:val="a3"/>
        <w:widowControl w:val="0"/>
        <w:spacing w:before="0" w:beforeAutospacing="0" w:after="0" w:afterAutospacing="0"/>
        <w:jc w:val="both"/>
        <w:rPr>
          <w:bCs/>
          <w:color w:val="000000"/>
          <w:sz w:val="27"/>
          <w:szCs w:val="27"/>
          <w:lang w:val="uk-UA"/>
        </w:rPr>
      </w:pPr>
    </w:p>
    <w:p w:rsidR="00B3339F" w:rsidRPr="00B95F66" w:rsidRDefault="00B3339F" w:rsidP="00B95F66">
      <w:pPr>
        <w:pStyle w:val="a3"/>
        <w:widowControl w:val="0"/>
        <w:numPr>
          <w:ilvl w:val="0"/>
          <w:numId w:val="1"/>
        </w:numPr>
        <w:tabs>
          <w:tab w:val="clear" w:pos="1080"/>
          <w:tab w:val="num" w:pos="0"/>
        </w:tabs>
        <w:spacing w:before="0" w:beforeAutospacing="0" w:after="0" w:afterAutospacing="0"/>
        <w:ind w:left="0" w:firstLine="720"/>
        <w:jc w:val="both"/>
        <w:rPr>
          <w:bCs/>
          <w:color w:val="000000"/>
          <w:sz w:val="28"/>
          <w:szCs w:val="28"/>
          <w:lang w:val="uk-UA"/>
        </w:rPr>
      </w:pPr>
      <w:r w:rsidRPr="00B95F66">
        <w:rPr>
          <w:bCs/>
          <w:color w:val="000000"/>
          <w:sz w:val="28"/>
          <w:szCs w:val="28"/>
          <w:lang w:val="uk-UA"/>
        </w:rPr>
        <w:t>Оцінка впливу на сферу інтересів суб’єктів господарювання</w:t>
      </w:r>
    </w:p>
    <w:p w:rsidR="00B95F66" w:rsidRPr="00B95F66" w:rsidRDefault="00B95F66" w:rsidP="00B95F66">
      <w:pPr>
        <w:pStyle w:val="a3"/>
        <w:widowControl w:val="0"/>
        <w:spacing w:before="0" w:beforeAutospacing="0" w:after="0" w:afterAutospacing="0"/>
        <w:ind w:left="1440"/>
        <w:jc w:val="both"/>
        <w:rPr>
          <w:bCs/>
          <w:color w:val="000000"/>
          <w:sz w:val="20"/>
          <w:szCs w:val="20"/>
          <w:lang w:val="uk-U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3827"/>
        <w:gridCol w:w="3260"/>
      </w:tblGrid>
      <w:tr w:rsidR="00B3339F" w:rsidRPr="00D2518C" w:rsidTr="00D2518C">
        <w:tc>
          <w:tcPr>
            <w:tcW w:w="2689" w:type="dxa"/>
            <w:shd w:val="clear" w:color="auto" w:fill="auto"/>
          </w:tcPr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D2518C">
              <w:rPr>
                <w:b/>
                <w:bCs/>
                <w:lang w:val="uk-UA"/>
              </w:rPr>
              <w:t>Вид альтернативи</w:t>
            </w:r>
          </w:p>
        </w:tc>
        <w:tc>
          <w:tcPr>
            <w:tcW w:w="3827" w:type="dxa"/>
            <w:shd w:val="clear" w:color="auto" w:fill="auto"/>
          </w:tcPr>
          <w:p w:rsidR="00B3339F" w:rsidRPr="00D2518C" w:rsidRDefault="00B3339F" w:rsidP="00B95F66">
            <w:pPr>
              <w:pStyle w:val="a3"/>
              <w:widowControl w:val="0"/>
              <w:spacing w:before="0" w:beforeAutospacing="0" w:after="0" w:afterAutospacing="0"/>
              <w:ind w:right="-108"/>
              <w:jc w:val="center"/>
              <w:rPr>
                <w:b/>
                <w:bCs/>
                <w:lang w:val="uk-UA"/>
              </w:rPr>
            </w:pPr>
            <w:r w:rsidRPr="00D2518C">
              <w:rPr>
                <w:b/>
                <w:bCs/>
                <w:lang w:val="uk-UA"/>
              </w:rPr>
              <w:t>Вигоди</w:t>
            </w:r>
          </w:p>
        </w:tc>
        <w:tc>
          <w:tcPr>
            <w:tcW w:w="3260" w:type="dxa"/>
            <w:shd w:val="clear" w:color="auto" w:fill="auto"/>
          </w:tcPr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/>
                <w:bCs/>
                <w:lang w:val="uk-UA"/>
              </w:rPr>
            </w:pPr>
            <w:r w:rsidRPr="00D2518C">
              <w:rPr>
                <w:b/>
                <w:bCs/>
                <w:lang w:val="uk-UA"/>
              </w:rPr>
              <w:t>Витрати</w:t>
            </w:r>
          </w:p>
        </w:tc>
      </w:tr>
      <w:tr w:rsidR="00B3339F" w:rsidRPr="00AD6542" w:rsidTr="00D2518C">
        <w:tc>
          <w:tcPr>
            <w:tcW w:w="2689" w:type="dxa"/>
            <w:shd w:val="clear" w:color="auto" w:fill="auto"/>
          </w:tcPr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D2518C">
              <w:rPr>
                <w:bCs/>
                <w:lang w:val="uk-UA"/>
              </w:rPr>
              <w:t>Альтернатива 1</w:t>
            </w:r>
          </w:p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/>
                <w:bCs/>
                <w:highlight w:val="yellow"/>
                <w:lang w:val="uk-UA"/>
              </w:rPr>
            </w:pPr>
            <w:r w:rsidRPr="00D2518C">
              <w:rPr>
                <w:bCs/>
                <w:lang w:val="uk-UA"/>
              </w:rPr>
              <w:t>Збереження чинного регулювання</w:t>
            </w:r>
          </w:p>
        </w:tc>
        <w:tc>
          <w:tcPr>
            <w:tcW w:w="3827" w:type="dxa"/>
            <w:shd w:val="clear" w:color="auto" w:fill="auto"/>
          </w:tcPr>
          <w:p w:rsidR="00B3339F" w:rsidRPr="00D2518C" w:rsidRDefault="00730C78" w:rsidP="005F776F">
            <w:pPr>
              <w:pStyle w:val="a3"/>
              <w:widowControl w:val="0"/>
              <w:spacing w:before="0" w:beforeAutospacing="0" w:after="0" w:afterAutospacing="0"/>
              <w:rPr>
                <w:bCs/>
                <w:highlight w:val="yellow"/>
                <w:lang w:val="uk-UA"/>
              </w:rPr>
            </w:pPr>
            <w:r>
              <w:rPr>
                <w:bCs/>
                <w:lang w:val="uk-UA"/>
              </w:rPr>
              <w:t>Відсутні</w:t>
            </w:r>
          </w:p>
        </w:tc>
        <w:tc>
          <w:tcPr>
            <w:tcW w:w="3260" w:type="dxa"/>
            <w:shd w:val="clear" w:color="auto" w:fill="auto"/>
          </w:tcPr>
          <w:p w:rsidR="00B3339F" w:rsidRPr="0032415D" w:rsidRDefault="0032415D" w:rsidP="00D2518C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>
              <w:rPr>
                <w:color w:val="000000"/>
                <w:lang w:val="uk-UA"/>
              </w:rPr>
              <w:t>І</w:t>
            </w:r>
            <w:proofErr w:type="spellStart"/>
            <w:r>
              <w:rPr>
                <w:color w:val="000000"/>
              </w:rPr>
              <w:t>снуватиме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необхідність</w:t>
            </w:r>
            <w:proofErr w:type="spellEnd"/>
            <w:r>
              <w:rPr>
                <w:color w:val="000000"/>
              </w:rPr>
              <w:t xml:space="preserve"> в </w:t>
            </w:r>
            <w:proofErr w:type="spellStart"/>
            <w:r>
              <w:rPr>
                <w:color w:val="000000"/>
              </w:rPr>
              <w:t>удосконаленні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положень</w:t>
            </w:r>
            <w:proofErr w:type="spellEnd"/>
            <w:r>
              <w:rPr>
                <w:color w:val="000000"/>
              </w:rPr>
              <w:t xml:space="preserve"> Кодексу </w:t>
            </w:r>
            <w:r>
              <w:rPr>
                <w:color w:val="000000"/>
                <w:lang w:val="uk-UA"/>
              </w:rPr>
              <w:t>газотранспортної системи</w:t>
            </w:r>
            <w:r>
              <w:rPr>
                <w:color w:val="000000"/>
              </w:rPr>
              <w:t xml:space="preserve">, Правил </w:t>
            </w:r>
            <w:proofErr w:type="spellStart"/>
            <w:r>
              <w:rPr>
                <w:color w:val="000000"/>
              </w:rPr>
              <w:t>постачання</w:t>
            </w:r>
            <w:proofErr w:type="spellEnd"/>
            <w:r>
              <w:rPr>
                <w:color w:val="000000"/>
                <w:lang w:val="uk-UA"/>
              </w:rPr>
              <w:t xml:space="preserve"> природного газу</w:t>
            </w:r>
            <w:r>
              <w:rPr>
                <w:color w:val="000000"/>
              </w:rPr>
              <w:t xml:space="preserve"> та Типового </w:t>
            </w:r>
            <w:r>
              <w:rPr>
                <w:color w:val="000000"/>
              </w:rPr>
              <w:lastRenderedPageBreak/>
              <w:t>договору</w:t>
            </w:r>
            <w:r>
              <w:rPr>
                <w:color w:val="000000"/>
                <w:lang w:val="uk-UA"/>
              </w:rPr>
              <w:t xml:space="preserve"> постачання постачальником «останньої надії»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uk-UA"/>
              </w:rPr>
              <w:t xml:space="preserve"> у частині приведення її положень у відповідність до вимог статті 15 Закону про ринок газу</w:t>
            </w:r>
          </w:p>
        </w:tc>
      </w:tr>
      <w:tr w:rsidR="00B3339F" w:rsidRPr="00D2518C" w:rsidTr="00D2518C">
        <w:trPr>
          <w:trHeight w:val="983"/>
        </w:trPr>
        <w:tc>
          <w:tcPr>
            <w:tcW w:w="2689" w:type="dxa"/>
            <w:shd w:val="clear" w:color="auto" w:fill="auto"/>
          </w:tcPr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D2518C">
              <w:rPr>
                <w:bCs/>
                <w:lang w:val="uk-UA"/>
              </w:rPr>
              <w:lastRenderedPageBreak/>
              <w:t>Альтернатива 2</w:t>
            </w:r>
          </w:p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D2518C">
              <w:rPr>
                <w:lang w:val="uk-UA"/>
              </w:rPr>
              <w:t>Внесення змін до чинного регуляторного акта</w:t>
            </w:r>
          </w:p>
        </w:tc>
        <w:tc>
          <w:tcPr>
            <w:tcW w:w="3827" w:type="dxa"/>
            <w:shd w:val="clear" w:color="auto" w:fill="auto"/>
          </w:tcPr>
          <w:p w:rsidR="00B3339F" w:rsidRPr="0032415D" w:rsidRDefault="0032415D" w:rsidP="005F776F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r w:rsidRPr="0032415D">
              <w:rPr>
                <w:lang w:val="uk-UA"/>
              </w:rPr>
              <w:t xml:space="preserve">Внесення змін до нормативно-правових актів, що регулюють діяльність на ринку природного газу </w:t>
            </w:r>
            <w:r w:rsidRPr="00AD6542">
              <w:rPr>
                <w:lang w:val="uk-UA"/>
              </w:rPr>
              <w:t>унеможли</w:t>
            </w:r>
            <w:r w:rsidRPr="0032415D">
              <w:rPr>
                <w:lang w:val="uk-UA"/>
              </w:rPr>
              <w:t>вить</w:t>
            </w:r>
            <w:r w:rsidRPr="00AD6542">
              <w:rPr>
                <w:lang w:val="uk-UA"/>
              </w:rPr>
              <w:t xml:space="preserve"> автоматичн</w:t>
            </w:r>
            <w:r w:rsidRPr="0032415D">
              <w:rPr>
                <w:lang w:val="uk-UA"/>
              </w:rPr>
              <w:t>е</w:t>
            </w:r>
            <w:r w:rsidRPr="00AD6542">
              <w:rPr>
                <w:lang w:val="uk-UA"/>
              </w:rPr>
              <w:t xml:space="preserve"> включення Оператора ГРМ в реєстр постачальника «останньої надії» у випадку наявності заборгованості перед постачальником «останньої надії» та неподанням таким постачальником повідомлення на відключення Оператора ГРМ</w:t>
            </w:r>
            <w:r w:rsidRPr="0032415D">
              <w:rPr>
                <w:lang w:val="uk-UA"/>
              </w:rPr>
              <w:t>, що в повній мірі відповідатиме статті 15 Закону про ринок га</w:t>
            </w:r>
            <w:r>
              <w:rPr>
                <w:lang w:val="uk-UA"/>
              </w:rPr>
              <w:t>з</w:t>
            </w:r>
            <w:r w:rsidRPr="0032415D">
              <w:rPr>
                <w:lang w:val="uk-UA"/>
              </w:rPr>
              <w:t>у.</w:t>
            </w:r>
          </w:p>
        </w:tc>
        <w:tc>
          <w:tcPr>
            <w:tcW w:w="3260" w:type="dxa"/>
            <w:shd w:val="clear" w:color="auto" w:fill="auto"/>
          </w:tcPr>
          <w:p w:rsidR="00B3339F" w:rsidRPr="00D2518C" w:rsidRDefault="00B3339F" w:rsidP="00D2518C">
            <w:pPr>
              <w:pStyle w:val="a3"/>
              <w:widowControl w:val="0"/>
              <w:spacing w:before="0" w:beforeAutospacing="0" w:after="0" w:afterAutospacing="0"/>
              <w:jc w:val="center"/>
              <w:rPr>
                <w:bCs/>
                <w:lang w:val="uk-UA"/>
              </w:rPr>
            </w:pPr>
            <w:r w:rsidRPr="00D2518C">
              <w:rPr>
                <w:bCs/>
                <w:lang w:val="uk-UA"/>
              </w:rPr>
              <w:t>Відсутні</w:t>
            </w:r>
          </w:p>
          <w:p w:rsidR="00B3339F" w:rsidRPr="00D2518C" w:rsidRDefault="00B3339F" w:rsidP="00D2518C">
            <w:pPr>
              <w:pStyle w:val="a3"/>
              <w:widowControl w:val="0"/>
              <w:spacing w:before="0" w:beforeAutospacing="0" w:after="0" w:afterAutospacing="0"/>
              <w:ind w:left="432" w:hanging="432"/>
              <w:jc w:val="center"/>
              <w:rPr>
                <w:bCs/>
                <w:lang w:val="uk-UA"/>
              </w:rPr>
            </w:pPr>
          </w:p>
        </w:tc>
      </w:tr>
    </w:tbl>
    <w:p w:rsidR="00B3339F" w:rsidRPr="00D2518C" w:rsidRDefault="00B3339F" w:rsidP="00B3339F">
      <w:pPr>
        <w:pStyle w:val="a3"/>
        <w:widowControl w:val="0"/>
        <w:spacing w:before="0" w:beforeAutospacing="0" w:after="0" w:afterAutospacing="0"/>
        <w:rPr>
          <w:b/>
          <w:sz w:val="28"/>
          <w:szCs w:val="28"/>
          <w:lang w:val="uk-UA"/>
        </w:rPr>
      </w:pPr>
    </w:p>
    <w:p w:rsidR="00B3339F" w:rsidRPr="00D2518C" w:rsidRDefault="00B3339F" w:rsidP="00D2518C">
      <w:pPr>
        <w:pStyle w:val="a3"/>
        <w:widowControl w:val="0"/>
        <w:spacing w:before="0" w:beforeAutospacing="0" w:after="0" w:afterAutospacing="0"/>
        <w:ind w:firstLine="540"/>
        <w:jc w:val="center"/>
        <w:rPr>
          <w:b/>
          <w:sz w:val="28"/>
          <w:szCs w:val="28"/>
          <w:lang w:val="uk-UA"/>
        </w:rPr>
      </w:pPr>
      <w:r w:rsidRPr="00D2518C">
        <w:rPr>
          <w:b/>
          <w:sz w:val="28"/>
          <w:szCs w:val="28"/>
          <w:lang w:val="uk-UA"/>
        </w:rPr>
        <w:t>IV. Вибір найбільш оптимального альтернативного способу досягнення цілей</w:t>
      </w:r>
    </w:p>
    <w:p w:rsidR="00B3339F" w:rsidRPr="00D2518C" w:rsidRDefault="00B3339F" w:rsidP="00B3339F">
      <w:pPr>
        <w:pStyle w:val="a3"/>
        <w:widowControl w:val="0"/>
        <w:spacing w:before="0" w:beforeAutospacing="0" w:after="0" w:afterAutospacing="0"/>
        <w:ind w:firstLine="540"/>
        <w:rPr>
          <w:b/>
          <w:sz w:val="28"/>
          <w:szCs w:val="28"/>
          <w:lang w:val="uk-U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8"/>
        <w:gridCol w:w="2223"/>
        <w:gridCol w:w="4707"/>
      </w:tblGrid>
      <w:tr w:rsidR="00B3339F" w:rsidRPr="00D2518C" w:rsidTr="005F776F">
        <w:tc>
          <w:tcPr>
            <w:tcW w:w="2988" w:type="dxa"/>
          </w:tcPr>
          <w:p w:rsidR="00B3339F" w:rsidRPr="00D2518C" w:rsidRDefault="00B3339F" w:rsidP="005F776F">
            <w:pPr>
              <w:jc w:val="center"/>
              <w:rPr>
                <w:b/>
                <w:lang w:val="uk-UA"/>
              </w:rPr>
            </w:pPr>
            <w:r w:rsidRPr="00D2518C">
              <w:rPr>
                <w:b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2223" w:type="dxa"/>
          </w:tcPr>
          <w:p w:rsidR="00B3339F" w:rsidRPr="00D2518C" w:rsidRDefault="00B3339F" w:rsidP="005F776F">
            <w:pPr>
              <w:jc w:val="center"/>
              <w:rPr>
                <w:b/>
                <w:lang w:val="uk-UA"/>
              </w:rPr>
            </w:pPr>
            <w:r w:rsidRPr="00D2518C">
              <w:rPr>
                <w:b/>
                <w:lang w:val="uk-UA"/>
              </w:rPr>
              <w:t>Бал результативності (за чотирибальною системою оцінки)</w:t>
            </w:r>
          </w:p>
        </w:tc>
        <w:tc>
          <w:tcPr>
            <w:tcW w:w="4707" w:type="dxa"/>
          </w:tcPr>
          <w:p w:rsidR="00B3339F" w:rsidRPr="00D2518C" w:rsidRDefault="00B3339F" w:rsidP="005F776F">
            <w:pPr>
              <w:jc w:val="center"/>
              <w:rPr>
                <w:b/>
                <w:lang w:val="uk-UA"/>
              </w:rPr>
            </w:pPr>
            <w:r w:rsidRPr="00D2518C">
              <w:rPr>
                <w:b/>
                <w:lang w:val="uk-UA"/>
              </w:rPr>
              <w:t xml:space="preserve">Коментарі щодо присвоєння відповідного </w:t>
            </w:r>
            <w:proofErr w:type="spellStart"/>
            <w:r w:rsidRPr="00D2518C">
              <w:rPr>
                <w:b/>
                <w:lang w:val="uk-UA"/>
              </w:rPr>
              <w:t>бала</w:t>
            </w:r>
            <w:proofErr w:type="spellEnd"/>
          </w:p>
        </w:tc>
      </w:tr>
      <w:tr w:rsidR="00B3339F" w:rsidRPr="00730C78" w:rsidTr="005F776F">
        <w:tc>
          <w:tcPr>
            <w:tcW w:w="2988" w:type="dxa"/>
          </w:tcPr>
          <w:p w:rsidR="00B3339F" w:rsidRPr="00D2518C" w:rsidRDefault="00B3339F" w:rsidP="005F776F">
            <w:pPr>
              <w:jc w:val="both"/>
              <w:rPr>
                <w:lang w:val="uk-UA"/>
              </w:rPr>
            </w:pPr>
            <w:r w:rsidRPr="00D2518C">
              <w:rPr>
                <w:lang w:val="uk-UA"/>
              </w:rPr>
              <w:t>Альтернатива 1</w:t>
            </w:r>
          </w:p>
          <w:p w:rsidR="00B3339F" w:rsidRPr="00D2518C" w:rsidRDefault="00B3339F" w:rsidP="005F776F">
            <w:pPr>
              <w:rPr>
                <w:lang w:val="uk-UA"/>
              </w:rPr>
            </w:pPr>
            <w:r w:rsidRPr="00D2518C">
              <w:rPr>
                <w:bCs/>
                <w:lang w:val="uk-UA"/>
              </w:rPr>
              <w:t>Збереження чинного регулювання</w:t>
            </w:r>
          </w:p>
        </w:tc>
        <w:tc>
          <w:tcPr>
            <w:tcW w:w="2223" w:type="dxa"/>
          </w:tcPr>
          <w:p w:rsidR="00B3339F" w:rsidRPr="00D2518C" w:rsidRDefault="00B3339F" w:rsidP="005F776F">
            <w:pPr>
              <w:jc w:val="center"/>
              <w:rPr>
                <w:lang w:val="uk-UA"/>
              </w:rPr>
            </w:pPr>
          </w:p>
          <w:p w:rsidR="00B3339F" w:rsidRPr="00D2518C" w:rsidRDefault="00B3339F" w:rsidP="005F776F">
            <w:pPr>
              <w:jc w:val="center"/>
              <w:rPr>
                <w:lang w:val="uk-UA"/>
              </w:rPr>
            </w:pPr>
            <w:r w:rsidRPr="00D2518C">
              <w:rPr>
                <w:lang w:val="uk-UA"/>
              </w:rPr>
              <w:t>1</w:t>
            </w:r>
          </w:p>
        </w:tc>
        <w:tc>
          <w:tcPr>
            <w:tcW w:w="4707" w:type="dxa"/>
          </w:tcPr>
          <w:p w:rsidR="00B3339F" w:rsidRPr="00730C78" w:rsidRDefault="00730C78" w:rsidP="00AB41E1">
            <w:pPr>
              <w:shd w:val="clear" w:color="auto" w:fill="FFFFFF"/>
              <w:jc w:val="both"/>
              <w:rPr>
                <w:bCs/>
                <w:lang w:val="uk-UA"/>
              </w:rPr>
            </w:pPr>
            <w:r w:rsidRPr="00730C78">
              <w:rPr>
                <w:color w:val="000000"/>
                <w:lang w:val="uk-UA" w:eastAsia="en-US"/>
              </w:rPr>
              <w:t>Не забезпечує досягнення поставленої мети.</w:t>
            </w:r>
          </w:p>
        </w:tc>
      </w:tr>
      <w:tr w:rsidR="00B3339F" w:rsidRPr="00D2518C" w:rsidTr="005F776F">
        <w:tc>
          <w:tcPr>
            <w:tcW w:w="2988" w:type="dxa"/>
          </w:tcPr>
          <w:p w:rsidR="00B3339F" w:rsidRPr="00D2518C" w:rsidRDefault="00B3339F" w:rsidP="005F776F">
            <w:pPr>
              <w:jc w:val="both"/>
              <w:rPr>
                <w:lang w:val="uk-UA"/>
              </w:rPr>
            </w:pPr>
            <w:r w:rsidRPr="00D2518C">
              <w:rPr>
                <w:lang w:val="uk-UA"/>
              </w:rPr>
              <w:t>Альтернатива 2</w:t>
            </w:r>
          </w:p>
          <w:p w:rsidR="00B3339F" w:rsidRPr="00D2518C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D2518C">
              <w:rPr>
                <w:lang w:val="uk-UA"/>
              </w:rPr>
              <w:t>Внесення змін до чинного регуляторного акта (обраний спосіб)</w:t>
            </w:r>
          </w:p>
        </w:tc>
        <w:tc>
          <w:tcPr>
            <w:tcW w:w="2223" w:type="dxa"/>
          </w:tcPr>
          <w:p w:rsidR="00B3339F" w:rsidRPr="00D2518C" w:rsidRDefault="00B3339F" w:rsidP="005F776F">
            <w:pPr>
              <w:jc w:val="center"/>
              <w:rPr>
                <w:lang w:val="uk-UA"/>
              </w:rPr>
            </w:pPr>
          </w:p>
          <w:p w:rsidR="00B3339F" w:rsidRPr="00D2518C" w:rsidRDefault="00B3339F" w:rsidP="005F776F">
            <w:pPr>
              <w:jc w:val="center"/>
              <w:rPr>
                <w:lang w:val="uk-UA"/>
              </w:rPr>
            </w:pPr>
            <w:r w:rsidRPr="00D2518C">
              <w:rPr>
                <w:lang w:val="uk-UA"/>
              </w:rPr>
              <w:t>4</w:t>
            </w:r>
          </w:p>
        </w:tc>
        <w:tc>
          <w:tcPr>
            <w:tcW w:w="4707" w:type="dxa"/>
          </w:tcPr>
          <w:p w:rsidR="00730C78" w:rsidRPr="00AB41E1" w:rsidRDefault="00730C78" w:rsidP="00D2518C">
            <w:pPr>
              <w:pStyle w:val="a3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AB41E1">
              <w:rPr>
                <w:color w:val="000000"/>
                <w:lang w:val="uk-UA" w:eastAsia="en-US"/>
              </w:rPr>
              <w:t>Дозволяє вирішити проблему найбільш ефективним та найменш затратним способом.</w:t>
            </w:r>
          </w:p>
          <w:p w:rsidR="00B3339F" w:rsidRPr="00AB41E1" w:rsidRDefault="00B3339F" w:rsidP="00AB41E1">
            <w:pPr>
              <w:widowControl w:val="0"/>
              <w:jc w:val="both"/>
              <w:rPr>
                <w:color w:val="000000"/>
                <w:lang w:val="uk-UA"/>
              </w:rPr>
            </w:pPr>
          </w:p>
        </w:tc>
      </w:tr>
    </w:tbl>
    <w:p w:rsidR="00B3339F" w:rsidRPr="00D2518C" w:rsidRDefault="00B3339F" w:rsidP="00B3339F">
      <w:pPr>
        <w:jc w:val="both"/>
        <w:rPr>
          <w:bCs/>
          <w:sz w:val="27"/>
          <w:szCs w:val="27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7"/>
        <w:gridCol w:w="1984"/>
        <w:gridCol w:w="1843"/>
        <w:gridCol w:w="3544"/>
      </w:tblGrid>
      <w:tr w:rsidR="00B3339F" w:rsidRPr="00D2518C" w:rsidTr="005F776F">
        <w:tc>
          <w:tcPr>
            <w:tcW w:w="2547" w:type="dxa"/>
          </w:tcPr>
          <w:p w:rsidR="00B3339F" w:rsidRPr="00D2518C" w:rsidRDefault="00B3339F" w:rsidP="005F776F">
            <w:pPr>
              <w:jc w:val="center"/>
              <w:rPr>
                <w:b/>
                <w:lang w:val="uk-UA"/>
              </w:rPr>
            </w:pPr>
            <w:r w:rsidRPr="00D2518C">
              <w:rPr>
                <w:b/>
                <w:lang w:val="uk-UA"/>
              </w:rPr>
              <w:t>Рейтинг результативності</w:t>
            </w:r>
          </w:p>
        </w:tc>
        <w:tc>
          <w:tcPr>
            <w:tcW w:w="1984" w:type="dxa"/>
          </w:tcPr>
          <w:p w:rsidR="00B3339F" w:rsidRPr="00D2518C" w:rsidRDefault="00B3339F" w:rsidP="005F776F">
            <w:pPr>
              <w:jc w:val="center"/>
              <w:rPr>
                <w:b/>
                <w:lang w:val="uk-UA"/>
              </w:rPr>
            </w:pPr>
            <w:r w:rsidRPr="00D2518C">
              <w:rPr>
                <w:b/>
                <w:lang w:val="uk-UA"/>
              </w:rPr>
              <w:t>Вигоди (підсумок)</w:t>
            </w:r>
          </w:p>
        </w:tc>
        <w:tc>
          <w:tcPr>
            <w:tcW w:w="1843" w:type="dxa"/>
          </w:tcPr>
          <w:p w:rsidR="00B3339F" w:rsidRPr="00D2518C" w:rsidRDefault="00B3339F" w:rsidP="005F776F">
            <w:pPr>
              <w:jc w:val="center"/>
              <w:rPr>
                <w:b/>
                <w:lang w:val="uk-UA"/>
              </w:rPr>
            </w:pPr>
            <w:r w:rsidRPr="00D2518C">
              <w:rPr>
                <w:b/>
                <w:lang w:val="uk-UA"/>
              </w:rPr>
              <w:t>Витрати (підсумок)</w:t>
            </w:r>
          </w:p>
        </w:tc>
        <w:tc>
          <w:tcPr>
            <w:tcW w:w="3544" w:type="dxa"/>
          </w:tcPr>
          <w:p w:rsidR="00B3339F" w:rsidRPr="00D2518C" w:rsidRDefault="00B3339F" w:rsidP="005F776F">
            <w:pPr>
              <w:jc w:val="center"/>
              <w:rPr>
                <w:b/>
                <w:lang w:val="uk-UA"/>
              </w:rPr>
            </w:pPr>
            <w:r w:rsidRPr="00D2518C">
              <w:rPr>
                <w:b/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752BF1" w:rsidRPr="00D2518C" w:rsidTr="005F776F">
        <w:tc>
          <w:tcPr>
            <w:tcW w:w="2547" w:type="dxa"/>
          </w:tcPr>
          <w:p w:rsidR="00752BF1" w:rsidRPr="00D2518C" w:rsidRDefault="00752BF1" w:rsidP="00752BF1">
            <w:pPr>
              <w:jc w:val="both"/>
              <w:rPr>
                <w:lang w:val="uk-UA"/>
              </w:rPr>
            </w:pPr>
            <w:r w:rsidRPr="00D2518C">
              <w:rPr>
                <w:lang w:val="uk-UA"/>
              </w:rPr>
              <w:t>Альтернатива 1</w:t>
            </w:r>
          </w:p>
          <w:p w:rsidR="00752BF1" w:rsidRPr="00D2518C" w:rsidRDefault="00752BF1" w:rsidP="00752BF1">
            <w:pPr>
              <w:rPr>
                <w:lang w:val="uk-UA"/>
              </w:rPr>
            </w:pPr>
            <w:r w:rsidRPr="00D2518C">
              <w:rPr>
                <w:bCs/>
                <w:lang w:val="uk-UA"/>
              </w:rPr>
              <w:t>Збереження чинного регулювання</w:t>
            </w:r>
          </w:p>
        </w:tc>
        <w:tc>
          <w:tcPr>
            <w:tcW w:w="1984" w:type="dxa"/>
          </w:tcPr>
          <w:p w:rsidR="00752BF1" w:rsidRPr="00D2518C" w:rsidRDefault="00752BF1" w:rsidP="00752BF1">
            <w:pPr>
              <w:jc w:val="center"/>
              <w:rPr>
                <w:lang w:val="uk-UA"/>
              </w:rPr>
            </w:pPr>
            <w:r w:rsidRPr="00D2518C">
              <w:rPr>
                <w:lang w:val="uk-UA"/>
              </w:rPr>
              <w:t>Відсутні</w:t>
            </w:r>
          </w:p>
          <w:p w:rsidR="00752BF1" w:rsidRPr="00D2518C" w:rsidRDefault="00752BF1" w:rsidP="00752BF1">
            <w:pPr>
              <w:jc w:val="center"/>
              <w:rPr>
                <w:lang w:val="uk-UA"/>
              </w:rPr>
            </w:pPr>
          </w:p>
        </w:tc>
        <w:tc>
          <w:tcPr>
            <w:tcW w:w="1843" w:type="dxa"/>
          </w:tcPr>
          <w:p w:rsidR="00752BF1" w:rsidRPr="00D2518C" w:rsidRDefault="00AE178A" w:rsidP="00752BF1">
            <w:pPr>
              <w:shd w:val="clear" w:color="auto" w:fill="FFFFFF"/>
              <w:jc w:val="both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Відсутні</w:t>
            </w:r>
          </w:p>
        </w:tc>
        <w:tc>
          <w:tcPr>
            <w:tcW w:w="3544" w:type="dxa"/>
          </w:tcPr>
          <w:p w:rsidR="00AE178A" w:rsidRPr="00AE178A" w:rsidRDefault="00AE178A" w:rsidP="00AE178A">
            <w:pPr>
              <w:pStyle w:val="a6"/>
              <w:spacing w:before="0" w:beforeAutospacing="0" w:after="0" w:afterAutospacing="0"/>
              <w:jc w:val="both"/>
              <w:rPr>
                <w:lang w:val="uk-UA" w:eastAsia="uk-UA"/>
              </w:rPr>
            </w:pPr>
            <w:r>
              <w:rPr>
                <w:color w:val="000000"/>
              </w:rPr>
              <w:t xml:space="preserve">Не </w:t>
            </w:r>
            <w:proofErr w:type="spellStart"/>
            <w:r>
              <w:rPr>
                <w:color w:val="000000"/>
              </w:rPr>
              <w:t>дозволяє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вирішити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поставлену</w:t>
            </w:r>
            <w:proofErr w:type="spellEnd"/>
            <w:r>
              <w:rPr>
                <w:color w:val="000000"/>
              </w:rPr>
              <w:t xml:space="preserve"> задачу</w:t>
            </w:r>
            <w:r>
              <w:rPr>
                <w:color w:val="000000"/>
                <w:lang w:val="uk-UA"/>
              </w:rPr>
              <w:t>.</w:t>
            </w:r>
          </w:p>
          <w:p w:rsidR="00752BF1" w:rsidRPr="00D2518C" w:rsidRDefault="00752BF1" w:rsidP="00752BF1">
            <w:pPr>
              <w:shd w:val="clear" w:color="auto" w:fill="FFFFFF"/>
              <w:jc w:val="both"/>
              <w:rPr>
                <w:bCs/>
                <w:lang w:val="uk-UA"/>
              </w:rPr>
            </w:pPr>
          </w:p>
        </w:tc>
      </w:tr>
      <w:tr w:rsidR="00752BF1" w:rsidRPr="00D2518C" w:rsidTr="005F776F">
        <w:tc>
          <w:tcPr>
            <w:tcW w:w="2547" w:type="dxa"/>
          </w:tcPr>
          <w:p w:rsidR="00752BF1" w:rsidRPr="00D2518C" w:rsidRDefault="00752BF1" w:rsidP="00752BF1">
            <w:pPr>
              <w:jc w:val="both"/>
              <w:rPr>
                <w:lang w:val="uk-UA"/>
              </w:rPr>
            </w:pPr>
            <w:r w:rsidRPr="00D2518C">
              <w:rPr>
                <w:lang w:val="uk-UA"/>
              </w:rPr>
              <w:t>Альтернатива 2</w:t>
            </w:r>
          </w:p>
          <w:p w:rsidR="00752BF1" w:rsidRPr="008E3972" w:rsidRDefault="00752BF1" w:rsidP="00752BF1">
            <w:pPr>
              <w:pStyle w:val="a3"/>
              <w:widowControl w:val="0"/>
              <w:spacing w:before="0" w:beforeAutospacing="0" w:after="0" w:afterAutospacing="0"/>
              <w:rPr>
                <w:lang w:val="uk-UA"/>
              </w:rPr>
            </w:pPr>
            <w:r w:rsidRPr="00D2518C">
              <w:rPr>
                <w:lang w:val="uk-UA"/>
              </w:rPr>
              <w:t xml:space="preserve">Внесення змін до чинного </w:t>
            </w:r>
            <w:r w:rsidRPr="008E3972">
              <w:rPr>
                <w:lang w:val="uk-UA"/>
              </w:rPr>
              <w:t xml:space="preserve">регуляторного </w:t>
            </w:r>
            <w:proofErr w:type="spellStart"/>
            <w:r w:rsidRPr="008E3972">
              <w:rPr>
                <w:lang w:val="uk-UA"/>
              </w:rPr>
              <w:t>акта</w:t>
            </w:r>
            <w:proofErr w:type="spellEnd"/>
          </w:p>
          <w:p w:rsidR="00EB4E81" w:rsidRPr="00D2518C" w:rsidRDefault="00EB4E81" w:rsidP="00752BF1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8E3972">
              <w:rPr>
                <w:lang w:val="uk-UA"/>
              </w:rPr>
              <w:t>(обраний спосіб)</w:t>
            </w:r>
          </w:p>
        </w:tc>
        <w:tc>
          <w:tcPr>
            <w:tcW w:w="1984" w:type="dxa"/>
          </w:tcPr>
          <w:p w:rsidR="00752BF1" w:rsidRPr="00D2518C" w:rsidRDefault="00752BF1" w:rsidP="00752BF1">
            <w:pPr>
              <w:jc w:val="center"/>
              <w:rPr>
                <w:lang w:val="uk-UA"/>
              </w:rPr>
            </w:pPr>
            <w:r w:rsidRPr="00D2518C">
              <w:rPr>
                <w:lang w:val="uk-UA"/>
              </w:rPr>
              <w:t>Найбільш</w:t>
            </w:r>
          </w:p>
          <w:p w:rsidR="00752BF1" w:rsidRPr="00D2518C" w:rsidRDefault="00752BF1" w:rsidP="0032415D">
            <w:pPr>
              <w:jc w:val="center"/>
              <w:rPr>
                <w:lang w:val="uk-UA"/>
              </w:rPr>
            </w:pPr>
            <w:r w:rsidRPr="00D2518C">
              <w:rPr>
                <w:lang w:val="uk-UA"/>
              </w:rPr>
              <w:t>вигідний,</w:t>
            </w:r>
          </w:p>
          <w:p w:rsidR="00752BF1" w:rsidRPr="00D2518C" w:rsidRDefault="00752BF1" w:rsidP="00752BF1">
            <w:pPr>
              <w:jc w:val="center"/>
              <w:rPr>
                <w:lang w:val="uk-UA"/>
              </w:rPr>
            </w:pPr>
            <w:r w:rsidRPr="00D2518C">
              <w:rPr>
                <w:lang w:val="uk-UA"/>
              </w:rPr>
              <w:t>забезпечує ефективне виконання завдань державного регулювання</w:t>
            </w:r>
          </w:p>
        </w:tc>
        <w:tc>
          <w:tcPr>
            <w:tcW w:w="1843" w:type="dxa"/>
          </w:tcPr>
          <w:p w:rsidR="00752BF1" w:rsidRPr="00D2518C" w:rsidRDefault="00752BF1" w:rsidP="00752BF1">
            <w:pPr>
              <w:jc w:val="center"/>
              <w:rPr>
                <w:lang w:val="uk-UA"/>
              </w:rPr>
            </w:pPr>
            <w:r w:rsidRPr="00D2518C">
              <w:rPr>
                <w:lang w:val="uk-UA"/>
              </w:rPr>
              <w:t>Відсутні</w:t>
            </w:r>
          </w:p>
        </w:tc>
        <w:tc>
          <w:tcPr>
            <w:tcW w:w="3544" w:type="dxa"/>
          </w:tcPr>
          <w:p w:rsidR="00AE178A" w:rsidRDefault="00AE178A" w:rsidP="00AE178A">
            <w:pPr>
              <w:pStyle w:val="a6"/>
              <w:spacing w:before="0" w:beforeAutospacing="0" w:after="0" w:afterAutospacing="0"/>
              <w:jc w:val="both"/>
              <w:rPr>
                <w:lang w:val="uk-UA" w:eastAsia="uk-UA"/>
              </w:rPr>
            </w:pPr>
            <w:proofErr w:type="spellStart"/>
            <w:r>
              <w:rPr>
                <w:color w:val="000000"/>
              </w:rPr>
              <w:t>Проєкт</w:t>
            </w:r>
            <w:proofErr w:type="spellEnd"/>
            <w:r>
              <w:rPr>
                <w:color w:val="000000"/>
              </w:rPr>
              <w:t xml:space="preserve"> постанови дозволить </w:t>
            </w:r>
            <w:proofErr w:type="spellStart"/>
            <w:r>
              <w:rPr>
                <w:color w:val="000000"/>
              </w:rPr>
              <w:t>досягнути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задекларованих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цілей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повною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мірою</w:t>
            </w:r>
            <w:proofErr w:type="spellEnd"/>
            <w:r>
              <w:rPr>
                <w:color w:val="000000"/>
              </w:rPr>
              <w:t xml:space="preserve"> та </w:t>
            </w:r>
            <w:proofErr w:type="spellStart"/>
            <w:r>
              <w:rPr>
                <w:color w:val="000000"/>
              </w:rPr>
              <w:t>встановить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зрозуміле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загальне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регулювання</w:t>
            </w:r>
            <w:proofErr w:type="spellEnd"/>
            <w:r>
              <w:rPr>
                <w:color w:val="000000"/>
              </w:rPr>
              <w:t xml:space="preserve">, не </w:t>
            </w:r>
            <w:proofErr w:type="spellStart"/>
            <w:r>
              <w:rPr>
                <w:color w:val="000000"/>
              </w:rPr>
              <w:t>примножуючи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кількості</w:t>
            </w:r>
            <w:proofErr w:type="spellEnd"/>
            <w:r>
              <w:rPr>
                <w:color w:val="000000"/>
              </w:rPr>
              <w:t xml:space="preserve"> нормативно-</w:t>
            </w:r>
            <w:proofErr w:type="spellStart"/>
            <w:r>
              <w:rPr>
                <w:color w:val="000000"/>
              </w:rPr>
              <w:t>правових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актів</w:t>
            </w:r>
            <w:proofErr w:type="spellEnd"/>
            <w:r>
              <w:rPr>
                <w:color w:val="000000"/>
              </w:rPr>
              <w:t xml:space="preserve"> з одного </w:t>
            </w:r>
            <w:proofErr w:type="spellStart"/>
            <w:r>
              <w:rPr>
                <w:color w:val="000000"/>
              </w:rPr>
              <w:t>питання</w:t>
            </w:r>
            <w:proofErr w:type="spellEnd"/>
            <w:r>
              <w:rPr>
                <w:color w:val="000000"/>
              </w:rPr>
              <w:t>.</w:t>
            </w:r>
          </w:p>
          <w:p w:rsidR="00752BF1" w:rsidRPr="00D2518C" w:rsidRDefault="00752BF1" w:rsidP="00752BF1">
            <w:pPr>
              <w:pStyle w:val="a3"/>
              <w:widowControl w:val="0"/>
              <w:spacing w:before="0" w:beforeAutospacing="0" w:after="0" w:afterAutospacing="0"/>
              <w:jc w:val="both"/>
              <w:rPr>
                <w:bCs/>
                <w:lang w:val="uk-UA"/>
              </w:rPr>
            </w:pPr>
          </w:p>
        </w:tc>
      </w:tr>
    </w:tbl>
    <w:p w:rsidR="00B3339F" w:rsidRPr="00CD156B" w:rsidRDefault="00B3339F" w:rsidP="00B3339F">
      <w:pPr>
        <w:jc w:val="both"/>
        <w:rPr>
          <w:bCs/>
          <w:sz w:val="27"/>
          <w:szCs w:val="27"/>
          <w:lang w:val="uk-UA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60"/>
        <w:gridCol w:w="4945"/>
        <w:gridCol w:w="2013"/>
      </w:tblGrid>
      <w:tr w:rsidR="00B3339F" w:rsidRPr="00CD156B" w:rsidTr="005F776F">
        <w:tc>
          <w:tcPr>
            <w:tcW w:w="2960" w:type="dxa"/>
          </w:tcPr>
          <w:p w:rsidR="00B3339F" w:rsidRPr="00AE178A" w:rsidRDefault="00B3339F" w:rsidP="005F776F">
            <w:pPr>
              <w:jc w:val="center"/>
              <w:rPr>
                <w:b/>
                <w:lang w:val="uk-UA"/>
              </w:rPr>
            </w:pPr>
            <w:r w:rsidRPr="00AE178A">
              <w:rPr>
                <w:b/>
                <w:lang w:val="uk-UA"/>
              </w:rPr>
              <w:t>Рейтинг</w:t>
            </w:r>
          </w:p>
        </w:tc>
        <w:tc>
          <w:tcPr>
            <w:tcW w:w="4945" w:type="dxa"/>
          </w:tcPr>
          <w:p w:rsidR="00B3339F" w:rsidRPr="00AE178A" w:rsidRDefault="00B3339F" w:rsidP="005F776F">
            <w:pPr>
              <w:jc w:val="center"/>
              <w:rPr>
                <w:b/>
                <w:lang w:val="uk-UA"/>
              </w:rPr>
            </w:pPr>
            <w:r w:rsidRPr="00AE178A">
              <w:rPr>
                <w:b/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013" w:type="dxa"/>
          </w:tcPr>
          <w:p w:rsidR="00B3339F" w:rsidRPr="00AE178A" w:rsidRDefault="00B3339F" w:rsidP="005F776F">
            <w:pPr>
              <w:jc w:val="center"/>
              <w:rPr>
                <w:b/>
                <w:lang w:val="uk-UA"/>
              </w:rPr>
            </w:pPr>
            <w:r w:rsidRPr="00AE178A">
              <w:rPr>
                <w:b/>
                <w:lang w:val="uk-UA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B3339F" w:rsidRPr="00CD156B" w:rsidTr="005F776F">
        <w:tc>
          <w:tcPr>
            <w:tcW w:w="2960" w:type="dxa"/>
          </w:tcPr>
          <w:p w:rsidR="00B3339F" w:rsidRPr="00AE178A" w:rsidRDefault="00B3339F" w:rsidP="005F776F">
            <w:pPr>
              <w:jc w:val="both"/>
              <w:rPr>
                <w:lang w:val="uk-UA"/>
              </w:rPr>
            </w:pPr>
            <w:r w:rsidRPr="00AE178A">
              <w:rPr>
                <w:lang w:val="uk-UA"/>
              </w:rPr>
              <w:t>Альтернатива 1</w:t>
            </w:r>
          </w:p>
          <w:p w:rsidR="00B3339F" w:rsidRPr="00AE178A" w:rsidRDefault="00B3339F" w:rsidP="005F776F">
            <w:pPr>
              <w:rPr>
                <w:lang w:val="uk-UA"/>
              </w:rPr>
            </w:pPr>
            <w:r w:rsidRPr="00AE178A">
              <w:rPr>
                <w:bCs/>
                <w:lang w:val="uk-UA"/>
              </w:rPr>
              <w:t>Збереження чинного регулювання</w:t>
            </w:r>
          </w:p>
        </w:tc>
        <w:tc>
          <w:tcPr>
            <w:tcW w:w="4945" w:type="dxa"/>
            <w:shd w:val="clear" w:color="auto" w:fill="auto"/>
          </w:tcPr>
          <w:p w:rsidR="00B3339F" w:rsidRPr="00AE178A" w:rsidRDefault="00B3339F" w:rsidP="005F776F">
            <w:pPr>
              <w:jc w:val="both"/>
              <w:rPr>
                <w:lang w:val="uk-UA"/>
              </w:rPr>
            </w:pPr>
            <w:r w:rsidRPr="00AE178A">
              <w:rPr>
                <w:lang w:val="uk-UA"/>
              </w:rPr>
              <w:t>Не вирішує визначену проблему</w:t>
            </w:r>
          </w:p>
        </w:tc>
        <w:tc>
          <w:tcPr>
            <w:tcW w:w="2013" w:type="dxa"/>
          </w:tcPr>
          <w:p w:rsidR="00B3339F" w:rsidRPr="00AE178A" w:rsidRDefault="00B3339F" w:rsidP="005F776F">
            <w:pPr>
              <w:jc w:val="both"/>
              <w:rPr>
                <w:lang w:val="uk-UA"/>
              </w:rPr>
            </w:pPr>
            <w:r w:rsidRPr="00AE178A">
              <w:rPr>
                <w:lang w:val="uk-UA"/>
              </w:rPr>
              <w:t>Відсутній</w:t>
            </w:r>
          </w:p>
        </w:tc>
      </w:tr>
      <w:tr w:rsidR="00B3339F" w:rsidRPr="00CD156B" w:rsidTr="005F776F">
        <w:trPr>
          <w:trHeight w:val="420"/>
        </w:trPr>
        <w:tc>
          <w:tcPr>
            <w:tcW w:w="2960" w:type="dxa"/>
          </w:tcPr>
          <w:p w:rsidR="00B3339F" w:rsidRPr="00AE178A" w:rsidRDefault="00B3339F" w:rsidP="005F776F">
            <w:pPr>
              <w:jc w:val="both"/>
              <w:rPr>
                <w:lang w:val="uk-UA"/>
              </w:rPr>
            </w:pPr>
            <w:r w:rsidRPr="00AE178A">
              <w:rPr>
                <w:lang w:val="uk-UA"/>
              </w:rPr>
              <w:t>Альтернатива 2</w:t>
            </w:r>
          </w:p>
          <w:p w:rsidR="00B3339F" w:rsidRPr="00AE178A" w:rsidRDefault="00B3339F" w:rsidP="005F776F">
            <w:pPr>
              <w:pStyle w:val="a3"/>
              <w:widowControl w:val="0"/>
              <w:spacing w:before="0" w:beforeAutospacing="0" w:after="0" w:afterAutospacing="0"/>
              <w:rPr>
                <w:bCs/>
                <w:lang w:val="uk-UA"/>
              </w:rPr>
            </w:pPr>
            <w:r w:rsidRPr="00AE178A">
              <w:rPr>
                <w:lang w:val="uk-UA"/>
              </w:rPr>
              <w:t>Внесення змін до чинного регуляторного акта (обраний спосіб)</w:t>
            </w:r>
          </w:p>
        </w:tc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339F" w:rsidRPr="00AE178A" w:rsidRDefault="00B3339F" w:rsidP="00752BF1">
            <w:pPr>
              <w:pStyle w:val="a3"/>
              <w:widowControl w:val="0"/>
              <w:spacing w:before="0" w:beforeAutospacing="0" w:after="0" w:afterAutospacing="0"/>
              <w:jc w:val="both"/>
              <w:rPr>
                <w:lang w:val="uk-UA"/>
              </w:rPr>
            </w:pPr>
            <w:r w:rsidRPr="00AE178A">
              <w:rPr>
                <w:lang w:val="uk-UA"/>
              </w:rPr>
              <w:t xml:space="preserve">Прийняття </w:t>
            </w:r>
            <w:proofErr w:type="spellStart"/>
            <w:r w:rsidR="00AB41E1" w:rsidRPr="00AE178A">
              <w:rPr>
                <w:lang w:val="uk-UA"/>
              </w:rPr>
              <w:t>П</w:t>
            </w:r>
            <w:r w:rsidRPr="00AE178A">
              <w:rPr>
                <w:lang w:val="uk-UA"/>
              </w:rPr>
              <w:t>роєкту</w:t>
            </w:r>
            <w:proofErr w:type="spellEnd"/>
            <w:r w:rsidRPr="00AE178A">
              <w:rPr>
                <w:lang w:val="uk-UA"/>
              </w:rPr>
              <w:t xml:space="preserve"> </w:t>
            </w:r>
            <w:r w:rsidR="00AB41E1" w:rsidRPr="00AE178A">
              <w:rPr>
                <w:lang w:val="uk-UA"/>
              </w:rPr>
              <w:t>п</w:t>
            </w:r>
            <w:r w:rsidRPr="00AE178A">
              <w:rPr>
                <w:lang w:val="uk-UA"/>
              </w:rPr>
              <w:t xml:space="preserve">останови вирішить проблему найефективнішим </w:t>
            </w:r>
            <w:r w:rsidR="00EB4E81" w:rsidRPr="008E3972">
              <w:rPr>
                <w:lang w:val="uk-UA"/>
              </w:rPr>
              <w:t>способом</w:t>
            </w:r>
            <w:r w:rsidR="00EB4E81">
              <w:rPr>
                <w:highlight w:val="yellow"/>
                <w:lang w:val="uk-UA"/>
              </w:rPr>
              <w:t xml:space="preserve"> </w:t>
            </w:r>
            <w:r w:rsidR="00EB4E81">
              <w:rPr>
                <w:lang w:val="uk-UA"/>
              </w:rPr>
              <w:t xml:space="preserve"> </w:t>
            </w:r>
            <w:r w:rsidRPr="00AE178A">
              <w:rPr>
                <w:lang w:val="uk-UA"/>
              </w:rPr>
              <w:t xml:space="preserve">шляхом </w:t>
            </w:r>
            <w:r w:rsidR="00752BF1" w:rsidRPr="00AE178A">
              <w:rPr>
                <w:lang w:val="uk-UA"/>
              </w:rPr>
              <w:t>внесення змін до нормативно-правових актів НКРЕКП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39F" w:rsidRPr="00AE178A" w:rsidRDefault="00B3339F" w:rsidP="005F776F">
            <w:pPr>
              <w:spacing w:line="259" w:lineRule="auto"/>
              <w:ind w:right="55"/>
              <w:jc w:val="both"/>
              <w:rPr>
                <w:lang w:val="uk-UA"/>
              </w:rPr>
            </w:pPr>
            <w:r w:rsidRPr="00AE178A">
              <w:rPr>
                <w:lang w:val="uk-UA"/>
              </w:rPr>
              <w:t xml:space="preserve">Відсутній </w:t>
            </w:r>
          </w:p>
        </w:tc>
      </w:tr>
    </w:tbl>
    <w:p w:rsidR="00B3339F" w:rsidRPr="00752BF1" w:rsidRDefault="00B3339F" w:rsidP="00B3339F">
      <w:pPr>
        <w:rPr>
          <w:b/>
          <w:sz w:val="28"/>
          <w:szCs w:val="28"/>
          <w:lang w:val="uk-UA"/>
        </w:rPr>
      </w:pPr>
    </w:p>
    <w:p w:rsidR="00B3339F" w:rsidRPr="00752BF1" w:rsidRDefault="00B3339F" w:rsidP="00AB41E1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752BF1">
        <w:rPr>
          <w:b/>
          <w:sz w:val="28"/>
          <w:szCs w:val="28"/>
          <w:lang w:val="uk-UA"/>
        </w:rPr>
        <w:t>V. Механізми та заходи, які забезпечать розв'язання визначеної проблеми</w:t>
      </w:r>
    </w:p>
    <w:p w:rsidR="00B3339F" w:rsidRPr="00752BF1" w:rsidRDefault="00B3339F" w:rsidP="00B3339F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bCs/>
          <w:sz w:val="28"/>
          <w:szCs w:val="28"/>
          <w:lang w:val="uk-UA"/>
        </w:rPr>
      </w:pPr>
    </w:p>
    <w:p w:rsidR="00AE178A" w:rsidRPr="00AD6542" w:rsidRDefault="00B3339F" w:rsidP="00AE178A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752BF1">
        <w:rPr>
          <w:sz w:val="28"/>
          <w:szCs w:val="28"/>
          <w:lang w:val="uk-UA"/>
        </w:rPr>
        <w:t xml:space="preserve">Прийняття </w:t>
      </w:r>
      <w:proofErr w:type="spellStart"/>
      <w:r w:rsidRPr="00752BF1">
        <w:rPr>
          <w:sz w:val="28"/>
          <w:szCs w:val="28"/>
          <w:lang w:val="uk-UA"/>
        </w:rPr>
        <w:t>проєкту</w:t>
      </w:r>
      <w:proofErr w:type="spellEnd"/>
      <w:r w:rsidRPr="00752BF1">
        <w:rPr>
          <w:sz w:val="28"/>
          <w:szCs w:val="28"/>
          <w:lang w:val="uk-UA"/>
        </w:rPr>
        <w:t xml:space="preserve"> Постанови </w:t>
      </w:r>
      <w:r w:rsidR="00AE178A" w:rsidRPr="00AD6542">
        <w:rPr>
          <w:rFonts w:eastAsia="Calibri"/>
          <w:sz w:val="28"/>
          <w:szCs w:val="28"/>
          <w:lang w:val="uk-UA" w:eastAsia="en-US"/>
        </w:rPr>
        <w:t>унеможлив</w:t>
      </w:r>
      <w:r w:rsidR="00AE178A">
        <w:rPr>
          <w:rFonts w:eastAsia="Calibri"/>
          <w:sz w:val="28"/>
          <w:szCs w:val="28"/>
          <w:lang w:val="uk-UA" w:eastAsia="en-US"/>
        </w:rPr>
        <w:t>ить</w:t>
      </w:r>
      <w:r w:rsidR="00AE178A" w:rsidRPr="00AD6542">
        <w:rPr>
          <w:rFonts w:eastAsia="Calibri"/>
          <w:sz w:val="28"/>
          <w:szCs w:val="28"/>
          <w:lang w:val="uk-UA" w:eastAsia="en-US"/>
        </w:rPr>
        <w:t xml:space="preserve"> автоматичн</w:t>
      </w:r>
      <w:r w:rsidR="00AE178A">
        <w:rPr>
          <w:rFonts w:eastAsia="Calibri"/>
          <w:sz w:val="28"/>
          <w:szCs w:val="28"/>
          <w:lang w:val="uk-UA" w:eastAsia="en-US"/>
        </w:rPr>
        <w:t>е</w:t>
      </w:r>
      <w:r w:rsidR="00AE178A" w:rsidRPr="00AD6542">
        <w:rPr>
          <w:rFonts w:eastAsia="Calibri"/>
          <w:sz w:val="28"/>
          <w:szCs w:val="28"/>
          <w:lang w:val="uk-UA" w:eastAsia="en-US"/>
        </w:rPr>
        <w:t xml:space="preserve"> включення Оператора ГРМ в реєстр постачальника «останньої надії» у випадку наявності заборгованості перед постачальником «останньої надії» та неподанням таким </w:t>
      </w:r>
      <w:r w:rsidR="00AE178A" w:rsidRPr="008E3972">
        <w:rPr>
          <w:rFonts w:eastAsia="Calibri"/>
          <w:sz w:val="28"/>
          <w:szCs w:val="28"/>
          <w:lang w:val="uk-UA" w:eastAsia="en-US"/>
        </w:rPr>
        <w:t>постачальником повідомлення на відключення Оператора ГРМ, що в повній мірі відповідати</w:t>
      </w:r>
      <w:r w:rsidR="00EB4E81" w:rsidRPr="008E3972">
        <w:rPr>
          <w:rFonts w:eastAsia="Calibri"/>
          <w:sz w:val="28"/>
          <w:szCs w:val="28"/>
          <w:lang w:val="uk-UA" w:eastAsia="en-US"/>
        </w:rPr>
        <w:t>ме</w:t>
      </w:r>
      <w:bookmarkStart w:id="3" w:name="_GoBack"/>
      <w:bookmarkEnd w:id="3"/>
      <w:r w:rsidR="00AE178A">
        <w:rPr>
          <w:rFonts w:eastAsia="Calibri"/>
          <w:sz w:val="28"/>
          <w:szCs w:val="28"/>
          <w:lang w:val="uk-UA" w:eastAsia="en-US"/>
        </w:rPr>
        <w:t xml:space="preserve"> положенням статті 15 Закону про ринок газу</w:t>
      </w:r>
      <w:r w:rsidR="00AE178A" w:rsidRPr="00AD6542">
        <w:rPr>
          <w:rFonts w:eastAsia="Calibri"/>
          <w:sz w:val="28"/>
          <w:szCs w:val="28"/>
          <w:lang w:val="uk-UA" w:eastAsia="en-US"/>
        </w:rPr>
        <w:t>.</w:t>
      </w:r>
    </w:p>
    <w:p w:rsidR="00B3339F" w:rsidRPr="00C12CE8" w:rsidRDefault="00B3339F" w:rsidP="00B3339F">
      <w:pPr>
        <w:widowControl w:val="0"/>
        <w:jc w:val="both"/>
        <w:rPr>
          <w:color w:val="000000"/>
          <w:sz w:val="28"/>
          <w:szCs w:val="28"/>
          <w:lang w:val="uk-UA"/>
        </w:rPr>
      </w:pPr>
    </w:p>
    <w:p w:rsidR="00B3339F" w:rsidRPr="00C12CE8" w:rsidRDefault="00B3339F" w:rsidP="00B3339F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bCs/>
          <w:sz w:val="28"/>
          <w:szCs w:val="28"/>
          <w:lang w:val="uk-UA"/>
        </w:rPr>
      </w:pPr>
      <w:r w:rsidRPr="00C12CE8">
        <w:rPr>
          <w:b/>
          <w:bCs/>
          <w:sz w:val="28"/>
          <w:szCs w:val="28"/>
          <w:lang w:val="uk-UA"/>
        </w:rPr>
        <w:t>VI. Обґрунтування запропонованого строку дії регуляторного акта</w:t>
      </w:r>
    </w:p>
    <w:p w:rsidR="00B3339F" w:rsidRPr="00C12CE8" w:rsidRDefault="00B3339F" w:rsidP="00B3339F">
      <w:pPr>
        <w:pStyle w:val="a3"/>
        <w:widowControl w:val="0"/>
        <w:spacing w:before="0" w:beforeAutospacing="0" w:after="0" w:afterAutospacing="0"/>
        <w:ind w:firstLine="540"/>
        <w:jc w:val="both"/>
        <w:rPr>
          <w:bCs/>
          <w:sz w:val="28"/>
          <w:szCs w:val="28"/>
          <w:lang w:val="uk-UA"/>
        </w:rPr>
      </w:pPr>
    </w:p>
    <w:p w:rsidR="00B3339F" w:rsidRPr="00C12CE8" w:rsidRDefault="00B3339F" w:rsidP="00B3339F">
      <w:pPr>
        <w:pStyle w:val="a3"/>
        <w:widowControl w:val="0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 w:rsidRPr="00C12CE8">
        <w:rPr>
          <w:sz w:val="28"/>
          <w:szCs w:val="28"/>
          <w:lang w:val="uk-UA"/>
        </w:rPr>
        <w:t xml:space="preserve">Термін </w:t>
      </w:r>
      <w:r w:rsidRPr="00C12CE8">
        <w:rPr>
          <w:rStyle w:val="spelle"/>
          <w:sz w:val="28"/>
          <w:szCs w:val="28"/>
          <w:lang w:val="uk-UA"/>
        </w:rPr>
        <w:t>дії</w:t>
      </w:r>
      <w:r w:rsidRPr="00C12CE8">
        <w:rPr>
          <w:sz w:val="28"/>
          <w:szCs w:val="28"/>
          <w:lang w:val="uk-UA"/>
        </w:rPr>
        <w:t xml:space="preserve"> акта не</w:t>
      </w:r>
      <w:r w:rsidRPr="00C12CE8">
        <w:rPr>
          <w:rStyle w:val="spelle"/>
          <w:sz w:val="28"/>
          <w:szCs w:val="28"/>
          <w:lang w:val="uk-UA"/>
        </w:rPr>
        <w:t>обмежений</w:t>
      </w:r>
      <w:r w:rsidRPr="00C12CE8">
        <w:rPr>
          <w:sz w:val="28"/>
          <w:szCs w:val="28"/>
          <w:lang w:val="uk-UA"/>
        </w:rPr>
        <w:t>. Він може бути змінений у разі внесення відповідних змін до законодавства.</w:t>
      </w:r>
    </w:p>
    <w:p w:rsidR="00B3339F" w:rsidRPr="00C12CE8" w:rsidRDefault="00B3339F" w:rsidP="00B3339F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sz w:val="28"/>
          <w:szCs w:val="28"/>
          <w:lang w:val="uk-UA"/>
        </w:rPr>
      </w:pPr>
    </w:p>
    <w:p w:rsidR="00B3339F" w:rsidRPr="00C12CE8" w:rsidRDefault="00B3339F" w:rsidP="00B3339F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sz w:val="28"/>
          <w:szCs w:val="28"/>
          <w:lang w:val="uk-UA"/>
        </w:rPr>
      </w:pPr>
      <w:r w:rsidRPr="00C12CE8">
        <w:rPr>
          <w:b/>
          <w:sz w:val="28"/>
          <w:szCs w:val="28"/>
          <w:lang w:val="uk-UA"/>
        </w:rPr>
        <w:t>VII. Визначення показників результативності дії регуляторного акта</w:t>
      </w:r>
    </w:p>
    <w:p w:rsidR="00B3339F" w:rsidRPr="00C12CE8" w:rsidRDefault="00B3339F" w:rsidP="00B3339F">
      <w:pPr>
        <w:pStyle w:val="a3"/>
        <w:widowControl w:val="0"/>
        <w:spacing w:before="0" w:beforeAutospacing="0" w:after="0" w:afterAutospacing="0"/>
        <w:ind w:firstLine="540"/>
        <w:jc w:val="both"/>
        <w:rPr>
          <w:b/>
          <w:sz w:val="28"/>
          <w:szCs w:val="28"/>
          <w:lang w:val="uk-UA"/>
        </w:rPr>
      </w:pPr>
    </w:p>
    <w:p w:rsidR="00B3339F" w:rsidRPr="00C12CE8" w:rsidRDefault="00B3339F" w:rsidP="00B3339F">
      <w:pPr>
        <w:pStyle w:val="a3"/>
        <w:widowControl w:val="0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bookmarkStart w:id="4" w:name="_Hlk69799505"/>
      <w:r w:rsidRPr="00C12CE8">
        <w:rPr>
          <w:sz w:val="28"/>
          <w:szCs w:val="28"/>
          <w:lang w:val="uk-UA"/>
        </w:rPr>
        <w:t xml:space="preserve">Після набрання чинності постановою НКРЕКП «Про </w:t>
      </w:r>
      <w:r w:rsidR="00C12CE8">
        <w:rPr>
          <w:sz w:val="28"/>
          <w:szCs w:val="28"/>
          <w:lang w:val="uk-UA"/>
        </w:rPr>
        <w:t xml:space="preserve">внесення змін </w:t>
      </w:r>
      <w:r w:rsidR="00AE178A">
        <w:rPr>
          <w:sz w:val="28"/>
          <w:szCs w:val="28"/>
          <w:lang w:val="uk-UA"/>
        </w:rPr>
        <w:t>до деяких постанов НКРЕКП</w:t>
      </w:r>
      <w:r w:rsidRPr="00C12CE8">
        <w:rPr>
          <w:sz w:val="28"/>
          <w:szCs w:val="28"/>
          <w:lang w:val="uk-UA"/>
        </w:rPr>
        <w:t>» її результативність визначається такими кількісними показниками:</w:t>
      </w:r>
    </w:p>
    <w:p w:rsidR="00B3339F" w:rsidRPr="00C12CE8" w:rsidRDefault="00B3339F" w:rsidP="00B3339F">
      <w:pPr>
        <w:pStyle w:val="a3"/>
        <w:widowControl w:val="0"/>
        <w:spacing w:before="0" w:beforeAutospacing="0" w:after="0" w:afterAutospacing="0"/>
        <w:ind w:firstLine="540"/>
        <w:jc w:val="both"/>
        <w:rPr>
          <w:sz w:val="28"/>
          <w:szCs w:val="28"/>
          <w:lang w:val="uk-UA"/>
        </w:rPr>
      </w:pPr>
      <w:r w:rsidRPr="00C12CE8">
        <w:rPr>
          <w:sz w:val="28"/>
          <w:szCs w:val="28"/>
          <w:lang w:val="uk-UA"/>
        </w:rPr>
        <w:t>1)</w:t>
      </w:r>
      <w:r w:rsidRPr="00C12CE8">
        <w:rPr>
          <w:color w:val="FF0000"/>
          <w:sz w:val="28"/>
          <w:szCs w:val="28"/>
          <w:lang w:val="uk-UA"/>
        </w:rPr>
        <w:t xml:space="preserve"> </w:t>
      </w:r>
      <w:r w:rsidRPr="00C12CE8">
        <w:rPr>
          <w:sz w:val="28"/>
          <w:szCs w:val="28"/>
          <w:lang w:val="uk-UA"/>
        </w:rPr>
        <w:t xml:space="preserve">розміром надходжень до Державного бюджету України – реалізація </w:t>
      </w:r>
      <w:proofErr w:type="spellStart"/>
      <w:r w:rsidRPr="00C12CE8">
        <w:rPr>
          <w:sz w:val="28"/>
          <w:szCs w:val="28"/>
          <w:lang w:val="uk-UA"/>
        </w:rPr>
        <w:t>проєкту</w:t>
      </w:r>
      <w:proofErr w:type="spellEnd"/>
      <w:r w:rsidRPr="00C12CE8">
        <w:rPr>
          <w:sz w:val="28"/>
          <w:szCs w:val="28"/>
          <w:lang w:val="uk-UA"/>
        </w:rPr>
        <w:t xml:space="preserve"> регуляторного </w:t>
      </w:r>
      <w:proofErr w:type="spellStart"/>
      <w:r w:rsidRPr="00C12CE8">
        <w:rPr>
          <w:sz w:val="28"/>
          <w:szCs w:val="28"/>
          <w:lang w:val="uk-UA"/>
        </w:rPr>
        <w:t>акта</w:t>
      </w:r>
      <w:proofErr w:type="spellEnd"/>
      <w:r w:rsidRPr="00C12CE8">
        <w:rPr>
          <w:sz w:val="28"/>
          <w:szCs w:val="28"/>
          <w:lang w:val="uk-UA"/>
        </w:rPr>
        <w:t xml:space="preserve"> не потребує витрат із Державного бюджету України, надходження до Державного бюджету України у зв’язку з прийняттям регуляторного акта не передбачаються;</w:t>
      </w:r>
    </w:p>
    <w:p w:rsidR="00B3339F" w:rsidRPr="00C12CE8" w:rsidRDefault="00B3339F" w:rsidP="00B3339F">
      <w:pPr>
        <w:pStyle w:val="a3"/>
        <w:widowControl w:val="0"/>
        <w:spacing w:before="0" w:beforeAutospacing="0" w:after="0" w:afterAutospacing="0"/>
        <w:ind w:firstLine="539"/>
        <w:jc w:val="both"/>
        <w:rPr>
          <w:sz w:val="28"/>
          <w:szCs w:val="28"/>
          <w:lang w:val="uk-UA"/>
        </w:rPr>
      </w:pPr>
      <w:r w:rsidRPr="00C12CE8">
        <w:rPr>
          <w:sz w:val="28"/>
          <w:szCs w:val="28"/>
          <w:lang w:val="uk-UA"/>
        </w:rPr>
        <w:t xml:space="preserve">2) кількістю суб'єктів господарювання та/або фізичних осіб, на яких поширюється дія </w:t>
      </w:r>
      <w:proofErr w:type="spellStart"/>
      <w:r w:rsidRPr="00C12CE8">
        <w:rPr>
          <w:sz w:val="28"/>
          <w:szCs w:val="28"/>
          <w:lang w:val="uk-UA"/>
        </w:rPr>
        <w:t>акта</w:t>
      </w:r>
      <w:proofErr w:type="spellEnd"/>
      <w:r w:rsidRPr="00C12CE8">
        <w:rPr>
          <w:sz w:val="28"/>
          <w:szCs w:val="28"/>
          <w:lang w:val="uk-UA"/>
        </w:rPr>
        <w:t xml:space="preserve"> – дія </w:t>
      </w:r>
      <w:proofErr w:type="spellStart"/>
      <w:r w:rsidRPr="00C12CE8">
        <w:rPr>
          <w:sz w:val="28"/>
          <w:szCs w:val="28"/>
          <w:lang w:val="uk-UA"/>
        </w:rPr>
        <w:t>акта</w:t>
      </w:r>
      <w:proofErr w:type="spellEnd"/>
      <w:r w:rsidRPr="00C12CE8">
        <w:rPr>
          <w:sz w:val="28"/>
          <w:szCs w:val="28"/>
          <w:lang w:val="uk-UA"/>
        </w:rPr>
        <w:t xml:space="preserve"> поширюватиметься на</w:t>
      </w:r>
      <w:r w:rsidR="00AB41E1">
        <w:rPr>
          <w:sz w:val="28"/>
          <w:szCs w:val="28"/>
          <w:lang w:val="uk-UA"/>
        </w:rPr>
        <w:t xml:space="preserve"> оператора газотранспортної системи, операторів газорозподільних систем та</w:t>
      </w:r>
      <w:r w:rsidRPr="00C12CE8">
        <w:rPr>
          <w:sz w:val="28"/>
          <w:szCs w:val="28"/>
          <w:lang w:val="uk-UA"/>
        </w:rPr>
        <w:t xml:space="preserve"> </w:t>
      </w:r>
      <w:r w:rsidR="00AE178A">
        <w:rPr>
          <w:sz w:val="28"/>
          <w:szCs w:val="28"/>
          <w:lang w:val="uk-UA"/>
        </w:rPr>
        <w:t>постачальника «останньої надії»</w:t>
      </w:r>
      <w:r w:rsidRPr="00C12CE8">
        <w:rPr>
          <w:sz w:val="28"/>
          <w:szCs w:val="28"/>
          <w:lang w:val="uk-UA"/>
        </w:rPr>
        <w:t>;</w:t>
      </w:r>
    </w:p>
    <w:p w:rsidR="00B3339F" w:rsidRPr="00C12CE8" w:rsidRDefault="00B3339F" w:rsidP="00B3339F">
      <w:pPr>
        <w:ind w:firstLine="539"/>
        <w:jc w:val="both"/>
        <w:rPr>
          <w:sz w:val="28"/>
          <w:szCs w:val="28"/>
          <w:lang w:val="uk-UA"/>
        </w:rPr>
      </w:pPr>
      <w:r w:rsidRPr="00C12CE8">
        <w:rPr>
          <w:sz w:val="28"/>
          <w:szCs w:val="28"/>
          <w:lang w:val="uk-UA"/>
        </w:rPr>
        <w:t>3) рівнем поінформованості суб’єктів господарювання з основних положень</w:t>
      </w:r>
      <w:r w:rsidR="00C12CE8">
        <w:rPr>
          <w:sz w:val="28"/>
          <w:szCs w:val="28"/>
          <w:lang w:val="uk-UA"/>
        </w:rPr>
        <w:t xml:space="preserve"> </w:t>
      </w:r>
      <w:r w:rsidRPr="00C12CE8">
        <w:rPr>
          <w:sz w:val="28"/>
          <w:szCs w:val="28"/>
          <w:lang w:val="uk-UA"/>
        </w:rPr>
        <w:t>акта – середній.</w:t>
      </w:r>
    </w:p>
    <w:bookmarkEnd w:id="4"/>
    <w:p w:rsidR="00B3339F" w:rsidRPr="00C12CE8" w:rsidRDefault="00B3339F" w:rsidP="00B3339F">
      <w:pPr>
        <w:ind w:firstLine="540"/>
        <w:jc w:val="both"/>
        <w:rPr>
          <w:sz w:val="28"/>
          <w:szCs w:val="28"/>
          <w:lang w:val="uk-UA"/>
        </w:rPr>
      </w:pPr>
      <w:r w:rsidRPr="00C12CE8">
        <w:rPr>
          <w:sz w:val="28"/>
          <w:szCs w:val="28"/>
          <w:lang w:val="uk-UA"/>
        </w:rPr>
        <w:t xml:space="preserve">Відповідно до вимог частини другої статті 15 </w:t>
      </w:r>
      <w:r w:rsidRPr="00C12CE8">
        <w:rPr>
          <w:color w:val="000000"/>
          <w:sz w:val="28"/>
          <w:szCs w:val="28"/>
          <w:lang w:val="uk-UA"/>
        </w:rPr>
        <w:t>Закону про НКРЕКП</w:t>
      </w:r>
      <w:r w:rsidRPr="00C12CE8">
        <w:rPr>
          <w:sz w:val="28"/>
          <w:szCs w:val="28"/>
          <w:lang w:val="uk-UA"/>
        </w:rPr>
        <w:t xml:space="preserve"> проєкт постанови </w:t>
      </w:r>
      <w:r w:rsidR="00C12CE8" w:rsidRPr="00C12CE8">
        <w:rPr>
          <w:sz w:val="28"/>
          <w:szCs w:val="28"/>
          <w:lang w:val="uk-UA"/>
        </w:rPr>
        <w:t xml:space="preserve">«Про </w:t>
      </w:r>
      <w:r w:rsidR="00C12CE8">
        <w:rPr>
          <w:sz w:val="28"/>
          <w:szCs w:val="28"/>
          <w:lang w:val="uk-UA"/>
        </w:rPr>
        <w:t xml:space="preserve">внесення змін до </w:t>
      </w:r>
      <w:r w:rsidR="00AE178A">
        <w:rPr>
          <w:sz w:val="28"/>
          <w:szCs w:val="28"/>
          <w:lang w:val="uk-UA"/>
        </w:rPr>
        <w:t>деяких постанов НКРЕКП</w:t>
      </w:r>
      <w:r w:rsidR="00C12CE8" w:rsidRPr="00C12CE8">
        <w:rPr>
          <w:sz w:val="28"/>
          <w:szCs w:val="28"/>
          <w:lang w:val="uk-UA"/>
        </w:rPr>
        <w:t>»</w:t>
      </w:r>
      <w:r w:rsidRPr="00C12CE8">
        <w:rPr>
          <w:color w:val="000000"/>
          <w:sz w:val="28"/>
          <w:szCs w:val="28"/>
          <w:lang w:val="uk-UA"/>
        </w:rPr>
        <w:t xml:space="preserve">, </w:t>
      </w:r>
      <w:r w:rsidRPr="00C12CE8">
        <w:rPr>
          <w:sz w:val="28"/>
          <w:szCs w:val="28"/>
          <w:lang w:val="uk-UA"/>
        </w:rPr>
        <w:t xml:space="preserve">що має ознаки регуляторного акта, разом з матеріалами, що обґрунтовують необхідність прийняття такого рішення, та аналізом його впливу оприлюднено на офіційному </w:t>
      </w:r>
      <w:proofErr w:type="spellStart"/>
      <w:r w:rsidRPr="00C12CE8">
        <w:rPr>
          <w:sz w:val="28"/>
          <w:szCs w:val="28"/>
          <w:lang w:val="uk-UA"/>
        </w:rPr>
        <w:lastRenderedPageBreak/>
        <w:t>вебсайті</w:t>
      </w:r>
      <w:proofErr w:type="spellEnd"/>
      <w:r w:rsidRPr="00C12CE8">
        <w:rPr>
          <w:sz w:val="28"/>
          <w:szCs w:val="28"/>
          <w:lang w:val="uk-UA"/>
        </w:rPr>
        <w:t xml:space="preserve"> НКРЕКП в мережі Інтернет: </w:t>
      </w:r>
      <w:hyperlink r:id="rId5" w:history="1">
        <w:r w:rsidRPr="00C12CE8">
          <w:rPr>
            <w:rStyle w:val="a5"/>
            <w:color w:val="000000"/>
            <w:sz w:val="28"/>
            <w:szCs w:val="28"/>
            <w:lang w:val="uk-UA"/>
          </w:rPr>
          <w:t>http://nerc.gov.ua</w:t>
        </w:r>
      </w:hyperlink>
      <w:r w:rsidRPr="00C12CE8">
        <w:rPr>
          <w:sz w:val="28"/>
          <w:szCs w:val="28"/>
          <w:lang w:val="uk-UA"/>
        </w:rPr>
        <w:t xml:space="preserve"> з метою одержання зауважень і пропозицій від інших органів державної влади, фізичних та юридичних осіб, їх об'єднань та інших заінтересованих осіб.</w:t>
      </w:r>
    </w:p>
    <w:p w:rsidR="00B3339F" w:rsidRPr="00C12CE8" w:rsidRDefault="00B3339F" w:rsidP="00B3339F">
      <w:pPr>
        <w:ind w:firstLine="540"/>
        <w:jc w:val="both"/>
        <w:rPr>
          <w:sz w:val="28"/>
          <w:szCs w:val="28"/>
          <w:lang w:val="uk-UA"/>
        </w:rPr>
      </w:pPr>
      <w:r w:rsidRPr="00C12CE8">
        <w:rPr>
          <w:sz w:val="28"/>
          <w:szCs w:val="28"/>
          <w:lang w:val="uk-UA"/>
        </w:rPr>
        <w:t xml:space="preserve">НКРЕКП у межах компетенції надаватиме необхідні роз’яснення щодо норм </w:t>
      </w:r>
      <w:proofErr w:type="spellStart"/>
      <w:r w:rsidRPr="00C12CE8">
        <w:rPr>
          <w:sz w:val="28"/>
          <w:szCs w:val="28"/>
          <w:lang w:val="uk-UA"/>
        </w:rPr>
        <w:t>проєкту</w:t>
      </w:r>
      <w:proofErr w:type="spellEnd"/>
      <w:r w:rsidRPr="00C12CE8">
        <w:rPr>
          <w:sz w:val="28"/>
          <w:szCs w:val="28"/>
          <w:lang w:val="uk-UA"/>
        </w:rPr>
        <w:t xml:space="preserve"> регуляторного </w:t>
      </w:r>
      <w:proofErr w:type="spellStart"/>
      <w:r w:rsidRPr="00C12CE8">
        <w:rPr>
          <w:sz w:val="28"/>
          <w:szCs w:val="28"/>
          <w:lang w:val="uk-UA"/>
        </w:rPr>
        <w:t>акта</w:t>
      </w:r>
      <w:proofErr w:type="spellEnd"/>
      <w:r w:rsidRPr="00C12CE8">
        <w:rPr>
          <w:sz w:val="28"/>
          <w:szCs w:val="28"/>
          <w:lang w:val="uk-UA"/>
        </w:rPr>
        <w:t xml:space="preserve"> після його прийняття.</w:t>
      </w:r>
    </w:p>
    <w:p w:rsidR="00B3339F" w:rsidRPr="00C12CE8" w:rsidRDefault="00B3339F" w:rsidP="00B3339F">
      <w:pPr>
        <w:widowControl w:val="0"/>
        <w:jc w:val="both"/>
        <w:rPr>
          <w:sz w:val="28"/>
          <w:szCs w:val="28"/>
          <w:lang w:val="uk-UA"/>
        </w:rPr>
      </w:pPr>
    </w:p>
    <w:p w:rsidR="00B3339F" w:rsidRPr="00C12CE8" w:rsidRDefault="00B3339F" w:rsidP="00B3339F">
      <w:pPr>
        <w:ind w:firstLine="540"/>
        <w:jc w:val="both"/>
        <w:rPr>
          <w:b/>
          <w:sz w:val="28"/>
          <w:szCs w:val="28"/>
          <w:lang w:val="uk-UA"/>
        </w:rPr>
      </w:pPr>
      <w:r w:rsidRPr="00C12CE8">
        <w:rPr>
          <w:b/>
          <w:sz w:val="28"/>
          <w:szCs w:val="28"/>
          <w:lang w:val="uk-UA"/>
        </w:rPr>
        <w:t>VIII. Очікувані результати прийняття регуляторного акта</w:t>
      </w:r>
    </w:p>
    <w:p w:rsidR="00B3339F" w:rsidRPr="00C12CE8" w:rsidRDefault="00B3339F" w:rsidP="00B3339F">
      <w:pPr>
        <w:ind w:firstLine="540"/>
        <w:jc w:val="both"/>
        <w:rPr>
          <w:b/>
          <w:sz w:val="28"/>
          <w:szCs w:val="28"/>
          <w:lang w:val="uk-UA"/>
        </w:rPr>
      </w:pPr>
    </w:p>
    <w:p w:rsidR="00AE178A" w:rsidRPr="00AD6542" w:rsidRDefault="00C12CE8" w:rsidP="00AE178A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752BF1">
        <w:rPr>
          <w:sz w:val="28"/>
          <w:szCs w:val="28"/>
          <w:lang w:val="uk-UA"/>
        </w:rPr>
        <w:t xml:space="preserve">Прийняття </w:t>
      </w:r>
      <w:proofErr w:type="spellStart"/>
      <w:r w:rsidRPr="00752BF1">
        <w:rPr>
          <w:sz w:val="28"/>
          <w:szCs w:val="28"/>
          <w:lang w:val="uk-UA"/>
        </w:rPr>
        <w:t>проєкту</w:t>
      </w:r>
      <w:proofErr w:type="spellEnd"/>
      <w:r w:rsidRPr="00752BF1">
        <w:rPr>
          <w:sz w:val="28"/>
          <w:szCs w:val="28"/>
          <w:lang w:val="uk-UA"/>
        </w:rPr>
        <w:t xml:space="preserve"> Постанови НКРЕКП</w:t>
      </w:r>
      <w:r>
        <w:rPr>
          <w:sz w:val="28"/>
          <w:szCs w:val="28"/>
          <w:lang w:val="uk-UA"/>
        </w:rPr>
        <w:t xml:space="preserve"> </w:t>
      </w:r>
      <w:r w:rsidRPr="00C12CE8">
        <w:rPr>
          <w:sz w:val="28"/>
          <w:szCs w:val="28"/>
          <w:lang w:val="uk-UA"/>
        </w:rPr>
        <w:t xml:space="preserve">«Про </w:t>
      </w:r>
      <w:r>
        <w:rPr>
          <w:sz w:val="28"/>
          <w:szCs w:val="28"/>
          <w:lang w:val="uk-UA"/>
        </w:rPr>
        <w:t xml:space="preserve">внесення змін до </w:t>
      </w:r>
      <w:r w:rsidR="00AE178A">
        <w:rPr>
          <w:sz w:val="28"/>
          <w:szCs w:val="28"/>
          <w:lang w:val="uk-UA"/>
        </w:rPr>
        <w:t>деяких постанов НКРЕКП</w:t>
      </w:r>
      <w:r w:rsidRPr="00C12CE8">
        <w:rPr>
          <w:sz w:val="28"/>
          <w:szCs w:val="28"/>
          <w:lang w:val="uk-UA"/>
        </w:rPr>
        <w:t>»</w:t>
      </w:r>
      <w:r w:rsidRPr="00752BF1">
        <w:rPr>
          <w:sz w:val="28"/>
          <w:szCs w:val="28"/>
          <w:lang w:val="uk-UA"/>
        </w:rPr>
        <w:t xml:space="preserve"> </w:t>
      </w:r>
      <w:r w:rsidR="00AE178A">
        <w:rPr>
          <w:sz w:val="28"/>
          <w:szCs w:val="28"/>
          <w:lang w:val="uk-UA"/>
        </w:rPr>
        <w:t xml:space="preserve">забезпечить приведення положень Кодексу газотранспортної системи, Правил постачання природного газу та Типового договору постачання природного газу постачальником «останньої надії» у відповідність до вимог статті 15 Закону про ринок газу та </w:t>
      </w:r>
      <w:r w:rsidR="00AE178A" w:rsidRPr="00AD6542">
        <w:rPr>
          <w:rFonts w:eastAsia="Calibri"/>
          <w:sz w:val="28"/>
          <w:szCs w:val="28"/>
          <w:lang w:val="uk-UA" w:eastAsia="en-US"/>
        </w:rPr>
        <w:t>унеможлив</w:t>
      </w:r>
      <w:r w:rsidR="00AE178A">
        <w:rPr>
          <w:rFonts w:eastAsia="Calibri"/>
          <w:sz w:val="28"/>
          <w:szCs w:val="28"/>
          <w:lang w:val="uk-UA" w:eastAsia="en-US"/>
        </w:rPr>
        <w:t>ить</w:t>
      </w:r>
      <w:r w:rsidR="00AE178A" w:rsidRPr="00AD6542">
        <w:rPr>
          <w:rFonts w:eastAsia="Calibri"/>
          <w:sz w:val="28"/>
          <w:szCs w:val="28"/>
          <w:lang w:val="uk-UA" w:eastAsia="en-US"/>
        </w:rPr>
        <w:t xml:space="preserve"> автоматичн</w:t>
      </w:r>
      <w:r w:rsidR="00AE178A">
        <w:rPr>
          <w:rFonts w:eastAsia="Calibri"/>
          <w:sz w:val="28"/>
          <w:szCs w:val="28"/>
          <w:lang w:val="uk-UA" w:eastAsia="en-US"/>
        </w:rPr>
        <w:t>е</w:t>
      </w:r>
      <w:r w:rsidR="00AE178A" w:rsidRPr="00AD6542">
        <w:rPr>
          <w:rFonts w:eastAsia="Calibri"/>
          <w:sz w:val="28"/>
          <w:szCs w:val="28"/>
          <w:lang w:val="uk-UA" w:eastAsia="en-US"/>
        </w:rPr>
        <w:t xml:space="preserve"> включення Оператора ГРМ в реєстр постачальника «останньої надії» у випадку наявності заборгованості перед постачальником «останньої надії» та неподанням таким постачальником повідомлення на відключення Оператора ГРМ.</w:t>
      </w:r>
    </w:p>
    <w:p w:rsidR="00B3339F" w:rsidRPr="00C12CE8" w:rsidRDefault="00B3339F" w:rsidP="00B3339F">
      <w:pPr>
        <w:widowControl w:val="0"/>
        <w:jc w:val="both"/>
        <w:rPr>
          <w:color w:val="000000"/>
          <w:sz w:val="28"/>
          <w:szCs w:val="28"/>
          <w:lang w:val="uk-UA"/>
        </w:rPr>
      </w:pPr>
    </w:p>
    <w:p w:rsidR="00B3339F" w:rsidRPr="00C12CE8" w:rsidRDefault="00B3339F" w:rsidP="00B3339F">
      <w:pPr>
        <w:pStyle w:val="a3"/>
        <w:widowControl w:val="0"/>
        <w:spacing w:before="0" w:beforeAutospacing="0" w:after="0" w:afterAutospacing="0"/>
        <w:rPr>
          <w:rStyle w:val="spelle"/>
          <w:b/>
          <w:sz w:val="28"/>
          <w:szCs w:val="28"/>
          <w:lang w:val="uk-UA"/>
        </w:rPr>
      </w:pPr>
    </w:p>
    <w:p w:rsidR="00B3339F" w:rsidRPr="00C12CE8" w:rsidRDefault="00B3339F" w:rsidP="00B3339F">
      <w:pPr>
        <w:pStyle w:val="a3"/>
        <w:widowControl w:val="0"/>
        <w:spacing w:before="0" w:beforeAutospacing="0" w:after="0" w:afterAutospacing="0"/>
        <w:rPr>
          <w:rStyle w:val="spelle"/>
          <w:b/>
          <w:sz w:val="28"/>
          <w:szCs w:val="28"/>
          <w:lang w:val="uk-UA"/>
        </w:rPr>
      </w:pPr>
    </w:p>
    <w:p w:rsidR="00B3339F" w:rsidRPr="00C12CE8" w:rsidRDefault="00B3339F" w:rsidP="00B3339F">
      <w:pPr>
        <w:rPr>
          <w:sz w:val="28"/>
          <w:szCs w:val="28"/>
          <w:lang w:val="uk-UA"/>
        </w:rPr>
      </w:pPr>
      <w:r w:rsidRPr="00C12CE8">
        <w:rPr>
          <w:rStyle w:val="spelle"/>
          <w:b/>
          <w:sz w:val="28"/>
          <w:szCs w:val="28"/>
          <w:lang w:val="uk-UA"/>
        </w:rPr>
        <w:t>Голова НКРЕКП</w:t>
      </w:r>
      <w:r w:rsidRPr="00C12CE8">
        <w:rPr>
          <w:rStyle w:val="spelle"/>
          <w:b/>
          <w:sz w:val="28"/>
          <w:szCs w:val="28"/>
          <w:lang w:val="uk-UA"/>
        </w:rPr>
        <w:tab/>
      </w:r>
      <w:r w:rsidRPr="00C12CE8">
        <w:rPr>
          <w:rStyle w:val="spelle"/>
          <w:b/>
          <w:sz w:val="28"/>
          <w:szCs w:val="28"/>
          <w:lang w:val="uk-UA"/>
        </w:rPr>
        <w:tab/>
      </w:r>
      <w:r w:rsidRPr="00C12CE8">
        <w:rPr>
          <w:rStyle w:val="spelle"/>
          <w:b/>
          <w:sz w:val="28"/>
          <w:szCs w:val="28"/>
          <w:lang w:val="uk-UA"/>
        </w:rPr>
        <w:tab/>
      </w:r>
      <w:r w:rsidRPr="00C12CE8">
        <w:rPr>
          <w:rStyle w:val="spelle"/>
          <w:b/>
          <w:sz w:val="28"/>
          <w:szCs w:val="28"/>
          <w:lang w:val="uk-UA"/>
        </w:rPr>
        <w:tab/>
      </w:r>
      <w:r w:rsidR="00C12CE8" w:rsidRPr="00C12CE8">
        <w:rPr>
          <w:rStyle w:val="spelle"/>
          <w:b/>
          <w:sz w:val="28"/>
          <w:szCs w:val="28"/>
          <w:lang w:val="uk-UA"/>
        </w:rPr>
        <w:tab/>
      </w:r>
      <w:r w:rsidR="00C12CE8">
        <w:rPr>
          <w:rStyle w:val="spelle"/>
          <w:b/>
          <w:sz w:val="28"/>
          <w:szCs w:val="28"/>
          <w:lang w:val="uk-UA"/>
        </w:rPr>
        <w:tab/>
      </w:r>
      <w:r w:rsidR="00C12CE8">
        <w:rPr>
          <w:rStyle w:val="spelle"/>
          <w:b/>
          <w:sz w:val="28"/>
          <w:szCs w:val="28"/>
          <w:lang w:val="uk-UA"/>
        </w:rPr>
        <w:tab/>
        <w:t>     </w:t>
      </w:r>
      <w:r w:rsidRPr="00C12CE8">
        <w:rPr>
          <w:rStyle w:val="spelle"/>
          <w:b/>
          <w:sz w:val="28"/>
          <w:szCs w:val="28"/>
          <w:lang w:val="uk-UA"/>
        </w:rPr>
        <w:t>К. Ущаповський</w:t>
      </w:r>
    </w:p>
    <w:sectPr w:rsidR="00B3339F" w:rsidRPr="00C12CE8" w:rsidSect="00B3339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A64A7"/>
    <w:multiLevelType w:val="hybridMultilevel"/>
    <w:tmpl w:val="2E5CDD16"/>
    <w:lvl w:ilvl="0" w:tplc="B96853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A8692E"/>
    <w:multiLevelType w:val="hybridMultilevel"/>
    <w:tmpl w:val="A58A1D28"/>
    <w:lvl w:ilvl="0" w:tplc="5E3A477A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72D517F1"/>
    <w:multiLevelType w:val="hybridMultilevel"/>
    <w:tmpl w:val="9AFE84DA"/>
    <w:lvl w:ilvl="0" w:tplc="40289F1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39F"/>
    <w:rsid w:val="001509ED"/>
    <w:rsid w:val="0032415D"/>
    <w:rsid w:val="003B2D23"/>
    <w:rsid w:val="004F0E6D"/>
    <w:rsid w:val="00730C78"/>
    <w:rsid w:val="00752BF1"/>
    <w:rsid w:val="008E3972"/>
    <w:rsid w:val="00AB41E1"/>
    <w:rsid w:val="00AD6542"/>
    <w:rsid w:val="00AE178A"/>
    <w:rsid w:val="00B3339F"/>
    <w:rsid w:val="00B90343"/>
    <w:rsid w:val="00B95F66"/>
    <w:rsid w:val="00C12CE8"/>
    <w:rsid w:val="00C95F4C"/>
    <w:rsid w:val="00D2518C"/>
    <w:rsid w:val="00EB4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44D4E"/>
  <w15:chartTrackingRefBased/>
  <w15:docId w15:val="{CB484145-D71F-4C6F-94E0-7A6EB9FF9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33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basedOn w:val="a0"/>
    <w:rsid w:val="00B3339F"/>
  </w:style>
  <w:style w:type="paragraph" w:styleId="a3">
    <w:name w:val="Body Text"/>
    <w:basedOn w:val="a"/>
    <w:link w:val="a4"/>
    <w:rsid w:val="00B3339F"/>
    <w:pPr>
      <w:spacing w:before="100" w:beforeAutospacing="1" w:after="100" w:afterAutospacing="1"/>
    </w:pPr>
  </w:style>
  <w:style w:type="character" w:customStyle="1" w:styleId="a4">
    <w:name w:val="Основний текст Знак"/>
    <w:basedOn w:val="a0"/>
    <w:link w:val="a3"/>
    <w:rsid w:val="00B3339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Hyperlink"/>
    <w:rsid w:val="00B3339F"/>
    <w:rPr>
      <w:color w:val="0000FF"/>
      <w:u w:val="single"/>
    </w:rPr>
  </w:style>
  <w:style w:type="paragraph" w:styleId="a6">
    <w:name w:val="Normal (Web)"/>
    <w:basedOn w:val="a"/>
    <w:uiPriority w:val="99"/>
    <w:rsid w:val="00B3339F"/>
    <w:pPr>
      <w:spacing w:before="100" w:beforeAutospacing="1" w:after="100" w:afterAutospacing="1"/>
    </w:pPr>
  </w:style>
  <w:style w:type="character" w:customStyle="1" w:styleId="fontstyle01">
    <w:name w:val="fontstyle01"/>
    <w:basedOn w:val="a0"/>
    <w:rsid w:val="00B3339F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7">
    <w:name w:val="List Paragraph"/>
    <w:basedOn w:val="a"/>
    <w:uiPriority w:val="34"/>
    <w:qFormat/>
    <w:rsid w:val="00B333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38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erc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7031</Words>
  <Characters>4009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NCRE</Company>
  <LinksUpToDate>false</LinksUpToDate>
  <CharactersWithSpaces>11018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Пріщенко</dc:creator>
  <cp:keywords/>
  <dc:description/>
  <cp:lastModifiedBy>Марина Різанова</cp:lastModifiedBy>
  <cp:revision>3</cp:revision>
  <dcterms:created xsi:type="dcterms:W3CDTF">2022-09-19T12:49:00Z</dcterms:created>
  <dcterms:modified xsi:type="dcterms:W3CDTF">2022-09-19T12:50:00Z</dcterms:modified>
</cp:coreProperties>
</file>