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BF5" w:rsidRPr="00C10BF5" w:rsidRDefault="00C10BF5" w:rsidP="00C10BF5">
      <w:pPr>
        <w:pStyle w:val="Default"/>
        <w:jc w:val="center"/>
        <w:rPr>
          <w:b/>
          <w:bCs/>
          <w:color w:val="000000" w:themeColor="text1"/>
          <w:sz w:val="28"/>
          <w:szCs w:val="28"/>
        </w:rPr>
      </w:pPr>
      <w:r w:rsidRPr="00C10BF5">
        <w:rPr>
          <w:b/>
          <w:bCs/>
          <w:color w:val="000000" w:themeColor="text1"/>
          <w:sz w:val="28"/>
          <w:szCs w:val="28"/>
        </w:rPr>
        <w:t>Аналіз регуляторного впливу</w:t>
      </w:r>
    </w:p>
    <w:p w:rsidR="00AB209A" w:rsidRPr="006C3988" w:rsidRDefault="00AB209A" w:rsidP="00AB209A">
      <w:pPr>
        <w:jc w:val="center"/>
        <w:rPr>
          <w:b/>
          <w:bCs/>
          <w:color w:val="000000"/>
          <w:sz w:val="28"/>
          <w:szCs w:val="28"/>
        </w:rPr>
      </w:pPr>
      <w:r w:rsidRPr="006C3988">
        <w:rPr>
          <w:b/>
          <w:sz w:val="28"/>
          <w:szCs w:val="28"/>
        </w:rPr>
        <w:t xml:space="preserve">до </w:t>
      </w:r>
      <w:proofErr w:type="spellStart"/>
      <w:r w:rsidRPr="006C3988">
        <w:rPr>
          <w:b/>
          <w:bCs/>
          <w:color w:val="000000"/>
          <w:sz w:val="28"/>
          <w:szCs w:val="28"/>
        </w:rPr>
        <w:t>проєкту</w:t>
      </w:r>
      <w:proofErr w:type="spellEnd"/>
      <w:r w:rsidRPr="006C3988">
        <w:rPr>
          <w:b/>
          <w:bCs/>
          <w:color w:val="000000"/>
          <w:sz w:val="28"/>
          <w:szCs w:val="28"/>
        </w:rPr>
        <w:t xml:space="preserve"> постанови Кабінету Міністрів України </w:t>
      </w:r>
    </w:p>
    <w:p w:rsidR="00AB209A" w:rsidRPr="006C3988" w:rsidRDefault="00AB209A" w:rsidP="00EF0619">
      <w:pPr>
        <w:ind w:firstLine="709"/>
        <w:jc w:val="center"/>
        <w:rPr>
          <w:b/>
          <w:bCs/>
          <w:color w:val="000000"/>
          <w:sz w:val="28"/>
          <w:szCs w:val="28"/>
        </w:rPr>
      </w:pPr>
      <w:r w:rsidRPr="006C3988">
        <w:rPr>
          <w:color w:val="000000" w:themeColor="text1"/>
          <w:sz w:val="28"/>
          <w:szCs w:val="28"/>
        </w:rPr>
        <w:t xml:space="preserve"> «</w:t>
      </w:r>
      <w:r w:rsidRPr="006C3988">
        <w:rPr>
          <w:b/>
          <w:bCs/>
          <w:color w:val="000000"/>
          <w:sz w:val="28"/>
          <w:szCs w:val="28"/>
        </w:rPr>
        <w:t xml:space="preserve">Про внесення змін до </w:t>
      </w:r>
      <w:r w:rsidR="00EF0619">
        <w:rPr>
          <w:b/>
          <w:bCs/>
          <w:color w:val="000000"/>
          <w:sz w:val="28"/>
          <w:szCs w:val="28"/>
        </w:rPr>
        <w:t>Порядку проведення розрахунків за послуги розподілу природного газу</w:t>
      </w:r>
      <w:r w:rsidRPr="006C3988">
        <w:rPr>
          <w:b/>
          <w:bCs/>
          <w:color w:val="000000"/>
          <w:sz w:val="28"/>
          <w:szCs w:val="28"/>
        </w:rPr>
        <w:t xml:space="preserve">»  </w:t>
      </w:r>
    </w:p>
    <w:p w:rsidR="00C10BF5" w:rsidRPr="00C10BF5" w:rsidRDefault="00C10BF5" w:rsidP="00C10BF5">
      <w:pPr>
        <w:pStyle w:val="HTML"/>
        <w:jc w:val="center"/>
        <w:rPr>
          <w:b/>
          <w:bCs/>
          <w:color w:val="000000" w:themeColor="text1"/>
          <w:sz w:val="28"/>
          <w:szCs w:val="28"/>
        </w:rPr>
      </w:pPr>
    </w:p>
    <w:p w:rsidR="00C10BF5" w:rsidRPr="00722BB1" w:rsidRDefault="00C10BF5" w:rsidP="00C10BF5">
      <w:pPr>
        <w:pStyle w:val="Default"/>
        <w:ind w:firstLine="709"/>
        <w:jc w:val="both"/>
        <w:rPr>
          <w:b/>
          <w:bCs/>
          <w:color w:val="000000" w:themeColor="text1"/>
          <w:sz w:val="28"/>
          <w:szCs w:val="28"/>
        </w:rPr>
      </w:pPr>
      <w:r w:rsidRPr="00722BB1">
        <w:rPr>
          <w:b/>
          <w:bCs/>
          <w:color w:val="000000" w:themeColor="text1"/>
          <w:sz w:val="28"/>
          <w:szCs w:val="28"/>
        </w:rPr>
        <w:t xml:space="preserve">І. Визначення проблеми </w:t>
      </w:r>
    </w:p>
    <w:p w:rsidR="00C10BF5" w:rsidRPr="00722BB1" w:rsidRDefault="00C10BF5" w:rsidP="00C10BF5">
      <w:pPr>
        <w:pStyle w:val="Default"/>
        <w:ind w:firstLine="709"/>
        <w:jc w:val="both"/>
        <w:rPr>
          <w:bCs/>
          <w:color w:val="000000" w:themeColor="text1"/>
          <w:sz w:val="28"/>
          <w:szCs w:val="28"/>
        </w:rPr>
      </w:pPr>
    </w:p>
    <w:p w:rsidR="00EB3299" w:rsidRDefault="00EB3299" w:rsidP="00EB3299">
      <w:pPr>
        <w:ind w:firstLine="448"/>
        <w:jc w:val="both"/>
        <w:rPr>
          <w:rFonts w:eastAsia="Calibri"/>
          <w:sz w:val="28"/>
          <w:szCs w:val="28"/>
        </w:rPr>
      </w:pPr>
      <w:r w:rsidRPr="00722BB1">
        <w:rPr>
          <w:rFonts w:eastAsia="Calibri"/>
          <w:sz w:val="28"/>
          <w:szCs w:val="28"/>
        </w:rPr>
        <w:t xml:space="preserve">19 серпня 2022 року набрав чинності Закон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(далі – Закон), яким </w:t>
      </w:r>
      <w:proofErr w:type="spellStart"/>
      <w:r w:rsidRPr="00722BB1">
        <w:rPr>
          <w:rFonts w:eastAsia="Calibri"/>
          <w:sz w:val="28"/>
          <w:szCs w:val="28"/>
        </w:rPr>
        <w:t>внесено</w:t>
      </w:r>
      <w:proofErr w:type="spellEnd"/>
      <w:r w:rsidRPr="00722BB1">
        <w:rPr>
          <w:rFonts w:eastAsia="Calibri"/>
          <w:sz w:val="28"/>
          <w:szCs w:val="28"/>
        </w:rPr>
        <w:t xml:space="preserve"> зміни, зокрема, до Закону України «Про ринок природного газу» (далі – Закон України)</w:t>
      </w:r>
      <w:r>
        <w:rPr>
          <w:rFonts w:eastAsia="Calibri"/>
          <w:sz w:val="28"/>
          <w:szCs w:val="28"/>
        </w:rPr>
        <w:t>.</w:t>
      </w:r>
    </w:p>
    <w:p w:rsidR="00EB3299" w:rsidRDefault="00EB3299" w:rsidP="00EB3299">
      <w:pPr>
        <w:ind w:firstLine="448"/>
        <w:jc w:val="both"/>
        <w:rPr>
          <w:rFonts w:eastAsia="Calibri"/>
          <w:sz w:val="28"/>
          <w:szCs w:val="28"/>
        </w:rPr>
      </w:pPr>
      <w:r w:rsidRPr="00722BB1">
        <w:rPr>
          <w:rFonts w:eastAsia="Calibri"/>
          <w:sz w:val="28"/>
          <w:szCs w:val="28"/>
        </w:rPr>
        <w:t>Так, змінами до Закону України передбачено, зокрема доповнення суб’єктів ринку природного газу</w:t>
      </w:r>
      <w:r w:rsidR="00554284">
        <w:rPr>
          <w:rFonts w:eastAsia="Calibri"/>
          <w:sz w:val="28"/>
          <w:szCs w:val="28"/>
        </w:rPr>
        <w:t>,</w:t>
      </w:r>
      <w:r w:rsidRPr="00722BB1">
        <w:rPr>
          <w:rFonts w:eastAsia="Calibri"/>
          <w:sz w:val="28"/>
          <w:szCs w:val="28"/>
        </w:rPr>
        <w:t xml:space="preserve"> на поточні рахунки яких перераховуються кошти з поточних рахунків із спеціальним режимом використання операторів газорозподільних систем, що надходять як плата за послуги розподілу природного газу, згідно з нормативами розподілу коштів, затвердженими НКРЕКП</w:t>
      </w:r>
      <w:r>
        <w:rPr>
          <w:rFonts w:eastAsia="Calibri"/>
          <w:sz w:val="28"/>
          <w:szCs w:val="28"/>
        </w:rPr>
        <w:t xml:space="preserve"> </w:t>
      </w:r>
      <w:r w:rsidRPr="00722BB1">
        <w:rPr>
          <w:rFonts w:eastAsia="Calibri"/>
          <w:sz w:val="28"/>
          <w:szCs w:val="28"/>
        </w:rPr>
        <w:t>–</w:t>
      </w:r>
      <w:r>
        <w:rPr>
          <w:rFonts w:eastAsia="Calibri"/>
          <w:sz w:val="28"/>
          <w:szCs w:val="28"/>
        </w:rPr>
        <w:t xml:space="preserve"> </w:t>
      </w:r>
      <w:r w:rsidRPr="00722BB1">
        <w:rPr>
          <w:rFonts w:eastAsia="Calibri"/>
          <w:sz w:val="28"/>
          <w:szCs w:val="28"/>
        </w:rPr>
        <w:t>суб’єкт</w:t>
      </w:r>
      <w:r>
        <w:rPr>
          <w:rFonts w:eastAsia="Calibri"/>
          <w:sz w:val="28"/>
          <w:szCs w:val="28"/>
        </w:rPr>
        <w:t>ом</w:t>
      </w:r>
      <w:r w:rsidRPr="00722BB1">
        <w:rPr>
          <w:rFonts w:eastAsia="Calibri"/>
          <w:sz w:val="28"/>
          <w:szCs w:val="28"/>
        </w:rPr>
        <w:t xml:space="preserve"> ринку природного газу, на якого покладаються спеціальні обов’язки з реалізації природного газу операторам газорозподільних систем та постачальник</w:t>
      </w:r>
      <w:r>
        <w:rPr>
          <w:rFonts w:eastAsia="Calibri"/>
          <w:sz w:val="28"/>
          <w:szCs w:val="28"/>
        </w:rPr>
        <w:t>ом</w:t>
      </w:r>
      <w:r w:rsidRPr="00722BB1">
        <w:rPr>
          <w:rFonts w:eastAsia="Calibri"/>
          <w:sz w:val="28"/>
          <w:szCs w:val="28"/>
        </w:rPr>
        <w:t xml:space="preserve"> «останньої надії» (щодо періодів постачання з листопада </w:t>
      </w:r>
      <w:r w:rsidR="00554284">
        <w:rPr>
          <w:rFonts w:eastAsia="Calibri"/>
          <w:sz w:val="28"/>
          <w:szCs w:val="28"/>
        </w:rPr>
        <w:t xml:space="preserve">      </w:t>
      </w:r>
      <w:r w:rsidRPr="00722BB1">
        <w:rPr>
          <w:rFonts w:eastAsia="Calibri"/>
          <w:sz w:val="28"/>
          <w:szCs w:val="28"/>
        </w:rPr>
        <w:t>2021 року по лютий 2022 року).</w:t>
      </w:r>
    </w:p>
    <w:p w:rsidR="00EB3299" w:rsidRPr="00722BB1" w:rsidRDefault="00EB3299" w:rsidP="00EB3299">
      <w:pPr>
        <w:ind w:firstLine="448"/>
        <w:jc w:val="both"/>
        <w:rPr>
          <w:rFonts w:eastAsia="Calibri"/>
          <w:sz w:val="28"/>
          <w:szCs w:val="28"/>
        </w:rPr>
      </w:pPr>
      <w:r>
        <w:rPr>
          <w:rFonts w:eastAsia="Calibri"/>
          <w:sz w:val="28"/>
          <w:szCs w:val="28"/>
        </w:rPr>
        <w:t>У</w:t>
      </w:r>
      <w:r w:rsidRPr="00722BB1">
        <w:rPr>
          <w:rFonts w:eastAsia="Calibri"/>
          <w:sz w:val="28"/>
          <w:szCs w:val="28"/>
        </w:rPr>
        <w:t xml:space="preserve"> зв’язку з </w:t>
      </w:r>
      <w:r>
        <w:rPr>
          <w:rFonts w:eastAsia="Calibri"/>
          <w:sz w:val="28"/>
          <w:szCs w:val="28"/>
        </w:rPr>
        <w:t>ц</w:t>
      </w:r>
      <w:r w:rsidRPr="00722BB1">
        <w:rPr>
          <w:rFonts w:eastAsia="Calibri"/>
          <w:sz w:val="28"/>
          <w:szCs w:val="28"/>
        </w:rPr>
        <w:t>им</w:t>
      </w:r>
      <w:r>
        <w:rPr>
          <w:rFonts w:eastAsia="Calibri"/>
          <w:sz w:val="28"/>
          <w:szCs w:val="28"/>
        </w:rPr>
        <w:t xml:space="preserve"> виникла </w:t>
      </w:r>
      <w:r w:rsidRPr="00722BB1">
        <w:rPr>
          <w:rFonts w:eastAsia="Calibri"/>
          <w:sz w:val="28"/>
          <w:szCs w:val="28"/>
        </w:rPr>
        <w:t>необхідн</w:t>
      </w:r>
      <w:r>
        <w:rPr>
          <w:rFonts w:eastAsia="Calibri"/>
          <w:sz w:val="28"/>
          <w:szCs w:val="28"/>
        </w:rPr>
        <w:t>ість</w:t>
      </w:r>
      <w:r w:rsidRPr="00722BB1">
        <w:rPr>
          <w:rFonts w:eastAsia="Calibri"/>
          <w:sz w:val="28"/>
          <w:szCs w:val="28"/>
        </w:rPr>
        <w:t xml:space="preserve"> внес</w:t>
      </w:r>
      <w:r>
        <w:rPr>
          <w:rFonts w:eastAsia="Calibri"/>
          <w:sz w:val="28"/>
          <w:szCs w:val="28"/>
        </w:rPr>
        <w:t>ення</w:t>
      </w:r>
      <w:r w:rsidRPr="00722BB1">
        <w:rPr>
          <w:rFonts w:eastAsia="Calibri"/>
          <w:sz w:val="28"/>
          <w:szCs w:val="28"/>
        </w:rPr>
        <w:t xml:space="preserve"> змін до Порядку проведення розрахунків за послуги розподілу природного газу, затвердженого постановою Кабінету Міністрів України від 20 жовтня 2021 р. № 1080 (далі – Порядок).</w:t>
      </w:r>
    </w:p>
    <w:p w:rsidR="00EB3299" w:rsidRDefault="00EB3299" w:rsidP="00C10BF5">
      <w:pPr>
        <w:ind w:firstLine="448"/>
        <w:jc w:val="both"/>
        <w:rPr>
          <w:rFonts w:eastAsia="Times New Roman"/>
          <w:color w:val="000000"/>
          <w:sz w:val="28"/>
          <w:szCs w:val="28"/>
        </w:rPr>
      </w:pPr>
      <w:r>
        <w:rPr>
          <w:rFonts w:eastAsia="Calibri"/>
          <w:sz w:val="28"/>
          <w:szCs w:val="28"/>
        </w:rPr>
        <w:t xml:space="preserve">З огляду на зазначене, </w:t>
      </w:r>
      <w:r w:rsidRPr="00722BB1">
        <w:rPr>
          <w:rFonts w:eastAsia="Times New Roman"/>
          <w:color w:val="000000"/>
          <w:sz w:val="28"/>
          <w:szCs w:val="28"/>
        </w:rPr>
        <w:t>Національною комісією, що здійснює державне регулювання у сферах енергетики та комунальних послуг (далі – НКРЕКП</w:t>
      </w:r>
      <w:r>
        <w:rPr>
          <w:rFonts w:eastAsia="Times New Roman"/>
          <w:color w:val="000000"/>
          <w:sz w:val="28"/>
          <w:szCs w:val="28"/>
        </w:rPr>
        <w:t>, Регулятор</w:t>
      </w:r>
      <w:r w:rsidRPr="00722BB1">
        <w:rPr>
          <w:rFonts w:eastAsia="Times New Roman"/>
          <w:color w:val="000000"/>
          <w:sz w:val="28"/>
          <w:szCs w:val="28"/>
        </w:rPr>
        <w:t>)</w:t>
      </w:r>
      <w:r w:rsidR="00554284">
        <w:rPr>
          <w:rFonts w:eastAsia="Times New Roman"/>
          <w:color w:val="000000"/>
          <w:sz w:val="28"/>
          <w:szCs w:val="28"/>
        </w:rPr>
        <w:t>,</w:t>
      </w:r>
      <w:r w:rsidRPr="00EB3299">
        <w:rPr>
          <w:rFonts w:eastAsia="Times New Roman"/>
          <w:color w:val="000000"/>
          <w:sz w:val="28"/>
          <w:szCs w:val="28"/>
        </w:rPr>
        <w:t xml:space="preserve"> </w:t>
      </w:r>
      <w:r w:rsidRPr="00722BB1">
        <w:rPr>
          <w:rFonts w:eastAsia="Times New Roman"/>
          <w:color w:val="000000"/>
          <w:sz w:val="28"/>
          <w:szCs w:val="28"/>
        </w:rPr>
        <w:t>розроблено</w:t>
      </w:r>
      <w:r>
        <w:rPr>
          <w:rFonts w:eastAsia="Times New Roman"/>
          <w:color w:val="000000"/>
          <w:sz w:val="28"/>
          <w:szCs w:val="28"/>
        </w:rPr>
        <w:t xml:space="preserve"> </w:t>
      </w:r>
      <w:proofErr w:type="spellStart"/>
      <w:r>
        <w:rPr>
          <w:rFonts w:eastAsia="Times New Roman"/>
          <w:color w:val="000000"/>
          <w:sz w:val="28"/>
          <w:szCs w:val="28"/>
        </w:rPr>
        <w:t>п</w:t>
      </w:r>
      <w:r w:rsidR="00C10BF5" w:rsidRPr="00722BB1">
        <w:rPr>
          <w:rFonts w:eastAsia="Times New Roman"/>
          <w:color w:val="000000"/>
          <w:sz w:val="28"/>
          <w:szCs w:val="28"/>
        </w:rPr>
        <w:t>роєкт</w:t>
      </w:r>
      <w:proofErr w:type="spellEnd"/>
      <w:r w:rsidR="00C10BF5" w:rsidRPr="00722BB1">
        <w:rPr>
          <w:rFonts w:eastAsia="Times New Roman"/>
          <w:color w:val="000000"/>
          <w:sz w:val="28"/>
          <w:szCs w:val="28"/>
        </w:rPr>
        <w:t xml:space="preserve"> постанови Кабінету Міністрів України </w:t>
      </w:r>
      <w:r w:rsidR="00E95DF8" w:rsidRPr="00722BB1">
        <w:rPr>
          <w:rFonts w:eastAsia="Times New Roman"/>
          <w:color w:val="000000"/>
          <w:sz w:val="28"/>
          <w:szCs w:val="28"/>
        </w:rPr>
        <w:t>«Про внесення змін до</w:t>
      </w:r>
      <w:r w:rsidR="00EF0619" w:rsidRPr="00722BB1">
        <w:rPr>
          <w:rFonts w:eastAsia="Times New Roman"/>
          <w:color w:val="000000"/>
          <w:sz w:val="28"/>
          <w:szCs w:val="28"/>
        </w:rPr>
        <w:t xml:space="preserve"> Порядку проведення розрахунків за послуги розподілу природного газу</w:t>
      </w:r>
      <w:r w:rsidR="00C10BF5" w:rsidRPr="00722BB1">
        <w:rPr>
          <w:rFonts w:eastAsia="Times New Roman"/>
          <w:color w:val="000000"/>
          <w:sz w:val="28"/>
          <w:szCs w:val="28"/>
        </w:rPr>
        <w:t xml:space="preserve">» (далі – </w:t>
      </w:r>
      <w:proofErr w:type="spellStart"/>
      <w:r w:rsidR="00C10BF5" w:rsidRPr="00722BB1">
        <w:rPr>
          <w:rFonts w:eastAsia="Times New Roman"/>
          <w:color w:val="000000"/>
          <w:sz w:val="28"/>
          <w:szCs w:val="28"/>
        </w:rPr>
        <w:t>проєкт</w:t>
      </w:r>
      <w:proofErr w:type="spellEnd"/>
      <w:r w:rsidR="00C10BF5" w:rsidRPr="00722BB1">
        <w:rPr>
          <w:rFonts w:eastAsia="Times New Roman"/>
          <w:color w:val="000000"/>
          <w:sz w:val="28"/>
          <w:szCs w:val="28"/>
        </w:rPr>
        <w:t xml:space="preserve"> постанови)</w:t>
      </w:r>
      <w:r>
        <w:rPr>
          <w:rFonts w:eastAsia="Times New Roman"/>
          <w:color w:val="000000"/>
          <w:sz w:val="28"/>
          <w:szCs w:val="28"/>
        </w:rPr>
        <w:t>.</w:t>
      </w:r>
    </w:p>
    <w:p w:rsidR="00EC3857" w:rsidRPr="00722BB1" w:rsidRDefault="00EC3857" w:rsidP="00EC3857">
      <w:pPr>
        <w:ind w:firstLine="426"/>
        <w:jc w:val="both"/>
        <w:rPr>
          <w:rFonts w:eastAsia="Calibri"/>
          <w:sz w:val="28"/>
          <w:szCs w:val="28"/>
        </w:rPr>
      </w:pPr>
    </w:p>
    <w:p w:rsidR="00C10BF5" w:rsidRPr="00705EA6" w:rsidRDefault="00C10BF5" w:rsidP="00C10BF5">
      <w:pPr>
        <w:pStyle w:val="Default"/>
        <w:ind w:firstLine="709"/>
        <w:jc w:val="center"/>
        <w:rPr>
          <w:sz w:val="28"/>
          <w:szCs w:val="28"/>
        </w:rPr>
      </w:pPr>
      <w:r w:rsidRPr="00722BB1">
        <w:rPr>
          <w:sz w:val="28"/>
          <w:szCs w:val="28"/>
        </w:rPr>
        <w:t>Основні групи (підгрупи), на</w:t>
      </w:r>
      <w:r w:rsidRPr="00705EA6">
        <w:rPr>
          <w:sz w:val="28"/>
          <w:szCs w:val="28"/>
        </w:rPr>
        <w:t xml:space="preserve"> які проблеми справляють вплив:</w:t>
      </w:r>
    </w:p>
    <w:p w:rsidR="00C10BF5" w:rsidRPr="00705EA6" w:rsidRDefault="00C10BF5" w:rsidP="00C10BF5">
      <w:pPr>
        <w:jc w:val="both"/>
        <w:rPr>
          <w:rFonts w:eastAsia="Calibri"/>
          <w:sz w:val="26"/>
          <w:szCs w:val="26"/>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317"/>
        <w:gridCol w:w="2783"/>
        <w:gridCol w:w="2522"/>
      </w:tblGrid>
      <w:tr w:rsidR="00C10BF5" w:rsidRPr="00705EA6" w:rsidTr="00C10BF5">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C10BF5" w:rsidRPr="00705EA6" w:rsidRDefault="00C10BF5" w:rsidP="00C10BF5">
            <w:pPr>
              <w:pStyle w:val="a5"/>
              <w:jc w:val="center"/>
              <w:rPr>
                <w:rFonts w:ascii="Times New Roman" w:hAnsi="Times New Roman" w:cs="Times New Roman"/>
                <w:sz w:val="28"/>
                <w:szCs w:val="28"/>
                <w:lang w:val="uk-UA"/>
              </w:rPr>
            </w:pPr>
            <w:r w:rsidRPr="00705EA6">
              <w:rPr>
                <w:rFonts w:ascii="Times New Roman" w:hAnsi="Times New Roman" w:cs="Times New Roman"/>
                <w:sz w:val="28"/>
                <w:szCs w:val="28"/>
                <w:lang w:val="uk-UA"/>
              </w:rPr>
              <w:t>Групи (підгрупи)</w:t>
            </w:r>
          </w:p>
        </w:tc>
        <w:tc>
          <w:tcPr>
            <w:tcW w:w="1450" w:type="pct"/>
            <w:tcBorders>
              <w:top w:val="outset" w:sz="6" w:space="0" w:color="auto"/>
              <w:left w:val="outset" w:sz="6" w:space="0" w:color="auto"/>
              <w:bottom w:val="outset" w:sz="6" w:space="0" w:color="auto"/>
              <w:right w:val="outset" w:sz="6" w:space="0" w:color="auto"/>
            </w:tcBorders>
            <w:hideMark/>
          </w:tcPr>
          <w:p w:rsidR="00C10BF5" w:rsidRPr="00705EA6" w:rsidRDefault="00C10BF5" w:rsidP="00C10BF5">
            <w:pPr>
              <w:pStyle w:val="a5"/>
              <w:jc w:val="center"/>
              <w:rPr>
                <w:rFonts w:ascii="Times New Roman" w:hAnsi="Times New Roman" w:cs="Times New Roman"/>
                <w:sz w:val="28"/>
                <w:szCs w:val="28"/>
                <w:lang w:val="uk-UA"/>
              </w:rPr>
            </w:pPr>
            <w:r w:rsidRPr="00705EA6">
              <w:rPr>
                <w:rFonts w:ascii="Times New Roman" w:hAnsi="Times New Roman" w:cs="Times New Roman"/>
                <w:sz w:val="28"/>
                <w:szCs w:val="28"/>
                <w:lang w:val="uk-UA"/>
              </w:rPr>
              <w:t>Так</w:t>
            </w:r>
          </w:p>
        </w:tc>
        <w:tc>
          <w:tcPr>
            <w:tcW w:w="1300" w:type="pct"/>
            <w:tcBorders>
              <w:top w:val="outset" w:sz="6" w:space="0" w:color="auto"/>
              <w:left w:val="outset" w:sz="6" w:space="0" w:color="auto"/>
              <w:bottom w:val="outset" w:sz="6" w:space="0" w:color="auto"/>
              <w:right w:val="outset" w:sz="6" w:space="0" w:color="auto"/>
            </w:tcBorders>
            <w:hideMark/>
          </w:tcPr>
          <w:p w:rsidR="00C10BF5" w:rsidRPr="00705EA6" w:rsidRDefault="00C10BF5" w:rsidP="00C10BF5">
            <w:pPr>
              <w:pStyle w:val="a5"/>
              <w:jc w:val="center"/>
              <w:rPr>
                <w:rFonts w:ascii="Times New Roman" w:hAnsi="Times New Roman" w:cs="Times New Roman"/>
                <w:sz w:val="28"/>
                <w:szCs w:val="28"/>
                <w:lang w:val="uk-UA"/>
              </w:rPr>
            </w:pPr>
            <w:r w:rsidRPr="00705EA6">
              <w:rPr>
                <w:rFonts w:ascii="Times New Roman" w:hAnsi="Times New Roman" w:cs="Times New Roman"/>
                <w:sz w:val="28"/>
                <w:szCs w:val="28"/>
                <w:lang w:val="uk-UA"/>
              </w:rPr>
              <w:t>Ні</w:t>
            </w:r>
          </w:p>
        </w:tc>
      </w:tr>
      <w:tr w:rsidR="00C10BF5" w:rsidRPr="00705EA6" w:rsidTr="00C10BF5">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C10BF5" w:rsidRPr="00705EA6" w:rsidRDefault="00C10BF5" w:rsidP="00C10BF5">
            <w:pPr>
              <w:pStyle w:val="a5"/>
              <w:rPr>
                <w:rFonts w:ascii="Times New Roman" w:hAnsi="Times New Roman" w:cs="Times New Roman"/>
                <w:sz w:val="28"/>
                <w:szCs w:val="28"/>
                <w:lang w:val="uk-UA"/>
              </w:rPr>
            </w:pPr>
            <w:r w:rsidRPr="00705EA6">
              <w:rPr>
                <w:rFonts w:ascii="Times New Roman" w:hAnsi="Times New Roman" w:cs="Times New Roman"/>
                <w:sz w:val="28"/>
                <w:szCs w:val="28"/>
                <w:lang w:val="uk-UA"/>
              </w:rPr>
              <w:t>Громадяни</w:t>
            </w:r>
          </w:p>
        </w:tc>
        <w:tc>
          <w:tcPr>
            <w:tcW w:w="1450" w:type="pct"/>
            <w:tcBorders>
              <w:top w:val="outset" w:sz="6" w:space="0" w:color="auto"/>
              <w:left w:val="outset" w:sz="6" w:space="0" w:color="auto"/>
              <w:bottom w:val="outset" w:sz="6" w:space="0" w:color="auto"/>
              <w:right w:val="outset" w:sz="6" w:space="0" w:color="auto"/>
            </w:tcBorders>
            <w:hideMark/>
          </w:tcPr>
          <w:p w:rsidR="00C10BF5" w:rsidRPr="00705EA6" w:rsidRDefault="00C10BF5" w:rsidP="00C10BF5">
            <w:pPr>
              <w:pStyle w:val="a5"/>
              <w:jc w:val="center"/>
              <w:rPr>
                <w:rFonts w:ascii="Times New Roman" w:hAnsi="Times New Roman" w:cs="Times New Roman"/>
                <w:sz w:val="28"/>
                <w:szCs w:val="28"/>
                <w:lang w:val="uk-UA"/>
              </w:rPr>
            </w:pPr>
          </w:p>
        </w:tc>
        <w:tc>
          <w:tcPr>
            <w:tcW w:w="1300" w:type="pct"/>
            <w:tcBorders>
              <w:top w:val="outset" w:sz="6" w:space="0" w:color="auto"/>
              <w:left w:val="outset" w:sz="6" w:space="0" w:color="auto"/>
              <w:bottom w:val="outset" w:sz="6" w:space="0" w:color="auto"/>
              <w:right w:val="outset" w:sz="6" w:space="0" w:color="auto"/>
            </w:tcBorders>
            <w:hideMark/>
          </w:tcPr>
          <w:p w:rsidR="00C10BF5" w:rsidRPr="00705EA6" w:rsidRDefault="00C10BF5" w:rsidP="00C10BF5">
            <w:pPr>
              <w:pStyle w:val="a5"/>
              <w:jc w:val="center"/>
              <w:rPr>
                <w:rFonts w:ascii="Times New Roman" w:hAnsi="Times New Roman" w:cs="Times New Roman"/>
                <w:sz w:val="28"/>
                <w:szCs w:val="28"/>
                <w:lang w:val="uk-UA"/>
              </w:rPr>
            </w:pPr>
            <w:r w:rsidRPr="00705EA6">
              <w:rPr>
                <w:rFonts w:ascii="Times New Roman" w:hAnsi="Times New Roman" w:cs="Times New Roman"/>
                <w:sz w:val="28"/>
                <w:szCs w:val="28"/>
                <w:lang w:val="uk-UA"/>
              </w:rPr>
              <w:t>Ні</w:t>
            </w:r>
          </w:p>
        </w:tc>
      </w:tr>
      <w:tr w:rsidR="00C10BF5" w:rsidRPr="00705EA6" w:rsidTr="00C10BF5">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C10BF5" w:rsidRPr="00705EA6" w:rsidRDefault="00C10BF5" w:rsidP="00C10BF5">
            <w:pPr>
              <w:pStyle w:val="a5"/>
              <w:rPr>
                <w:rFonts w:ascii="Times New Roman" w:hAnsi="Times New Roman" w:cs="Times New Roman"/>
                <w:sz w:val="28"/>
                <w:szCs w:val="28"/>
                <w:lang w:val="uk-UA"/>
              </w:rPr>
            </w:pPr>
            <w:r w:rsidRPr="00705EA6">
              <w:rPr>
                <w:rFonts w:ascii="Times New Roman" w:hAnsi="Times New Roman" w:cs="Times New Roman"/>
                <w:sz w:val="28"/>
                <w:szCs w:val="28"/>
                <w:lang w:val="uk-UA"/>
              </w:rPr>
              <w:t>Держава</w:t>
            </w:r>
          </w:p>
        </w:tc>
        <w:tc>
          <w:tcPr>
            <w:tcW w:w="1450" w:type="pct"/>
            <w:tcBorders>
              <w:top w:val="outset" w:sz="6" w:space="0" w:color="auto"/>
              <w:left w:val="outset" w:sz="6" w:space="0" w:color="auto"/>
              <w:bottom w:val="outset" w:sz="6" w:space="0" w:color="auto"/>
              <w:right w:val="outset" w:sz="6" w:space="0" w:color="auto"/>
            </w:tcBorders>
            <w:hideMark/>
          </w:tcPr>
          <w:p w:rsidR="00C10BF5" w:rsidRPr="00705EA6" w:rsidRDefault="00C10BF5" w:rsidP="00C10BF5">
            <w:pPr>
              <w:pStyle w:val="a5"/>
              <w:jc w:val="center"/>
              <w:rPr>
                <w:rFonts w:ascii="Times New Roman" w:hAnsi="Times New Roman" w:cs="Times New Roman"/>
                <w:sz w:val="28"/>
                <w:szCs w:val="28"/>
                <w:lang w:val="uk-UA"/>
              </w:rPr>
            </w:pPr>
            <w:r w:rsidRPr="00705EA6">
              <w:rPr>
                <w:rFonts w:ascii="Times New Roman" w:hAnsi="Times New Roman" w:cs="Times New Roman"/>
                <w:sz w:val="28"/>
                <w:szCs w:val="28"/>
                <w:lang w:val="uk-UA"/>
              </w:rPr>
              <w:t>Так</w:t>
            </w:r>
          </w:p>
        </w:tc>
        <w:tc>
          <w:tcPr>
            <w:tcW w:w="1300" w:type="pct"/>
            <w:tcBorders>
              <w:top w:val="outset" w:sz="6" w:space="0" w:color="auto"/>
              <w:left w:val="outset" w:sz="6" w:space="0" w:color="auto"/>
              <w:bottom w:val="outset" w:sz="6" w:space="0" w:color="auto"/>
              <w:right w:val="outset" w:sz="6" w:space="0" w:color="auto"/>
            </w:tcBorders>
            <w:hideMark/>
          </w:tcPr>
          <w:p w:rsidR="00C10BF5" w:rsidRPr="00705EA6" w:rsidRDefault="00C10BF5" w:rsidP="00C10BF5">
            <w:pPr>
              <w:pStyle w:val="a5"/>
              <w:jc w:val="center"/>
              <w:rPr>
                <w:rFonts w:ascii="Times New Roman" w:hAnsi="Times New Roman" w:cs="Times New Roman"/>
                <w:sz w:val="28"/>
                <w:szCs w:val="28"/>
                <w:lang w:val="uk-UA"/>
              </w:rPr>
            </w:pPr>
          </w:p>
        </w:tc>
      </w:tr>
      <w:tr w:rsidR="00C10BF5" w:rsidRPr="00705EA6" w:rsidTr="00C10BF5">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C10BF5" w:rsidRPr="00705EA6" w:rsidRDefault="00C10BF5" w:rsidP="00C10BF5">
            <w:pPr>
              <w:pStyle w:val="a5"/>
              <w:rPr>
                <w:rFonts w:ascii="Times New Roman" w:hAnsi="Times New Roman" w:cs="Times New Roman"/>
                <w:sz w:val="28"/>
                <w:szCs w:val="28"/>
                <w:lang w:val="uk-UA"/>
              </w:rPr>
            </w:pPr>
            <w:r w:rsidRPr="00705EA6">
              <w:rPr>
                <w:rFonts w:ascii="Times New Roman" w:hAnsi="Times New Roman" w:cs="Times New Roman"/>
                <w:sz w:val="28"/>
                <w:szCs w:val="28"/>
                <w:lang w:val="uk-UA"/>
              </w:rPr>
              <w:t>Суб'єкти господарювання,</w:t>
            </w:r>
          </w:p>
        </w:tc>
        <w:tc>
          <w:tcPr>
            <w:tcW w:w="1450" w:type="pct"/>
            <w:tcBorders>
              <w:top w:val="outset" w:sz="6" w:space="0" w:color="auto"/>
              <w:left w:val="outset" w:sz="6" w:space="0" w:color="auto"/>
              <w:bottom w:val="outset" w:sz="6" w:space="0" w:color="auto"/>
              <w:right w:val="outset" w:sz="6" w:space="0" w:color="auto"/>
            </w:tcBorders>
            <w:hideMark/>
          </w:tcPr>
          <w:p w:rsidR="00C10BF5" w:rsidRPr="00705EA6" w:rsidRDefault="00C10BF5" w:rsidP="00C10BF5">
            <w:pPr>
              <w:pStyle w:val="a5"/>
              <w:jc w:val="center"/>
              <w:rPr>
                <w:rFonts w:ascii="Times New Roman" w:hAnsi="Times New Roman" w:cs="Times New Roman"/>
                <w:sz w:val="28"/>
                <w:szCs w:val="28"/>
                <w:lang w:val="uk-UA"/>
              </w:rPr>
            </w:pPr>
            <w:r w:rsidRPr="00705EA6">
              <w:rPr>
                <w:rFonts w:ascii="Times New Roman" w:hAnsi="Times New Roman" w:cs="Times New Roman"/>
                <w:sz w:val="28"/>
                <w:szCs w:val="28"/>
                <w:lang w:val="uk-UA"/>
              </w:rPr>
              <w:t>Так</w:t>
            </w:r>
          </w:p>
        </w:tc>
        <w:tc>
          <w:tcPr>
            <w:tcW w:w="1300" w:type="pct"/>
            <w:tcBorders>
              <w:top w:val="outset" w:sz="6" w:space="0" w:color="auto"/>
              <w:left w:val="outset" w:sz="6" w:space="0" w:color="auto"/>
              <w:bottom w:val="outset" w:sz="6" w:space="0" w:color="auto"/>
              <w:right w:val="outset" w:sz="6" w:space="0" w:color="auto"/>
            </w:tcBorders>
            <w:hideMark/>
          </w:tcPr>
          <w:p w:rsidR="00C10BF5" w:rsidRPr="00705EA6" w:rsidRDefault="00C10BF5" w:rsidP="00C10BF5">
            <w:pPr>
              <w:pStyle w:val="a5"/>
              <w:jc w:val="center"/>
              <w:rPr>
                <w:rFonts w:ascii="Times New Roman" w:hAnsi="Times New Roman" w:cs="Times New Roman"/>
                <w:sz w:val="28"/>
                <w:szCs w:val="28"/>
                <w:lang w:val="uk-UA"/>
              </w:rPr>
            </w:pPr>
          </w:p>
        </w:tc>
      </w:tr>
      <w:tr w:rsidR="00C10BF5" w:rsidRPr="00705EA6" w:rsidTr="00C10BF5">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C10BF5" w:rsidRPr="00705EA6" w:rsidRDefault="00C10BF5" w:rsidP="00C10BF5">
            <w:pPr>
              <w:pStyle w:val="a5"/>
              <w:rPr>
                <w:rFonts w:ascii="Times New Roman" w:hAnsi="Times New Roman" w:cs="Times New Roman"/>
                <w:sz w:val="28"/>
                <w:szCs w:val="28"/>
                <w:lang w:val="uk-UA"/>
              </w:rPr>
            </w:pPr>
            <w:r w:rsidRPr="00705EA6">
              <w:rPr>
                <w:rFonts w:ascii="Times New Roman" w:hAnsi="Times New Roman" w:cs="Times New Roman"/>
                <w:sz w:val="28"/>
                <w:szCs w:val="28"/>
                <w:lang w:val="uk-UA"/>
              </w:rPr>
              <w:t>у тому числі суб'єкти малого підприємництва*</w:t>
            </w:r>
          </w:p>
        </w:tc>
        <w:tc>
          <w:tcPr>
            <w:tcW w:w="1450" w:type="pct"/>
            <w:tcBorders>
              <w:top w:val="outset" w:sz="6" w:space="0" w:color="auto"/>
              <w:left w:val="outset" w:sz="6" w:space="0" w:color="auto"/>
              <w:bottom w:val="outset" w:sz="6" w:space="0" w:color="auto"/>
              <w:right w:val="outset" w:sz="6" w:space="0" w:color="auto"/>
            </w:tcBorders>
            <w:hideMark/>
          </w:tcPr>
          <w:p w:rsidR="00C10BF5" w:rsidRPr="00705EA6" w:rsidRDefault="00C10BF5" w:rsidP="00C10BF5">
            <w:pPr>
              <w:pStyle w:val="a5"/>
              <w:jc w:val="center"/>
              <w:rPr>
                <w:rFonts w:ascii="Times New Roman" w:hAnsi="Times New Roman" w:cs="Times New Roman"/>
                <w:sz w:val="28"/>
                <w:szCs w:val="28"/>
                <w:lang w:val="uk-UA"/>
              </w:rPr>
            </w:pPr>
            <w:r w:rsidRPr="00705EA6">
              <w:rPr>
                <w:rFonts w:ascii="Times New Roman" w:hAnsi="Times New Roman" w:cs="Times New Roman"/>
                <w:sz w:val="28"/>
                <w:szCs w:val="28"/>
                <w:lang w:val="uk-UA"/>
              </w:rPr>
              <w:t>Так</w:t>
            </w:r>
          </w:p>
        </w:tc>
        <w:tc>
          <w:tcPr>
            <w:tcW w:w="1300" w:type="pct"/>
            <w:tcBorders>
              <w:top w:val="outset" w:sz="6" w:space="0" w:color="auto"/>
              <w:left w:val="outset" w:sz="6" w:space="0" w:color="auto"/>
              <w:bottom w:val="outset" w:sz="6" w:space="0" w:color="auto"/>
              <w:right w:val="outset" w:sz="6" w:space="0" w:color="auto"/>
            </w:tcBorders>
            <w:hideMark/>
          </w:tcPr>
          <w:p w:rsidR="00C10BF5" w:rsidRPr="00705EA6" w:rsidRDefault="00C10BF5" w:rsidP="00C10BF5">
            <w:pPr>
              <w:pStyle w:val="a5"/>
              <w:jc w:val="center"/>
              <w:rPr>
                <w:rFonts w:ascii="Times New Roman" w:hAnsi="Times New Roman" w:cs="Times New Roman"/>
                <w:sz w:val="28"/>
                <w:szCs w:val="28"/>
                <w:lang w:val="uk-UA"/>
              </w:rPr>
            </w:pPr>
          </w:p>
        </w:tc>
      </w:tr>
    </w:tbl>
    <w:p w:rsidR="00722BB1" w:rsidRDefault="00722BB1" w:rsidP="00C10BF5">
      <w:pPr>
        <w:pStyle w:val="Default"/>
        <w:ind w:firstLine="709"/>
        <w:jc w:val="both"/>
        <w:rPr>
          <w:color w:val="000000" w:themeColor="text1"/>
          <w:sz w:val="28"/>
          <w:szCs w:val="28"/>
        </w:rPr>
      </w:pPr>
    </w:p>
    <w:p w:rsidR="00C10BF5" w:rsidRPr="00705EA6" w:rsidRDefault="00C10BF5" w:rsidP="00C10BF5">
      <w:pPr>
        <w:pStyle w:val="Default"/>
        <w:ind w:firstLine="709"/>
        <w:jc w:val="both"/>
        <w:rPr>
          <w:color w:val="000000" w:themeColor="text1"/>
          <w:sz w:val="28"/>
          <w:szCs w:val="28"/>
        </w:rPr>
      </w:pPr>
      <w:r w:rsidRPr="00705EA6">
        <w:rPr>
          <w:color w:val="000000" w:themeColor="text1"/>
          <w:sz w:val="28"/>
          <w:szCs w:val="28"/>
        </w:rPr>
        <w:t>Ця проблема не може бути розв’язана за допомогою ринкових механізмів, оскільки потребує нормативно-правового врегулювання.</w:t>
      </w:r>
    </w:p>
    <w:p w:rsidR="00C10BF5" w:rsidRPr="00705EA6" w:rsidRDefault="00C10BF5" w:rsidP="00C10BF5">
      <w:pPr>
        <w:pStyle w:val="Default"/>
        <w:ind w:firstLine="709"/>
        <w:jc w:val="both"/>
        <w:rPr>
          <w:color w:val="auto"/>
          <w:sz w:val="28"/>
          <w:szCs w:val="28"/>
        </w:rPr>
      </w:pPr>
      <w:r w:rsidRPr="00705EA6">
        <w:rPr>
          <w:color w:val="000000" w:themeColor="text1"/>
          <w:sz w:val="28"/>
          <w:szCs w:val="28"/>
        </w:rPr>
        <w:t xml:space="preserve">На даний час відсутні регуляторні акти, які б вирішували </w:t>
      </w:r>
      <w:r w:rsidR="0009264F">
        <w:rPr>
          <w:color w:val="000000" w:themeColor="text1"/>
          <w:sz w:val="28"/>
          <w:szCs w:val="28"/>
        </w:rPr>
        <w:t xml:space="preserve">дану </w:t>
      </w:r>
      <w:r w:rsidRPr="00705EA6">
        <w:rPr>
          <w:color w:val="000000" w:themeColor="text1"/>
          <w:sz w:val="28"/>
          <w:szCs w:val="28"/>
        </w:rPr>
        <w:t>проблему</w:t>
      </w:r>
      <w:r w:rsidRPr="00705EA6">
        <w:rPr>
          <w:color w:val="auto"/>
          <w:sz w:val="28"/>
          <w:szCs w:val="28"/>
        </w:rPr>
        <w:t>.</w:t>
      </w:r>
    </w:p>
    <w:p w:rsidR="00C10BF5" w:rsidRPr="00705EA6" w:rsidRDefault="00C10BF5" w:rsidP="00C10BF5">
      <w:pPr>
        <w:pStyle w:val="Default"/>
        <w:ind w:firstLine="709"/>
        <w:jc w:val="both"/>
        <w:rPr>
          <w:color w:val="000000" w:themeColor="text1"/>
          <w:sz w:val="28"/>
          <w:szCs w:val="28"/>
        </w:rPr>
      </w:pPr>
    </w:p>
    <w:p w:rsidR="00C10BF5" w:rsidRPr="00C10BF5" w:rsidRDefault="00C10BF5" w:rsidP="00C10BF5">
      <w:pPr>
        <w:pStyle w:val="Default"/>
        <w:ind w:firstLine="709"/>
        <w:jc w:val="both"/>
        <w:rPr>
          <w:b/>
          <w:bCs/>
          <w:color w:val="000000" w:themeColor="text1"/>
          <w:sz w:val="28"/>
          <w:szCs w:val="28"/>
        </w:rPr>
      </w:pPr>
      <w:r w:rsidRPr="00C10BF5">
        <w:rPr>
          <w:b/>
          <w:bCs/>
          <w:color w:val="000000" w:themeColor="text1"/>
          <w:sz w:val="28"/>
          <w:szCs w:val="28"/>
        </w:rPr>
        <w:lastRenderedPageBreak/>
        <w:t>ІІ. Цілі державного регулювання</w:t>
      </w:r>
    </w:p>
    <w:p w:rsidR="00C10BF5" w:rsidRPr="00C10BF5" w:rsidRDefault="00C10BF5" w:rsidP="00C10BF5">
      <w:pPr>
        <w:pStyle w:val="Default"/>
        <w:ind w:firstLine="709"/>
        <w:jc w:val="both"/>
        <w:rPr>
          <w:b/>
          <w:bCs/>
          <w:color w:val="000000" w:themeColor="text1"/>
          <w:sz w:val="28"/>
          <w:szCs w:val="28"/>
        </w:rPr>
      </w:pPr>
    </w:p>
    <w:p w:rsidR="0009264F" w:rsidRPr="0009264F" w:rsidRDefault="0009264F" w:rsidP="0009264F">
      <w:pPr>
        <w:pStyle w:val="Default"/>
        <w:ind w:firstLine="709"/>
        <w:jc w:val="both"/>
        <w:rPr>
          <w:color w:val="000000" w:themeColor="text1"/>
          <w:sz w:val="28"/>
          <w:szCs w:val="28"/>
        </w:rPr>
      </w:pPr>
      <w:r w:rsidRPr="0009264F">
        <w:rPr>
          <w:color w:val="000000" w:themeColor="text1"/>
          <w:sz w:val="28"/>
          <w:szCs w:val="28"/>
        </w:rPr>
        <w:t xml:space="preserve">Прийняття постанови дозволить забезпечити виконання пункту 3 </w:t>
      </w:r>
      <w:r w:rsidR="00554284">
        <w:rPr>
          <w:color w:val="000000" w:themeColor="text1"/>
          <w:sz w:val="28"/>
          <w:szCs w:val="28"/>
        </w:rPr>
        <w:t xml:space="preserve">      </w:t>
      </w:r>
      <w:r w:rsidRPr="0009264F">
        <w:rPr>
          <w:color w:val="000000" w:themeColor="text1"/>
          <w:sz w:val="28"/>
          <w:szCs w:val="28"/>
        </w:rPr>
        <w:t xml:space="preserve">розділу II «Прикінцеві та перехідні положення»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щодо приведення нормативно-правових актів </w:t>
      </w:r>
      <w:r w:rsidR="00CF124D">
        <w:rPr>
          <w:color w:val="000000" w:themeColor="text1"/>
          <w:sz w:val="28"/>
          <w:szCs w:val="28"/>
        </w:rPr>
        <w:t xml:space="preserve">Кабінету Міністрів України </w:t>
      </w:r>
      <w:r w:rsidRPr="0009264F">
        <w:rPr>
          <w:color w:val="000000" w:themeColor="text1"/>
          <w:sz w:val="28"/>
          <w:szCs w:val="28"/>
        </w:rPr>
        <w:t>у відповідність із цим Законом.</w:t>
      </w:r>
    </w:p>
    <w:p w:rsidR="00C10BF5" w:rsidRDefault="00C10BF5" w:rsidP="00C10BF5">
      <w:pPr>
        <w:pStyle w:val="a5"/>
        <w:spacing w:before="0" w:beforeAutospacing="0" w:after="0" w:afterAutospacing="0"/>
        <w:ind w:firstLine="448"/>
        <w:jc w:val="both"/>
        <w:rPr>
          <w:rFonts w:eastAsia="Calibri"/>
          <w:sz w:val="28"/>
          <w:szCs w:val="28"/>
          <w:lang w:val="uk-UA"/>
        </w:rPr>
      </w:pPr>
    </w:p>
    <w:p w:rsidR="00EA12A9" w:rsidRPr="0009264F" w:rsidRDefault="00EA12A9" w:rsidP="00C10BF5">
      <w:pPr>
        <w:pStyle w:val="a5"/>
        <w:spacing w:before="0" w:beforeAutospacing="0" w:after="0" w:afterAutospacing="0"/>
        <w:ind w:firstLine="448"/>
        <w:jc w:val="both"/>
        <w:rPr>
          <w:rFonts w:eastAsia="Calibri"/>
          <w:sz w:val="28"/>
          <w:szCs w:val="28"/>
          <w:lang w:val="uk-UA"/>
        </w:rPr>
      </w:pPr>
    </w:p>
    <w:p w:rsidR="00C10BF5" w:rsidRPr="00C10BF5" w:rsidRDefault="00C10BF5" w:rsidP="00C10BF5">
      <w:pPr>
        <w:pStyle w:val="Default"/>
        <w:ind w:firstLine="709"/>
        <w:jc w:val="both"/>
        <w:rPr>
          <w:b/>
          <w:bCs/>
          <w:color w:val="000000" w:themeColor="text1"/>
          <w:sz w:val="28"/>
          <w:szCs w:val="28"/>
        </w:rPr>
      </w:pPr>
      <w:r w:rsidRPr="00C10BF5">
        <w:rPr>
          <w:b/>
          <w:bCs/>
          <w:color w:val="000000" w:themeColor="text1"/>
          <w:sz w:val="28"/>
          <w:szCs w:val="28"/>
        </w:rPr>
        <w:t>ІІІ. Визначення та оцінка альтернативних способів досягнення цілей</w:t>
      </w:r>
    </w:p>
    <w:p w:rsidR="00C10BF5" w:rsidRPr="00C10BF5" w:rsidRDefault="00C10BF5" w:rsidP="00C10BF5">
      <w:pPr>
        <w:pStyle w:val="Default"/>
        <w:ind w:firstLine="709"/>
        <w:jc w:val="both"/>
        <w:rPr>
          <w:b/>
          <w:bCs/>
          <w:color w:val="000000" w:themeColor="text1"/>
          <w:sz w:val="28"/>
          <w:szCs w:val="28"/>
        </w:rPr>
      </w:pPr>
    </w:p>
    <w:p w:rsidR="00C10BF5" w:rsidRPr="00D71644" w:rsidRDefault="00C10BF5" w:rsidP="00C10BF5">
      <w:pPr>
        <w:pStyle w:val="Default"/>
        <w:numPr>
          <w:ilvl w:val="0"/>
          <w:numId w:val="4"/>
        </w:numPr>
        <w:rPr>
          <w:color w:val="000000" w:themeColor="text1"/>
          <w:sz w:val="26"/>
          <w:szCs w:val="26"/>
        </w:rPr>
      </w:pPr>
      <w:r w:rsidRPr="00C10BF5">
        <w:rPr>
          <w:color w:val="000000" w:themeColor="text1"/>
          <w:sz w:val="28"/>
          <w:szCs w:val="28"/>
        </w:rPr>
        <w:t>Визначення альтернативних способів</w:t>
      </w:r>
    </w:p>
    <w:p w:rsidR="00C10BF5" w:rsidRPr="00D71644" w:rsidRDefault="00C10BF5" w:rsidP="00C10BF5">
      <w:pPr>
        <w:pStyle w:val="Default"/>
        <w:ind w:left="1069"/>
        <w:rPr>
          <w:color w:val="000000" w:themeColor="text1"/>
          <w:sz w:val="26"/>
          <w:szCs w:val="26"/>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7087"/>
      </w:tblGrid>
      <w:tr w:rsidR="00C10BF5" w:rsidRPr="004D1AB1" w:rsidTr="00685DE8">
        <w:trPr>
          <w:trHeight w:val="100"/>
        </w:trPr>
        <w:tc>
          <w:tcPr>
            <w:tcW w:w="2439" w:type="dxa"/>
          </w:tcPr>
          <w:p w:rsidR="00C10BF5" w:rsidRPr="004D1AB1" w:rsidRDefault="00C10BF5" w:rsidP="00C10BF5">
            <w:pPr>
              <w:pStyle w:val="Default"/>
              <w:ind w:firstLine="34"/>
              <w:jc w:val="both"/>
              <w:rPr>
                <w:color w:val="000000" w:themeColor="text1"/>
              </w:rPr>
            </w:pPr>
            <w:r w:rsidRPr="004D1AB1">
              <w:rPr>
                <w:color w:val="000000" w:themeColor="text1"/>
              </w:rPr>
              <w:t>Вид</w:t>
            </w:r>
          </w:p>
          <w:p w:rsidR="00C10BF5" w:rsidRPr="004D1AB1" w:rsidRDefault="00C10BF5" w:rsidP="00C10BF5">
            <w:pPr>
              <w:pStyle w:val="Default"/>
              <w:ind w:firstLine="34"/>
              <w:jc w:val="both"/>
              <w:rPr>
                <w:color w:val="000000" w:themeColor="text1"/>
              </w:rPr>
            </w:pPr>
            <w:r w:rsidRPr="004D1AB1">
              <w:rPr>
                <w:color w:val="000000" w:themeColor="text1"/>
              </w:rPr>
              <w:t>альтернативи</w:t>
            </w:r>
          </w:p>
        </w:tc>
        <w:tc>
          <w:tcPr>
            <w:tcW w:w="7087" w:type="dxa"/>
          </w:tcPr>
          <w:p w:rsidR="00C10BF5" w:rsidRPr="004D1AB1" w:rsidRDefault="00C10BF5" w:rsidP="00C10BF5">
            <w:pPr>
              <w:pStyle w:val="Default"/>
              <w:ind w:firstLine="709"/>
              <w:jc w:val="both"/>
              <w:rPr>
                <w:color w:val="000000" w:themeColor="text1"/>
              </w:rPr>
            </w:pPr>
            <w:r w:rsidRPr="004D1AB1">
              <w:rPr>
                <w:color w:val="000000" w:themeColor="text1"/>
              </w:rPr>
              <w:t>Опис альтернативи</w:t>
            </w:r>
          </w:p>
        </w:tc>
      </w:tr>
      <w:tr w:rsidR="00C10BF5" w:rsidRPr="004D1AB1" w:rsidTr="00685DE8">
        <w:trPr>
          <w:trHeight w:val="444"/>
        </w:trPr>
        <w:tc>
          <w:tcPr>
            <w:tcW w:w="2439" w:type="dxa"/>
          </w:tcPr>
          <w:p w:rsidR="00C10BF5" w:rsidRPr="004D1AB1" w:rsidRDefault="00C10BF5" w:rsidP="00C10BF5">
            <w:pPr>
              <w:pStyle w:val="Default"/>
              <w:rPr>
                <w:color w:val="000000" w:themeColor="text1"/>
              </w:rPr>
            </w:pPr>
            <w:r w:rsidRPr="004D1AB1">
              <w:rPr>
                <w:color w:val="000000" w:themeColor="text1"/>
              </w:rPr>
              <w:t xml:space="preserve">Залишення існуючої на даний момент ситуації без змін </w:t>
            </w:r>
          </w:p>
        </w:tc>
        <w:tc>
          <w:tcPr>
            <w:tcW w:w="7087" w:type="dxa"/>
          </w:tcPr>
          <w:p w:rsidR="00C10BF5" w:rsidRPr="004D1AB1" w:rsidRDefault="00C10BF5" w:rsidP="00554284">
            <w:pPr>
              <w:pStyle w:val="rvps2"/>
              <w:shd w:val="clear" w:color="auto" w:fill="FFFFFF"/>
              <w:spacing w:before="0" w:beforeAutospacing="0" w:after="0" w:afterAutospacing="0"/>
              <w:jc w:val="both"/>
              <w:rPr>
                <w:color w:val="000000" w:themeColor="text1"/>
                <w:lang w:val="uk-UA"/>
              </w:rPr>
            </w:pPr>
            <w:r w:rsidRPr="004D1AB1">
              <w:rPr>
                <w:iCs/>
                <w:color w:val="000000" w:themeColor="text1"/>
                <w:lang w:val="uk-UA"/>
              </w:rPr>
              <w:t>Невиконання норм Закону</w:t>
            </w:r>
            <w:r w:rsidRPr="004D1AB1">
              <w:rPr>
                <w:iCs/>
                <w:color w:val="000000" w:themeColor="text1"/>
              </w:rPr>
              <w:t xml:space="preserve"> </w:t>
            </w:r>
            <w:r w:rsidRPr="004D1AB1">
              <w:rPr>
                <w:iCs/>
                <w:color w:val="000000" w:themeColor="text1"/>
                <w:lang w:val="uk-UA"/>
              </w:rPr>
              <w:t>призведе до порушення вимог законодавства</w:t>
            </w:r>
          </w:p>
        </w:tc>
      </w:tr>
      <w:tr w:rsidR="00C10BF5" w:rsidRPr="004D1AB1" w:rsidTr="00685DE8">
        <w:trPr>
          <w:trHeight w:val="1153"/>
        </w:trPr>
        <w:tc>
          <w:tcPr>
            <w:tcW w:w="2439" w:type="dxa"/>
          </w:tcPr>
          <w:p w:rsidR="00C10BF5" w:rsidRPr="004D1AB1" w:rsidRDefault="00C10BF5" w:rsidP="00C10BF5">
            <w:pPr>
              <w:pStyle w:val="Default"/>
              <w:rPr>
                <w:rFonts w:eastAsia="Times New Roman"/>
                <w:iCs/>
                <w:color w:val="000000" w:themeColor="text1"/>
                <w:lang w:eastAsia="ru-RU"/>
              </w:rPr>
            </w:pPr>
            <w:r w:rsidRPr="004D1AB1">
              <w:rPr>
                <w:rFonts w:eastAsia="Times New Roman"/>
                <w:iCs/>
                <w:color w:val="000000" w:themeColor="text1"/>
                <w:lang w:eastAsia="ru-RU"/>
              </w:rPr>
              <w:t xml:space="preserve">Прийняття регуляторного </w:t>
            </w:r>
            <w:proofErr w:type="spellStart"/>
            <w:r w:rsidRPr="004D1AB1">
              <w:rPr>
                <w:rFonts w:eastAsia="Times New Roman"/>
                <w:iCs/>
                <w:color w:val="000000" w:themeColor="text1"/>
                <w:lang w:eastAsia="ru-RU"/>
              </w:rPr>
              <w:t>акта</w:t>
            </w:r>
            <w:proofErr w:type="spellEnd"/>
          </w:p>
        </w:tc>
        <w:tc>
          <w:tcPr>
            <w:tcW w:w="7087" w:type="dxa"/>
          </w:tcPr>
          <w:p w:rsidR="00C10BF5" w:rsidRPr="004D1AB1" w:rsidRDefault="00C10BF5" w:rsidP="00CF124D">
            <w:pPr>
              <w:jc w:val="both"/>
              <w:rPr>
                <w:iCs/>
                <w:color w:val="000000" w:themeColor="text1"/>
              </w:rPr>
            </w:pPr>
            <w:r w:rsidRPr="004D1AB1">
              <w:rPr>
                <w:rFonts w:eastAsia="Times New Roman"/>
                <w:iCs/>
                <w:color w:val="000000" w:themeColor="text1"/>
              </w:rPr>
              <w:t xml:space="preserve">Виконання вимог Закону </w:t>
            </w:r>
            <w:r w:rsidR="0009264F" w:rsidRPr="0009264F">
              <w:rPr>
                <w:rFonts w:eastAsia="Times New Roman"/>
                <w:iCs/>
                <w:color w:val="000000" w:themeColor="text1"/>
              </w:rPr>
              <w:t xml:space="preserve">дозволить забезпечити виконання </w:t>
            </w:r>
            <w:r w:rsidR="00554284">
              <w:rPr>
                <w:rFonts w:eastAsia="Times New Roman"/>
                <w:iCs/>
                <w:color w:val="000000" w:themeColor="text1"/>
              </w:rPr>
              <w:t xml:space="preserve">   </w:t>
            </w:r>
            <w:r w:rsidR="0009264F" w:rsidRPr="0009264F">
              <w:rPr>
                <w:rFonts w:eastAsia="Times New Roman"/>
                <w:iCs/>
                <w:color w:val="000000" w:themeColor="text1"/>
              </w:rPr>
              <w:t>пункту 3 розділу II «Прикінцеві та перехідні положення» Закону щодо приведення нормативно-правових актів</w:t>
            </w:r>
            <w:r w:rsidR="00CF124D">
              <w:rPr>
                <w:rFonts w:eastAsia="Times New Roman"/>
                <w:iCs/>
                <w:color w:val="000000" w:themeColor="text1"/>
              </w:rPr>
              <w:t xml:space="preserve"> Кабінету Міністрів України </w:t>
            </w:r>
            <w:r w:rsidR="0009264F" w:rsidRPr="0009264F">
              <w:rPr>
                <w:rFonts w:eastAsia="Times New Roman"/>
                <w:iCs/>
                <w:color w:val="000000" w:themeColor="text1"/>
              </w:rPr>
              <w:t>у відповідність із цим Законом</w:t>
            </w:r>
          </w:p>
        </w:tc>
      </w:tr>
    </w:tbl>
    <w:p w:rsidR="00C10BF5" w:rsidRPr="00D71644" w:rsidRDefault="00C10BF5" w:rsidP="00C10BF5">
      <w:pPr>
        <w:pStyle w:val="Default"/>
        <w:ind w:firstLine="709"/>
        <w:jc w:val="both"/>
        <w:rPr>
          <w:rFonts w:eastAsia="Times New Roman"/>
          <w:iCs/>
          <w:color w:val="000000" w:themeColor="text1"/>
          <w:lang w:eastAsia="ru-RU"/>
        </w:rPr>
      </w:pPr>
    </w:p>
    <w:p w:rsidR="00C10BF5" w:rsidRPr="00C10BF5" w:rsidRDefault="00C10BF5" w:rsidP="00C10BF5">
      <w:pPr>
        <w:pStyle w:val="Default"/>
        <w:numPr>
          <w:ilvl w:val="0"/>
          <w:numId w:val="4"/>
        </w:numPr>
        <w:jc w:val="both"/>
        <w:rPr>
          <w:color w:val="000000" w:themeColor="text1"/>
          <w:sz w:val="28"/>
          <w:szCs w:val="28"/>
        </w:rPr>
      </w:pPr>
      <w:r w:rsidRPr="00C10BF5">
        <w:rPr>
          <w:color w:val="000000" w:themeColor="text1"/>
          <w:sz w:val="28"/>
          <w:szCs w:val="28"/>
        </w:rPr>
        <w:t xml:space="preserve">Оцінка вибраних альтернативних способів досягнення цілей </w:t>
      </w:r>
    </w:p>
    <w:p w:rsidR="00C10BF5" w:rsidRPr="00C10BF5" w:rsidRDefault="00C10BF5" w:rsidP="00C10BF5">
      <w:pPr>
        <w:pStyle w:val="Default"/>
        <w:ind w:firstLine="709"/>
        <w:jc w:val="both"/>
        <w:rPr>
          <w:color w:val="000000" w:themeColor="text1"/>
          <w:sz w:val="28"/>
          <w:szCs w:val="28"/>
        </w:rPr>
      </w:pPr>
    </w:p>
    <w:p w:rsidR="00C10BF5" w:rsidRPr="00C10BF5" w:rsidRDefault="00C10BF5" w:rsidP="00C10BF5">
      <w:pPr>
        <w:ind w:firstLine="709"/>
        <w:rPr>
          <w:b/>
          <w:color w:val="000000" w:themeColor="text1"/>
          <w:sz w:val="28"/>
          <w:szCs w:val="28"/>
        </w:rPr>
      </w:pPr>
      <w:r w:rsidRPr="00C10BF5">
        <w:rPr>
          <w:color w:val="000000" w:themeColor="text1"/>
          <w:sz w:val="28"/>
          <w:szCs w:val="28"/>
        </w:rPr>
        <w:t xml:space="preserve">Оцінка впливу на сферу інтересів </w:t>
      </w:r>
      <w:r w:rsidRPr="00C10BF5">
        <w:rPr>
          <w:b/>
          <w:color w:val="000000" w:themeColor="text1"/>
          <w:sz w:val="28"/>
          <w:szCs w:val="28"/>
        </w:rPr>
        <w:t>держави.</w:t>
      </w:r>
    </w:p>
    <w:p w:rsidR="00C10BF5" w:rsidRPr="00D71644" w:rsidRDefault="00C10BF5" w:rsidP="00C10BF5">
      <w:pPr>
        <w:ind w:firstLine="709"/>
        <w:rPr>
          <w:b/>
          <w:color w:val="000000" w:themeColor="text1"/>
          <w:sz w:val="26"/>
          <w:szCs w:val="2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4111"/>
        <w:gridCol w:w="3543"/>
      </w:tblGrid>
      <w:tr w:rsidR="00C10BF5" w:rsidRPr="004D1AB1" w:rsidTr="00910CF5">
        <w:trPr>
          <w:trHeight w:val="100"/>
        </w:trPr>
        <w:tc>
          <w:tcPr>
            <w:tcW w:w="1980" w:type="dxa"/>
          </w:tcPr>
          <w:p w:rsidR="00C10BF5" w:rsidRPr="004D1AB1" w:rsidRDefault="00C10BF5" w:rsidP="00C10BF5">
            <w:pPr>
              <w:pStyle w:val="Default"/>
              <w:ind w:firstLine="709"/>
              <w:jc w:val="both"/>
              <w:rPr>
                <w:color w:val="000000" w:themeColor="text1"/>
              </w:rPr>
            </w:pPr>
            <w:r w:rsidRPr="004D1AB1">
              <w:rPr>
                <w:color w:val="000000" w:themeColor="text1"/>
              </w:rPr>
              <w:t>Вид альтернативи</w:t>
            </w:r>
          </w:p>
        </w:tc>
        <w:tc>
          <w:tcPr>
            <w:tcW w:w="4111" w:type="dxa"/>
          </w:tcPr>
          <w:p w:rsidR="00C10BF5" w:rsidRPr="004D1AB1" w:rsidRDefault="00C10BF5" w:rsidP="00C10BF5">
            <w:pPr>
              <w:pStyle w:val="Default"/>
              <w:ind w:firstLine="709"/>
              <w:jc w:val="center"/>
              <w:rPr>
                <w:color w:val="000000" w:themeColor="text1"/>
              </w:rPr>
            </w:pPr>
            <w:r w:rsidRPr="004D1AB1">
              <w:rPr>
                <w:color w:val="000000" w:themeColor="text1"/>
              </w:rPr>
              <w:t>Вигоди</w:t>
            </w:r>
          </w:p>
        </w:tc>
        <w:tc>
          <w:tcPr>
            <w:tcW w:w="3543" w:type="dxa"/>
          </w:tcPr>
          <w:p w:rsidR="00C10BF5" w:rsidRPr="004D1AB1" w:rsidRDefault="00C10BF5" w:rsidP="00C10BF5">
            <w:pPr>
              <w:pStyle w:val="Default"/>
              <w:ind w:firstLine="709"/>
              <w:jc w:val="center"/>
              <w:rPr>
                <w:color w:val="000000" w:themeColor="text1"/>
              </w:rPr>
            </w:pPr>
            <w:r w:rsidRPr="004D1AB1">
              <w:rPr>
                <w:color w:val="000000" w:themeColor="text1"/>
              </w:rPr>
              <w:t>Витрати</w:t>
            </w:r>
          </w:p>
        </w:tc>
      </w:tr>
      <w:tr w:rsidR="00C10BF5" w:rsidRPr="004D1AB1" w:rsidTr="00910CF5">
        <w:trPr>
          <w:trHeight w:val="245"/>
        </w:trPr>
        <w:tc>
          <w:tcPr>
            <w:tcW w:w="1980" w:type="dxa"/>
            <w:tcBorders>
              <w:bottom w:val="single" w:sz="4" w:space="0" w:color="auto"/>
            </w:tcBorders>
          </w:tcPr>
          <w:p w:rsidR="00C10BF5" w:rsidRPr="004D1AB1" w:rsidRDefault="00C10BF5" w:rsidP="00C10BF5">
            <w:pPr>
              <w:pStyle w:val="Default"/>
              <w:rPr>
                <w:color w:val="000000" w:themeColor="text1"/>
              </w:rPr>
            </w:pPr>
            <w:r w:rsidRPr="004D1AB1">
              <w:rPr>
                <w:color w:val="000000" w:themeColor="text1"/>
              </w:rPr>
              <w:t xml:space="preserve">Залишення існуючої на даний момент ситуації без змін </w:t>
            </w:r>
          </w:p>
        </w:tc>
        <w:tc>
          <w:tcPr>
            <w:tcW w:w="4111" w:type="dxa"/>
            <w:tcBorders>
              <w:bottom w:val="single" w:sz="4" w:space="0" w:color="auto"/>
            </w:tcBorders>
          </w:tcPr>
          <w:p w:rsidR="00C10BF5" w:rsidRPr="004D1AB1" w:rsidRDefault="00C10BF5" w:rsidP="00554284">
            <w:pPr>
              <w:pStyle w:val="Default"/>
              <w:jc w:val="both"/>
              <w:rPr>
                <w:color w:val="000000" w:themeColor="text1"/>
              </w:rPr>
            </w:pPr>
            <w:r w:rsidRPr="004D1AB1">
              <w:rPr>
                <w:color w:val="000000" w:themeColor="text1"/>
              </w:rPr>
              <w:t xml:space="preserve">Відсутні. Альтернатива є неприйнятною, оскільки не забезпечує досягнення поставленої мети </w:t>
            </w:r>
          </w:p>
        </w:tc>
        <w:tc>
          <w:tcPr>
            <w:tcW w:w="3543" w:type="dxa"/>
            <w:tcBorders>
              <w:bottom w:val="single" w:sz="4" w:space="0" w:color="auto"/>
            </w:tcBorders>
          </w:tcPr>
          <w:p w:rsidR="00C10BF5" w:rsidRPr="004D1AB1" w:rsidRDefault="00C10BF5" w:rsidP="00554284">
            <w:pPr>
              <w:pStyle w:val="Default"/>
              <w:jc w:val="both"/>
              <w:rPr>
                <w:color w:val="000000" w:themeColor="text1"/>
              </w:rPr>
            </w:pPr>
            <w:r w:rsidRPr="004D1AB1">
              <w:rPr>
                <w:color w:val="000000" w:themeColor="text1"/>
              </w:rPr>
              <w:t>Відсутні</w:t>
            </w:r>
          </w:p>
        </w:tc>
      </w:tr>
      <w:tr w:rsidR="00C10BF5" w:rsidRPr="004D1AB1" w:rsidTr="00910CF5">
        <w:trPr>
          <w:trHeight w:val="245"/>
        </w:trPr>
        <w:tc>
          <w:tcPr>
            <w:tcW w:w="1980" w:type="dxa"/>
            <w:tcBorders>
              <w:top w:val="single" w:sz="4" w:space="0" w:color="auto"/>
              <w:left w:val="single" w:sz="4" w:space="0" w:color="auto"/>
              <w:bottom w:val="single" w:sz="4" w:space="0" w:color="auto"/>
              <w:right w:val="single" w:sz="4" w:space="0" w:color="auto"/>
            </w:tcBorders>
          </w:tcPr>
          <w:p w:rsidR="00C10BF5" w:rsidRPr="004D1AB1" w:rsidRDefault="00C10BF5" w:rsidP="00C10BF5">
            <w:pPr>
              <w:pStyle w:val="Default"/>
              <w:rPr>
                <w:color w:val="000000" w:themeColor="text1"/>
              </w:rPr>
            </w:pPr>
            <w:r w:rsidRPr="004D1AB1">
              <w:rPr>
                <w:color w:val="000000" w:themeColor="text1"/>
              </w:rPr>
              <w:t xml:space="preserve">Прийняття регуляторного </w:t>
            </w:r>
            <w:proofErr w:type="spellStart"/>
            <w:r w:rsidRPr="004D1AB1">
              <w:rPr>
                <w:color w:val="000000" w:themeColor="text1"/>
              </w:rPr>
              <w:t>акта</w:t>
            </w:r>
            <w:proofErr w:type="spellEnd"/>
          </w:p>
        </w:tc>
        <w:tc>
          <w:tcPr>
            <w:tcW w:w="4111" w:type="dxa"/>
            <w:tcBorders>
              <w:top w:val="single" w:sz="4" w:space="0" w:color="auto"/>
              <w:left w:val="single" w:sz="4" w:space="0" w:color="auto"/>
              <w:bottom w:val="single" w:sz="4" w:space="0" w:color="auto"/>
              <w:right w:val="single" w:sz="4" w:space="0" w:color="auto"/>
            </w:tcBorders>
          </w:tcPr>
          <w:p w:rsidR="00C10BF5" w:rsidRPr="004D1AB1" w:rsidRDefault="00C10BF5" w:rsidP="00554284">
            <w:pPr>
              <w:jc w:val="both"/>
              <w:rPr>
                <w:color w:val="000000" w:themeColor="text1"/>
              </w:rPr>
            </w:pPr>
            <w:r w:rsidRPr="0009264F">
              <w:rPr>
                <w:rFonts w:eastAsiaTheme="minorEastAsia"/>
                <w:color w:val="000000" w:themeColor="text1"/>
                <w:lang w:eastAsia="uk-UA"/>
              </w:rPr>
              <w:t xml:space="preserve">Прийняття регуляторного </w:t>
            </w:r>
            <w:proofErr w:type="spellStart"/>
            <w:r w:rsidRPr="0009264F">
              <w:rPr>
                <w:rFonts w:eastAsiaTheme="minorEastAsia"/>
                <w:color w:val="000000" w:themeColor="text1"/>
                <w:lang w:eastAsia="uk-UA"/>
              </w:rPr>
              <w:t>акта</w:t>
            </w:r>
            <w:proofErr w:type="spellEnd"/>
            <w:r w:rsidRPr="0009264F">
              <w:rPr>
                <w:rFonts w:eastAsiaTheme="minorEastAsia"/>
                <w:color w:val="000000" w:themeColor="text1"/>
                <w:lang w:eastAsia="uk-UA"/>
              </w:rPr>
              <w:t xml:space="preserve"> забезпечить </w:t>
            </w:r>
            <w:r w:rsidR="0009264F" w:rsidRPr="0009264F">
              <w:rPr>
                <w:rFonts w:eastAsiaTheme="minorEastAsia"/>
                <w:color w:val="000000" w:themeColor="text1"/>
                <w:lang w:eastAsia="uk-UA"/>
              </w:rPr>
              <w:t>виконання пункту 3 розділу II «Прикінцеві та перехідні положення» Закону щодо приведення  нормативно-правових актів</w:t>
            </w:r>
            <w:r w:rsidR="00CF124D">
              <w:rPr>
                <w:rFonts w:eastAsiaTheme="minorEastAsia"/>
                <w:color w:val="000000" w:themeColor="text1"/>
                <w:lang w:eastAsia="uk-UA"/>
              </w:rPr>
              <w:t xml:space="preserve"> Кабінету Міністрів </w:t>
            </w:r>
            <w:r w:rsidR="00685DE8">
              <w:rPr>
                <w:rFonts w:eastAsiaTheme="minorEastAsia"/>
                <w:color w:val="000000" w:themeColor="text1"/>
                <w:lang w:eastAsia="uk-UA"/>
              </w:rPr>
              <w:t>України</w:t>
            </w:r>
            <w:r w:rsidR="0009264F" w:rsidRPr="009F1270">
              <w:rPr>
                <w:rFonts w:eastAsiaTheme="minorEastAsia"/>
                <w:color w:val="000000" w:themeColor="text1"/>
                <w:lang w:eastAsia="uk-UA"/>
              </w:rPr>
              <w:t xml:space="preserve"> у відповідність із цим Законом</w:t>
            </w:r>
          </w:p>
        </w:tc>
        <w:tc>
          <w:tcPr>
            <w:tcW w:w="3543" w:type="dxa"/>
            <w:tcBorders>
              <w:top w:val="single" w:sz="4" w:space="0" w:color="auto"/>
              <w:left w:val="single" w:sz="4" w:space="0" w:color="auto"/>
              <w:bottom w:val="single" w:sz="4" w:space="0" w:color="auto"/>
              <w:right w:val="single" w:sz="4" w:space="0" w:color="auto"/>
            </w:tcBorders>
          </w:tcPr>
          <w:p w:rsidR="00C10BF5" w:rsidRPr="004D1AB1" w:rsidRDefault="00C10BF5" w:rsidP="00C10BF5">
            <w:pPr>
              <w:pStyle w:val="Default"/>
              <w:jc w:val="both"/>
              <w:rPr>
                <w:color w:val="000000" w:themeColor="text1"/>
              </w:rPr>
            </w:pPr>
            <w:r w:rsidRPr="004D1AB1">
              <w:rPr>
                <w:color w:val="000000" w:themeColor="text1"/>
              </w:rPr>
              <w:t xml:space="preserve">Витрати, пов’язані з реалізацією положень регуляторного </w:t>
            </w:r>
            <w:proofErr w:type="spellStart"/>
            <w:r w:rsidRPr="004D1AB1">
              <w:rPr>
                <w:color w:val="000000" w:themeColor="text1"/>
              </w:rPr>
              <w:t>акта</w:t>
            </w:r>
            <w:proofErr w:type="spellEnd"/>
            <w:r w:rsidRPr="004D1AB1">
              <w:rPr>
                <w:color w:val="000000" w:themeColor="text1"/>
              </w:rPr>
              <w:t xml:space="preserve"> (додаток 1) </w:t>
            </w:r>
          </w:p>
        </w:tc>
      </w:tr>
    </w:tbl>
    <w:p w:rsidR="00C10BF5" w:rsidRPr="00C10BF5" w:rsidRDefault="00C10BF5" w:rsidP="00C10BF5">
      <w:pPr>
        <w:ind w:firstLine="709"/>
        <w:rPr>
          <w:b/>
          <w:color w:val="000000" w:themeColor="text1"/>
          <w:sz w:val="28"/>
          <w:szCs w:val="28"/>
        </w:rPr>
      </w:pPr>
      <w:r w:rsidRPr="00C10BF5">
        <w:rPr>
          <w:color w:val="000000" w:themeColor="text1"/>
          <w:sz w:val="28"/>
          <w:szCs w:val="28"/>
        </w:rPr>
        <w:t xml:space="preserve">Оцінка впливу на сферу інтересів </w:t>
      </w:r>
      <w:r w:rsidRPr="00C10BF5">
        <w:rPr>
          <w:b/>
          <w:color w:val="000000" w:themeColor="text1"/>
          <w:sz w:val="28"/>
          <w:szCs w:val="28"/>
        </w:rPr>
        <w:t>громадян.</w:t>
      </w:r>
    </w:p>
    <w:p w:rsidR="00C10BF5" w:rsidRPr="00C10BF5" w:rsidRDefault="00C10BF5" w:rsidP="00C10BF5">
      <w:pPr>
        <w:ind w:firstLine="709"/>
        <w:rPr>
          <w:color w:val="000000" w:themeColor="text1"/>
          <w:sz w:val="28"/>
          <w:szCs w:val="28"/>
        </w:rPr>
      </w:pPr>
    </w:p>
    <w:p w:rsidR="00C10BF5" w:rsidRPr="009F1270" w:rsidRDefault="00C10BF5" w:rsidP="00C10BF5">
      <w:pPr>
        <w:ind w:firstLine="709"/>
        <w:jc w:val="both"/>
        <w:rPr>
          <w:color w:val="000000" w:themeColor="text1"/>
          <w:sz w:val="28"/>
          <w:szCs w:val="28"/>
        </w:rPr>
      </w:pPr>
      <w:r w:rsidRPr="009F1270">
        <w:rPr>
          <w:color w:val="000000" w:themeColor="text1"/>
          <w:sz w:val="28"/>
          <w:szCs w:val="28"/>
        </w:rPr>
        <w:t>Регуляторний акт не належить до сфери регулювання цивільних відносин та не розповсюджується на сферу інтересів громадян.</w:t>
      </w:r>
    </w:p>
    <w:p w:rsidR="00C10BF5" w:rsidRPr="009F1270" w:rsidRDefault="00C10BF5" w:rsidP="00C10BF5">
      <w:pPr>
        <w:ind w:firstLine="709"/>
        <w:jc w:val="both"/>
        <w:rPr>
          <w:color w:val="000000" w:themeColor="text1"/>
          <w:sz w:val="28"/>
          <w:szCs w:val="28"/>
        </w:rPr>
      </w:pPr>
    </w:p>
    <w:p w:rsidR="00C10BF5" w:rsidRPr="009F1270" w:rsidRDefault="00C10BF5" w:rsidP="00C10BF5">
      <w:pPr>
        <w:ind w:firstLine="709"/>
        <w:rPr>
          <w:b/>
          <w:color w:val="000000" w:themeColor="text1"/>
          <w:sz w:val="28"/>
          <w:szCs w:val="28"/>
        </w:rPr>
      </w:pPr>
      <w:r w:rsidRPr="009F1270">
        <w:rPr>
          <w:color w:val="000000" w:themeColor="text1"/>
          <w:sz w:val="28"/>
          <w:szCs w:val="28"/>
        </w:rPr>
        <w:t xml:space="preserve">Оцінка впливу на сферу інтересів </w:t>
      </w:r>
      <w:r w:rsidRPr="009F1270">
        <w:rPr>
          <w:b/>
          <w:color w:val="000000" w:themeColor="text1"/>
          <w:sz w:val="28"/>
          <w:szCs w:val="28"/>
        </w:rPr>
        <w:t>суб’єктів господарювання.</w:t>
      </w:r>
    </w:p>
    <w:p w:rsidR="00C10BF5" w:rsidRPr="009F1270" w:rsidRDefault="00C10BF5" w:rsidP="00C10BF5">
      <w:pPr>
        <w:ind w:firstLine="709"/>
        <w:rPr>
          <w:b/>
          <w:color w:val="000000" w:themeColor="text1"/>
          <w:sz w:val="28"/>
          <w:szCs w:val="28"/>
        </w:rPr>
      </w:pPr>
    </w:p>
    <w:p w:rsidR="00C10BF5" w:rsidRPr="009F1270" w:rsidRDefault="00C10BF5" w:rsidP="00C10BF5">
      <w:pPr>
        <w:ind w:firstLine="709"/>
        <w:jc w:val="both"/>
        <w:rPr>
          <w:color w:val="000000" w:themeColor="text1"/>
          <w:sz w:val="28"/>
          <w:szCs w:val="28"/>
        </w:rPr>
      </w:pPr>
      <w:r w:rsidRPr="009F1270">
        <w:rPr>
          <w:color w:val="000000" w:themeColor="text1"/>
          <w:sz w:val="28"/>
          <w:szCs w:val="28"/>
        </w:rPr>
        <w:lastRenderedPageBreak/>
        <w:t xml:space="preserve">Дія регуляторного </w:t>
      </w:r>
      <w:proofErr w:type="spellStart"/>
      <w:r w:rsidRPr="009F1270">
        <w:rPr>
          <w:color w:val="000000" w:themeColor="text1"/>
          <w:sz w:val="28"/>
          <w:szCs w:val="28"/>
        </w:rPr>
        <w:t>акта</w:t>
      </w:r>
      <w:proofErr w:type="spellEnd"/>
      <w:r w:rsidRPr="009F1270">
        <w:rPr>
          <w:color w:val="000000" w:themeColor="text1"/>
          <w:sz w:val="28"/>
          <w:szCs w:val="28"/>
        </w:rPr>
        <w:t xml:space="preserve"> поширюється на суб’єкта</w:t>
      </w:r>
      <w:r w:rsidR="009F1270" w:rsidRPr="009F1270">
        <w:rPr>
          <w:color w:val="000000" w:themeColor="text1"/>
          <w:sz w:val="28"/>
          <w:szCs w:val="28"/>
        </w:rPr>
        <w:t xml:space="preserve"> ринку природного газу, на якого покладаються спеціальні обов’язки з реалізації природного газу операторам газорозподільних систем, постачальника «останньої надії» (щодо періодів постачання з листопада 2021 року по лютий 2022 року), суб’єкта</w:t>
      </w:r>
      <w:r w:rsidRPr="009F1270">
        <w:rPr>
          <w:color w:val="000000" w:themeColor="text1"/>
          <w:sz w:val="28"/>
          <w:szCs w:val="28"/>
        </w:rPr>
        <w:t xml:space="preserve"> господарювання, що здійснює діяльність з надання послуг транспортування природного газу, суб’єктів господарювання, що здійснюють діяльність з надання послуг розподілу природного газу.</w:t>
      </w:r>
    </w:p>
    <w:p w:rsidR="00C10BF5" w:rsidRPr="00D71644" w:rsidRDefault="00C10BF5" w:rsidP="00C10BF5">
      <w:pPr>
        <w:ind w:firstLine="709"/>
        <w:jc w:val="both"/>
        <w:rPr>
          <w:color w:val="000000" w:themeColor="text1"/>
          <w:sz w:val="26"/>
          <w:szCs w:val="26"/>
        </w:rPr>
      </w:pPr>
    </w:p>
    <w:tbl>
      <w:tblPr>
        <w:tblStyle w:val="af0"/>
        <w:tblW w:w="9634" w:type="dxa"/>
        <w:tblLook w:val="04A0" w:firstRow="1" w:lastRow="0" w:firstColumn="1" w:lastColumn="0" w:noHBand="0" w:noVBand="1"/>
      </w:tblPr>
      <w:tblGrid>
        <w:gridCol w:w="3539"/>
        <w:gridCol w:w="1418"/>
        <w:gridCol w:w="1275"/>
        <w:gridCol w:w="993"/>
        <w:gridCol w:w="994"/>
        <w:gridCol w:w="1415"/>
      </w:tblGrid>
      <w:tr w:rsidR="00C10BF5" w:rsidRPr="004D1AB1" w:rsidTr="00910CF5">
        <w:tc>
          <w:tcPr>
            <w:tcW w:w="3539" w:type="dxa"/>
          </w:tcPr>
          <w:p w:rsidR="00C10BF5" w:rsidRPr="004D1AB1" w:rsidRDefault="00C10BF5" w:rsidP="00C10BF5">
            <w:pPr>
              <w:pStyle w:val="Default"/>
              <w:jc w:val="both"/>
              <w:rPr>
                <w:color w:val="000000" w:themeColor="text1"/>
              </w:rPr>
            </w:pPr>
            <w:r w:rsidRPr="004D1AB1">
              <w:rPr>
                <w:color w:val="000000" w:themeColor="text1"/>
              </w:rPr>
              <w:t>Показник</w:t>
            </w:r>
          </w:p>
        </w:tc>
        <w:tc>
          <w:tcPr>
            <w:tcW w:w="1418" w:type="dxa"/>
          </w:tcPr>
          <w:p w:rsidR="00C10BF5" w:rsidRPr="004D1AB1" w:rsidRDefault="007A2C91" w:rsidP="00C10BF5">
            <w:pPr>
              <w:pStyle w:val="Default"/>
              <w:jc w:val="both"/>
              <w:rPr>
                <w:color w:val="000000" w:themeColor="text1"/>
              </w:rPr>
            </w:pPr>
            <w:r>
              <w:rPr>
                <w:color w:val="000000" w:themeColor="text1"/>
              </w:rPr>
              <w:t>В</w:t>
            </w:r>
            <w:r w:rsidR="00C10BF5" w:rsidRPr="004D1AB1">
              <w:rPr>
                <w:color w:val="000000" w:themeColor="text1"/>
              </w:rPr>
              <w:t>еликі</w:t>
            </w:r>
          </w:p>
        </w:tc>
        <w:tc>
          <w:tcPr>
            <w:tcW w:w="1275" w:type="dxa"/>
          </w:tcPr>
          <w:p w:rsidR="00C10BF5" w:rsidRPr="004D1AB1" w:rsidRDefault="007A2C91" w:rsidP="00C10BF5">
            <w:pPr>
              <w:pStyle w:val="Default"/>
              <w:jc w:val="both"/>
              <w:rPr>
                <w:color w:val="000000" w:themeColor="text1"/>
              </w:rPr>
            </w:pPr>
            <w:r>
              <w:rPr>
                <w:color w:val="000000" w:themeColor="text1"/>
              </w:rPr>
              <w:t>С</w:t>
            </w:r>
            <w:r w:rsidR="00C10BF5" w:rsidRPr="004D1AB1">
              <w:rPr>
                <w:color w:val="000000" w:themeColor="text1"/>
              </w:rPr>
              <w:t>ередні</w:t>
            </w:r>
          </w:p>
        </w:tc>
        <w:tc>
          <w:tcPr>
            <w:tcW w:w="993" w:type="dxa"/>
          </w:tcPr>
          <w:p w:rsidR="00C10BF5" w:rsidRPr="004D1AB1" w:rsidRDefault="007A2C91" w:rsidP="00C10BF5">
            <w:pPr>
              <w:pStyle w:val="Default"/>
              <w:jc w:val="both"/>
              <w:rPr>
                <w:color w:val="000000" w:themeColor="text1"/>
              </w:rPr>
            </w:pPr>
            <w:r>
              <w:rPr>
                <w:color w:val="000000" w:themeColor="text1"/>
              </w:rPr>
              <w:t>М</w:t>
            </w:r>
            <w:r w:rsidR="00C10BF5" w:rsidRPr="004D1AB1">
              <w:rPr>
                <w:color w:val="000000" w:themeColor="text1"/>
              </w:rPr>
              <w:t>алі</w:t>
            </w:r>
          </w:p>
        </w:tc>
        <w:tc>
          <w:tcPr>
            <w:tcW w:w="994" w:type="dxa"/>
          </w:tcPr>
          <w:p w:rsidR="00C10BF5" w:rsidRPr="004D1AB1" w:rsidRDefault="007A2C91" w:rsidP="00C10BF5">
            <w:pPr>
              <w:pStyle w:val="Default"/>
              <w:jc w:val="both"/>
              <w:rPr>
                <w:color w:val="000000" w:themeColor="text1"/>
              </w:rPr>
            </w:pPr>
            <w:r>
              <w:rPr>
                <w:color w:val="000000" w:themeColor="text1"/>
              </w:rPr>
              <w:t>М</w:t>
            </w:r>
            <w:r w:rsidR="00C10BF5" w:rsidRPr="004D1AB1">
              <w:rPr>
                <w:color w:val="000000" w:themeColor="text1"/>
              </w:rPr>
              <w:t>ікро</w:t>
            </w:r>
          </w:p>
        </w:tc>
        <w:tc>
          <w:tcPr>
            <w:tcW w:w="1415" w:type="dxa"/>
          </w:tcPr>
          <w:p w:rsidR="00C10BF5" w:rsidRPr="004D1AB1" w:rsidRDefault="00C10BF5" w:rsidP="00C10BF5">
            <w:pPr>
              <w:pStyle w:val="Default"/>
              <w:jc w:val="both"/>
              <w:rPr>
                <w:color w:val="000000" w:themeColor="text1"/>
              </w:rPr>
            </w:pPr>
            <w:r w:rsidRPr="004D1AB1">
              <w:rPr>
                <w:color w:val="000000" w:themeColor="text1"/>
              </w:rPr>
              <w:t>Разом</w:t>
            </w:r>
          </w:p>
        </w:tc>
      </w:tr>
      <w:tr w:rsidR="00C10BF5" w:rsidRPr="004D1AB1" w:rsidTr="00910CF5">
        <w:tc>
          <w:tcPr>
            <w:tcW w:w="3539" w:type="dxa"/>
          </w:tcPr>
          <w:p w:rsidR="00C10BF5" w:rsidRPr="004D1AB1" w:rsidRDefault="00C10BF5" w:rsidP="00C10BF5">
            <w:pPr>
              <w:pStyle w:val="Default"/>
              <w:jc w:val="both"/>
              <w:rPr>
                <w:color w:val="000000" w:themeColor="text1"/>
              </w:rPr>
            </w:pPr>
            <w:r w:rsidRPr="004D1AB1">
              <w:rPr>
                <w:color w:val="000000" w:themeColor="text1"/>
              </w:rPr>
              <w:t>Кількість суб’єктів господарювання, що підпадають під дію регулювання, одиниць</w:t>
            </w:r>
          </w:p>
        </w:tc>
        <w:tc>
          <w:tcPr>
            <w:tcW w:w="1418" w:type="dxa"/>
          </w:tcPr>
          <w:p w:rsidR="00C10BF5" w:rsidRPr="004D1AB1" w:rsidRDefault="00865207" w:rsidP="00C10BF5">
            <w:pPr>
              <w:pStyle w:val="Default"/>
              <w:jc w:val="center"/>
              <w:rPr>
                <w:color w:val="000000" w:themeColor="text1"/>
              </w:rPr>
            </w:pPr>
            <w:r>
              <w:rPr>
                <w:color w:val="000000" w:themeColor="text1"/>
              </w:rPr>
              <w:t>5</w:t>
            </w:r>
          </w:p>
        </w:tc>
        <w:tc>
          <w:tcPr>
            <w:tcW w:w="1275" w:type="dxa"/>
          </w:tcPr>
          <w:p w:rsidR="00C10BF5" w:rsidRPr="004D1AB1" w:rsidRDefault="00C10BF5" w:rsidP="00C10BF5">
            <w:pPr>
              <w:pStyle w:val="Default"/>
              <w:jc w:val="center"/>
              <w:rPr>
                <w:color w:val="000000" w:themeColor="text1"/>
              </w:rPr>
            </w:pPr>
            <w:r w:rsidRPr="004D1AB1">
              <w:rPr>
                <w:color w:val="000000" w:themeColor="text1"/>
              </w:rPr>
              <w:t>38</w:t>
            </w:r>
          </w:p>
        </w:tc>
        <w:tc>
          <w:tcPr>
            <w:tcW w:w="993" w:type="dxa"/>
          </w:tcPr>
          <w:p w:rsidR="00C10BF5" w:rsidRPr="004D1AB1" w:rsidRDefault="00C10BF5" w:rsidP="00C10BF5">
            <w:pPr>
              <w:pStyle w:val="Default"/>
              <w:jc w:val="center"/>
              <w:rPr>
                <w:color w:val="000000" w:themeColor="text1"/>
              </w:rPr>
            </w:pPr>
            <w:r w:rsidRPr="004D1AB1">
              <w:rPr>
                <w:color w:val="000000" w:themeColor="text1"/>
              </w:rPr>
              <w:t>2</w:t>
            </w:r>
          </w:p>
        </w:tc>
        <w:tc>
          <w:tcPr>
            <w:tcW w:w="994" w:type="dxa"/>
          </w:tcPr>
          <w:p w:rsidR="00C10BF5" w:rsidRPr="004D1AB1" w:rsidRDefault="00C10BF5" w:rsidP="00C10BF5">
            <w:pPr>
              <w:pStyle w:val="Default"/>
              <w:jc w:val="center"/>
              <w:rPr>
                <w:color w:val="000000" w:themeColor="text1"/>
              </w:rPr>
            </w:pPr>
            <w:r w:rsidRPr="004D1AB1">
              <w:rPr>
                <w:color w:val="000000" w:themeColor="text1"/>
              </w:rPr>
              <w:t>1</w:t>
            </w:r>
          </w:p>
        </w:tc>
        <w:tc>
          <w:tcPr>
            <w:tcW w:w="1415" w:type="dxa"/>
          </w:tcPr>
          <w:p w:rsidR="00C10BF5" w:rsidRPr="004D1AB1" w:rsidRDefault="00C10BF5" w:rsidP="00865207">
            <w:pPr>
              <w:pStyle w:val="Default"/>
              <w:jc w:val="center"/>
              <w:rPr>
                <w:color w:val="000000" w:themeColor="text1"/>
              </w:rPr>
            </w:pPr>
            <w:r w:rsidRPr="004D1AB1">
              <w:rPr>
                <w:color w:val="000000" w:themeColor="text1"/>
              </w:rPr>
              <w:t>4</w:t>
            </w:r>
            <w:r w:rsidR="00865207">
              <w:rPr>
                <w:color w:val="000000" w:themeColor="text1"/>
              </w:rPr>
              <w:t>6</w:t>
            </w:r>
          </w:p>
        </w:tc>
      </w:tr>
      <w:tr w:rsidR="00C10BF5" w:rsidRPr="004D1AB1" w:rsidTr="00910CF5">
        <w:tc>
          <w:tcPr>
            <w:tcW w:w="3539" w:type="dxa"/>
          </w:tcPr>
          <w:p w:rsidR="00C10BF5" w:rsidRPr="004D1AB1" w:rsidRDefault="00C10BF5" w:rsidP="00C10BF5">
            <w:pPr>
              <w:pStyle w:val="Default"/>
              <w:jc w:val="both"/>
              <w:rPr>
                <w:color w:val="000000" w:themeColor="text1"/>
              </w:rPr>
            </w:pPr>
            <w:r w:rsidRPr="004D1AB1">
              <w:rPr>
                <w:color w:val="000000" w:themeColor="text1"/>
              </w:rPr>
              <w:t>Питома вага групи у загальній кількості, відсотків</w:t>
            </w:r>
          </w:p>
        </w:tc>
        <w:tc>
          <w:tcPr>
            <w:tcW w:w="1418" w:type="dxa"/>
          </w:tcPr>
          <w:p w:rsidR="00C10BF5" w:rsidRPr="004D1AB1" w:rsidRDefault="00865207" w:rsidP="00C10BF5">
            <w:pPr>
              <w:pStyle w:val="Default"/>
              <w:jc w:val="center"/>
              <w:rPr>
                <w:color w:val="000000" w:themeColor="text1"/>
              </w:rPr>
            </w:pPr>
            <w:r>
              <w:rPr>
                <w:color w:val="000000" w:themeColor="text1"/>
              </w:rPr>
              <w:t>11</w:t>
            </w:r>
            <w:r w:rsidR="00C10BF5" w:rsidRPr="004D1AB1">
              <w:rPr>
                <w:color w:val="000000" w:themeColor="text1"/>
              </w:rPr>
              <w:t xml:space="preserve"> %</w:t>
            </w:r>
          </w:p>
        </w:tc>
        <w:tc>
          <w:tcPr>
            <w:tcW w:w="1275" w:type="dxa"/>
          </w:tcPr>
          <w:p w:rsidR="00C10BF5" w:rsidRPr="004D1AB1" w:rsidRDefault="00C10BF5" w:rsidP="00865207">
            <w:pPr>
              <w:pStyle w:val="Default"/>
              <w:jc w:val="center"/>
              <w:rPr>
                <w:color w:val="000000" w:themeColor="text1"/>
              </w:rPr>
            </w:pPr>
            <w:r w:rsidRPr="004D1AB1">
              <w:rPr>
                <w:color w:val="000000" w:themeColor="text1"/>
              </w:rPr>
              <w:t>8</w:t>
            </w:r>
            <w:r w:rsidR="00865207">
              <w:rPr>
                <w:color w:val="000000" w:themeColor="text1"/>
              </w:rPr>
              <w:t>3</w:t>
            </w:r>
            <w:r w:rsidRPr="004D1AB1">
              <w:rPr>
                <w:color w:val="000000" w:themeColor="text1"/>
              </w:rPr>
              <w:t xml:space="preserve"> %</w:t>
            </w:r>
          </w:p>
        </w:tc>
        <w:tc>
          <w:tcPr>
            <w:tcW w:w="993" w:type="dxa"/>
          </w:tcPr>
          <w:p w:rsidR="00C10BF5" w:rsidRPr="004D1AB1" w:rsidRDefault="00865207" w:rsidP="00C10BF5">
            <w:pPr>
              <w:pStyle w:val="Default"/>
              <w:jc w:val="center"/>
              <w:rPr>
                <w:color w:val="000000" w:themeColor="text1"/>
              </w:rPr>
            </w:pPr>
            <w:r>
              <w:rPr>
                <w:color w:val="000000" w:themeColor="text1"/>
              </w:rPr>
              <w:t>4</w:t>
            </w:r>
            <w:r w:rsidR="00C10BF5" w:rsidRPr="004D1AB1">
              <w:rPr>
                <w:color w:val="000000" w:themeColor="text1"/>
              </w:rPr>
              <w:t xml:space="preserve"> %</w:t>
            </w:r>
          </w:p>
        </w:tc>
        <w:tc>
          <w:tcPr>
            <w:tcW w:w="994" w:type="dxa"/>
          </w:tcPr>
          <w:p w:rsidR="00C10BF5" w:rsidRPr="004D1AB1" w:rsidRDefault="00C10BF5" w:rsidP="00C10BF5">
            <w:pPr>
              <w:pStyle w:val="Default"/>
              <w:jc w:val="center"/>
              <w:rPr>
                <w:color w:val="000000" w:themeColor="text1"/>
              </w:rPr>
            </w:pPr>
            <w:r w:rsidRPr="004D1AB1">
              <w:rPr>
                <w:color w:val="000000" w:themeColor="text1"/>
              </w:rPr>
              <w:t>2 %</w:t>
            </w:r>
          </w:p>
        </w:tc>
        <w:tc>
          <w:tcPr>
            <w:tcW w:w="1415" w:type="dxa"/>
          </w:tcPr>
          <w:p w:rsidR="00C10BF5" w:rsidRPr="004D1AB1" w:rsidRDefault="00C10BF5" w:rsidP="00C10BF5">
            <w:pPr>
              <w:pStyle w:val="Default"/>
              <w:jc w:val="center"/>
              <w:rPr>
                <w:color w:val="000000" w:themeColor="text1"/>
              </w:rPr>
            </w:pPr>
          </w:p>
        </w:tc>
      </w:tr>
    </w:tbl>
    <w:p w:rsidR="00C10BF5" w:rsidRPr="00D71644" w:rsidRDefault="00C10BF5" w:rsidP="00C10BF5">
      <w:pPr>
        <w:ind w:firstLine="709"/>
        <w:jc w:val="both"/>
        <w:rPr>
          <w:color w:val="000000" w:themeColor="text1"/>
        </w:rPr>
      </w:pPr>
    </w:p>
    <w:p w:rsidR="00C10BF5" w:rsidRPr="00D71644" w:rsidRDefault="00C10BF5" w:rsidP="00C10BF5">
      <w:pPr>
        <w:ind w:firstLine="709"/>
        <w:rPr>
          <w:color w:val="000000" w:themeColor="text1"/>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3998"/>
        <w:gridCol w:w="2693"/>
      </w:tblGrid>
      <w:tr w:rsidR="00C10BF5" w:rsidRPr="004D1AB1" w:rsidTr="004D1AB1">
        <w:trPr>
          <w:trHeight w:val="100"/>
        </w:trPr>
        <w:tc>
          <w:tcPr>
            <w:tcW w:w="2943" w:type="dxa"/>
          </w:tcPr>
          <w:p w:rsidR="00C10BF5" w:rsidRPr="004D1AB1" w:rsidRDefault="00C10BF5" w:rsidP="00C10BF5">
            <w:pPr>
              <w:pStyle w:val="Default"/>
              <w:ind w:firstLine="29"/>
              <w:jc w:val="center"/>
              <w:rPr>
                <w:color w:val="000000" w:themeColor="text1"/>
              </w:rPr>
            </w:pPr>
            <w:r w:rsidRPr="004D1AB1">
              <w:rPr>
                <w:color w:val="000000" w:themeColor="text1"/>
              </w:rPr>
              <w:t>Вид альтернативи</w:t>
            </w:r>
          </w:p>
        </w:tc>
        <w:tc>
          <w:tcPr>
            <w:tcW w:w="3998" w:type="dxa"/>
          </w:tcPr>
          <w:p w:rsidR="00C10BF5" w:rsidRPr="004D1AB1" w:rsidRDefault="00C10BF5" w:rsidP="00C10BF5">
            <w:pPr>
              <w:pStyle w:val="Default"/>
              <w:jc w:val="center"/>
              <w:rPr>
                <w:color w:val="000000" w:themeColor="text1"/>
              </w:rPr>
            </w:pPr>
            <w:r w:rsidRPr="004D1AB1">
              <w:rPr>
                <w:color w:val="000000" w:themeColor="text1"/>
              </w:rPr>
              <w:t>Вигоди</w:t>
            </w:r>
          </w:p>
        </w:tc>
        <w:tc>
          <w:tcPr>
            <w:tcW w:w="2693" w:type="dxa"/>
          </w:tcPr>
          <w:p w:rsidR="00C10BF5" w:rsidRPr="004D1AB1" w:rsidRDefault="00C10BF5" w:rsidP="00C10BF5">
            <w:pPr>
              <w:pStyle w:val="Default"/>
              <w:jc w:val="center"/>
              <w:rPr>
                <w:color w:val="000000" w:themeColor="text1"/>
              </w:rPr>
            </w:pPr>
            <w:r w:rsidRPr="004D1AB1">
              <w:rPr>
                <w:color w:val="000000" w:themeColor="text1"/>
              </w:rPr>
              <w:t>Витрати</w:t>
            </w:r>
          </w:p>
        </w:tc>
      </w:tr>
      <w:tr w:rsidR="00C10BF5" w:rsidRPr="004D1AB1" w:rsidTr="004D1AB1">
        <w:trPr>
          <w:trHeight w:val="390"/>
        </w:trPr>
        <w:tc>
          <w:tcPr>
            <w:tcW w:w="2943" w:type="dxa"/>
          </w:tcPr>
          <w:p w:rsidR="00C10BF5" w:rsidRPr="004D1AB1" w:rsidRDefault="00C10BF5" w:rsidP="00C10BF5">
            <w:pPr>
              <w:pStyle w:val="Default"/>
              <w:jc w:val="both"/>
              <w:rPr>
                <w:color w:val="000000" w:themeColor="text1"/>
              </w:rPr>
            </w:pPr>
            <w:r w:rsidRPr="004D1AB1">
              <w:rPr>
                <w:color w:val="000000" w:themeColor="text1"/>
              </w:rPr>
              <w:t xml:space="preserve">Залишення існуючої на даний момент ситуації без змін </w:t>
            </w:r>
          </w:p>
        </w:tc>
        <w:tc>
          <w:tcPr>
            <w:tcW w:w="3998" w:type="dxa"/>
          </w:tcPr>
          <w:p w:rsidR="00C10BF5" w:rsidRPr="004D1AB1" w:rsidRDefault="00C10BF5" w:rsidP="007A2C91">
            <w:pPr>
              <w:pStyle w:val="Default"/>
              <w:jc w:val="both"/>
              <w:rPr>
                <w:color w:val="000000" w:themeColor="text1"/>
              </w:rPr>
            </w:pPr>
            <w:r w:rsidRPr="004D1AB1">
              <w:rPr>
                <w:color w:val="000000" w:themeColor="text1"/>
              </w:rPr>
              <w:t>Відсутні. Альтернатива є неприйнятною, оскільки не забезпечує досягнення поставленої мети</w:t>
            </w:r>
          </w:p>
        </w:tc>
        <w:tc>
          <w:tcPr>
            <w:tcW w:w="2693" w:type="dxa"/>
          </w:tcPr>
          <w:p w:rsidR="00C10BF5" w:rsidRPr="004D1AB1" w:rsidRDefault="00C10BF5" w:rsidP="007A2C91">
            <w:pPr>
              <w:pStyle w:val="Default"/>
              <w:jc w:val="both"/>
              <w:rPr>
                <w:color w:val="000000" w:themeColor="text1"/>
              </w:rPr>
            </w:pPr>
            <w:r w:rsidRPr="004D1AB1">
              <w:rPr>
                <w:color w:val="000000" w:themeColor="text1"/>
              </w:rPr>
              <w:t>Відсутні</w:t>
            </w:r>
          </w:p>
        </w:tc>
      </w:tr>
      <w:tr w:rsidR="00C10BF5" w:rsidRPr="004D1AB1" w:rsidTr="004D1AB1">
        <w:trPr>
          <w:trHeight w:val="594"/>
        </w:trPr>
        <w:tc>
          <w:tcPr>
            <w:tcW w:w="2943" w:type="dxa"/>
          </w:tcPr>
          <w:p w:rsidR="00C10BF5" w:rsidRPr="004D1AB1" w:rsidRDefault="00C10BF5" w:rsidP="00C10BF5">
            <w:pPr>
              <w:pStyle w:val="Default"/>
              <w:jc w:val="both"/>
              <w:rPr>
                <w:color w:val="000000" w:themeColor="text1"/>
              </w:rPr>
            </w:pPr>
            <w:r w:rsidRPr="004D1AB1">
              <w:rPr>
                <w:color w:val="000000" w:themeColor="text1"/>
              </w:rPr>
              <w:t xml:space="preserve">Прийняття регуляторного </w:t>
            </w:r>
            <w:proofErr w:type="spellStart"/>
            <w:r w:rsidRPr="004D1AB1">
              <w:rPr>
                <w:color w:val="000000" w:themeColor="text1"/>
              </w:rPr>
              <w:t>акта</w:t>
            </w:r>
            <w:proofErr w:type="spellEnd"/>
          </w:p>
        </w:tc>
        <w:tc>
          <w:tcPr>
            <w:tcW w:w="3998" w:type="dxa"/>
          </w:tcPr>
          <w:p w:rsidR="00C10BF5" w:rsidRPr="004D1AB1" w:rsidRDefault="00865207" w:rsidP="007A2C91">
            <w:pPr>
              <w:pStyle w:val="Default"/>
              <w:jc w:val="both"/>
              <w:rPr>
                <w:color w:val="000000" w:themeColor="text1"/>
              </w:rPr>
            </w:pPr>
            <w:r w:rsidRPr="00865207">
              <w:rPr>
                <w:color w:val="000000" w:themeColor="text1"/>
              </w:rPr>
              <w:t xml:space="preserve">Прийняття регуляторного </w:t>
            </w:r>
            <w:proofErr w:type="spellStart"/>
            <w:r w:rsidRPr="00865207">
              <w:rPr>
                <w:color w:val="000000" w:themeColor="text1"/>
              </w:rPr>
              <w:t>акта</w:t>
            </w:r>
            <w:proofErr w:type="spellEnd"/>
            <w:r w:rsidRPr="00865207">
              <w:rPr>
                <w:color w:val="000000" w:themeColor="text1"/>
              </w:rPr>
              <w:t xml:space="preserve"> забезпечить виконання пункту 3 розділу II «Прикінцеві та перехідні положення» Закону щодо приведення нормативно-правових</w:t>
            </w:r>
            <w:r w:rsidR="00685DE8">
              <w:rPr>
                <w:color w:val="000000" w:themeColor="text1"/>
              </w:rPr>
              <w:t xml:space="preserve"> актів Кабінету Міністрів України </w:t>
            </w:r>
            <w:r w:rsidRPr="00865207">
              <w:rPr>
                <w:color w:val="000000" w:themeColor="text1"/>
              </w:rPr>
              <w:t>у відповідність із цим Законом</w:t>
            </w:r>
          </w:p>
        </w:tc>
        <w:tc>
          <w:tcPr>
            <w:tcW w:w="2693" w:type="dxa"/>
          </w:tcPr>
          <w:p w:rsidR="00C10BF5" w:rsidRPr="004D1AB1" w:rsidRDefault="00C10BF5" w:rsidP="00C10BF5">
            <w:pPr>
              <w:jc w:val="both"/>
              <w:rPr>
                <w:color w:val="000000" w:themeColor="text1"/>
              </w:rPr>
            </w:pPr>
            <w:r w:rsidRPr="004D1AB1">
              <w:rPr>
                <w:color w:val="000000" w:themeColor="text1"/>
              </w:rPr>
              <w:t xml:space="preserve">Витрати, пов’язані з реалізацією положень регуляторного </w:t>
            </w:r>
            <w:proofErr w:type="spellStart"/>
            <w:r w:rsidRPr="004D1AB1">
              <w:rPr>
                <w:color w:val="000000" w:themeColor="text1"/>
              </w:rPr>
              <w:t>акта</w:t>
            </w:r>
            <w:proofErr w:type="spellEnd"/>
            <w:r w:rsidRPr="004D1AB1">
              <w:rPr>
                <w:color w:val="000000" w:themeColor="text1"/>
              </w:rPr>
              <w:t xml:space="preserve"> (додаток 2)  </w:t>
            </w:r>
          </w:p>
        </w:tc>
      </w:tr>
    </w:tbl>
    <w:p w:rsidR="00C10BF5" w:rsidRPr="00D71644" w:rsidRDefault="00C10BF5" w:rsidP="00C10BF5">
      <w:pPr>
        <w:ind w:firstLine="709"/>
        <w:jc w:val="both"/>
        <w:rPr>
          <w:color w:val="000000" w:themeColor="text1"/>
          <w:sz w:val="26"/>
          <w:szCs w:val="26"/>
        </w:rPr>
      </w:pPr>
    </w:p>
    <w:p w:rsidR="00C10BF5" w:rsidRPr="00D71644" w:rsidRDefault="00C10BF5" w:rsidP="00C10BF5">
      <w:pPr>
        <w:ind w:firstLine="709"/>
        <w:jc w:val="both"/>
        <w:rPr>
          <w:color w:val="000000" w:themeColor="text1"/>
          <w:sz w:val="26"/>
          <w:szCs w:val="26"/>
        </w:rPr>
      </w:pPr>
    </w:p>
    <w:p w:rsidR="00C10BF5" w:rsidRPr="00D71644" w:rsidRDefault="00C10BF5" w:rsidP="00C10BF5">
      <w:pPr>
        <w:ind w:firstLine="709"/>
        <w:jc w:val="center"/>
        <w:rPr>
          <w:b/>
          <w:bCs/>
          <w:color w:val="000000" w:themeColor="text1"/>
          <w:sz w:val="26"/>
          <w:szCs w:val="26"/>
        </w:rPr>
      </w:pPr>
      <w:r w:rsidRPr="00D71644">
        <w:rPr>
          <w:b/>
          <w:bCs/>
          <w:color w:val="000000" w:themeColor="text1"/>
          <w:sz w:val="26"/>
          <w:szCs w:val="26"/>
        </w:rPr>
        <w:t>IV. Вибір найбільш оптимального альтернативного способу досягнення цілей</w:t>
      </w:r>
    </w:p>
    <w:p w:rsidR="00C10BF5" w:rsidRPr="00D71644" w:rsidRDefault="00C10BF5" w:rsidP="00C10BF5">
      <w:pPr>
        <w:ind w:firstLine="709"/>
        <w:jc w:val="center"/>
        <w:rPr>
          <w:b/>
          <w:bCs/>
          <w:color w:val="000000" w:themeColor="text1"/>
          <w:sz w:val="26"/>
          <w:szCs w:val="2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3120"/>
        <w:gridCol w:w="3394"/>
      </w:tblGrid>
      <w:tr w:rsidR="00C10BF5" w:rsidRPr="00C10BF5" w:rsidTr="004D1AB1">
        <w:trPr>
          <w:trHeight w:val="390"/>
        </w:trPr>
        <w:tc>
          <w:tcPr>
            <w:tcW w:w="3120" w:type="dxa"/>
          </w:tcPr>
          <w:p w:rsidR="00C10BF5" w:rsidRPr="004D1AB1" w:rsidRDefault="00C10BF5" w:rsidP="00C10BF5">
            <w:pPr>
              <w:pStyle w:val="Default"/>
              <w:jc w:val="center"/>
              <w:rPr>
                <w:color w:val="000000" w:themeColor="text1"/>
              </w:rPr>
            </w:pPr>
            <w:r w:rsidRPr="004D1AB1">
              <w:rPr>
                <w:color w:val="000000" w:themeColor="text1"/>
              </w:rPr>
              <w:t>Рейтинг результативності (досягнення цілей під час вирішення проблеми)</w:t>
            </w:r>
          </w:p>
        </w:tc>
        <w:tc>
          <w:tcPr>
            <w:tcW w:w="3120" w:type="dxa"/>
          </w:tcPr>
          <w:p w:rsidR="00C10BF5" w:rsidRPr="004D1AB1" w:rsidRDefault="00C10BF5" w:rsidP="00C10BF5">
            <w:pPr>
              <w:pStyle w:val="Default"/>
              <w:ind w:left="-1"/>
              <w:jc w:val="center"/>
              <w:rPr>
                <w:color w:val="000000" w:themeColor="text1"/>
              </w:rPr>
            </w:pPr>
            <w:r w:rsidRPr="004D1AB1">
              <w:rPr>
                <w:color w:val="000000" w:themeColor="text1"/>
              </w:rPr>
              <w:t>Бал результативності</w:t>
            </w:r>
          </w:p>
          <w:p w:rsidR="00C10BF5" w:rsidRPr="004D1AB1" w:rsidRDefault="00C10BF5" w:rsidP="00C10BF5">
            <w:pPr>
              <w:pStyle w:val="Default"/>
              <w:ind w:left="-1"/>
              <w:jc w:val="center"/>
              <w:rPr>
                <w:color w:val="000000" w:themeColor="text1"/>
              </w:rPr>
            </w:pPr>
            <w:r w:rsidRPr="004D1AB1">
              <w:rPr>
                <w:color w:val="000000" w:themeColor="text1"/>
              </w:rPr>
              <w:t>(за чотирибальною системою оцінки)</w:t>
            </w:r>
          </w:p>
        </w:tc>
        <w:tc>
          <w:tcPr>
            <w:tcW w:w="3394" w:type="dxa"/>
          </w:tcPr>
          <w:p w:rsidR="00C10BF5" w:rsidRPr="004D1AB1" w:rsidRDefault="00C10BF5" w:rsidP="00C10BF5">
            <w:pPr>
              <w:pStyle w:val="Default"/>
              <w:ind w:left="-3"/>
              <w:jc w:val="center"/>
              <w:rPr>
                <w:color w:val="000000" w:themeColor="text1"/>
              </w:rPr>
            </w:pPr>
            <w:r w:rsidRPr="004D1AB1">
              <w:rPr>
                <w:color w:val="000000" w:themeColor="text1"/>
              </w:rPr>
              <w:t xml:space="preserve">Коментарі щодо присвоєння відповідного </w:t>
            </w:r>
            <w:proofErr w:type="spellStart"/>
            <w:r w:rsidRPr="004D1AB1">
              <w:rPr>
                <w:color w:val="000000" w:themeColor="text1"/>
              </w:rPr>
              <w:t>бала</w:t>
            </w:r>
            <w:proofErr w:type="spellEnd"/>
          </w:p>
        </w:tc>
      </w:tr>
      <w:tr w:rsidR="00C10BF5" w:rsidRPr="00C10BF5" w:rsidTr="004D1AB1">
        <w:trPr>
          <w:trHeight w:val="484"/>
        </w:trPr>
        <w:tc>
          <w:tcPr>
            <w:tcW w:w="3120" w:type="dxa"/>
          </w:tcPr>
          <w:p w:rsidR="00C10BF5" w:rsidRPr="004D1AB1" w:rsidRDefault="00C10BF5" w:rsidP="00C10BF5">
            <w:pPr>
              <w:pStyle w:val="Default"/>
              <w:ind w:firstLine="284"/>
              <w:jc w:val="both"/>
              <w:rPr>
                <w:color w:val="000000" w:themeColor="text1"/>
              </w:rPr>
            </w:pPr>
            <w:r w:rsidRPr="004D1AB1">
              <w:rPr>
                <w:color w:val="000000" w:themeColor="text1"/>
              </w:rPr>
              <w:t xml:space="preserve">Залишення існуючої на даний момент ситуації без змін </w:t>
            </w:r>
          </w:p>
        </w:tc>
        <w:tc>
          <w:tcPr>
            <w:tcW w:w="3120" w:type="dxa"/>
          </w:tcPr>
          <w:p w:rsidR="00C10BF5" w:rsidRPr="004D1AB1" w:rsidRDefault="00C10BF5" w:rsidP="00C10BF5">
            <w:pPr>
              <w:pStyle w:val="Default"/>
              <w:ind w:hanging="1"/>
              <w:jc w:val="center"/>
              <w:rPr>
                <w:color w:val="000000" w:themeColor="text1"/>
              </w:rPr>
            </w:pPr>
          </w:p>
          <w:p w:rsidR="00C10BF5" w:rsidRPr="004D1AB1" w:rsidRDefault="00C10BF5" w:rsidP="00C10BF5">
            <w:pPr>
              <w:pStyle w:val="Default"/>
              <w:ind w:hanging="1"/>
              <w:jc w:val="center"/>
              <w:rPr>
                <w:color w:val="000000" w:themeColor="text1"/>
              </w:rPr>
            </w:pPr>
            <w:r w:rsidRPr="004D1AB1">
              <w:rPr>
                <w:color w:val="000000" w:themeColor="text1"/>
              </w:rPr>
              <w:t>1</w:t>
            </w:r>
          </w:p>
        </w:tc>
        <w:tc>
          <w:tcPr>
            <w:tcW w:w="3394" w:type="dxa"/>
          </w:tcPr>
          <w:p w:rsidR="00C10BF5" w:rsidRPr="004D1AB1" w:rsidRDefault="00C10BF5" w:rsidP="007A2C91">
            <w:pPr>
              <w:pStyle w:val="rvps2"/>
              <w:shd w:val="clear" w:color="auto" w:fill="FFFFFF"/>
              <w:spacing w:before="0" w:beforeAutospacing="0" w:after="0" w:afterAutospacing="0"/>
              <w:jc w:val="both"/>
              <w:rPr>
                <w:color w:val="000000" w:themeColor="text1"/>
                <w:lang w:val="uk-UA"/>
              </w:rPr>
            </w:pPr>
            <w:r w:rsidRPr="004D1AB1">
              <w:rPr>
                <w:iCs/>
                <w:color w:val="000000" w:themeColor="text1"/>
                <w:lang w:val="uk-UA"/>
              </w:rPr>
              <w:t xml:space="preserve">Відсутність нормативних актів призведе до </w:t>
            </w:r>
            <w:r w:rsidR="00F619D5">
              <w:rPr>
                <w:iCs/>
                <w:color w:val="000000" w:themeColor="text1"/>
                <w:lang w:val="uk-UA"/>
              </w:rPr>
              <w:t>невиконання вимог Закону щодо приведення нормативно- правових актів</w:t>
            </w:r>
            <w:r w:rsidR="00685DE8">
              <w:rPr>
                <w:iCs/>
                <w:color w:val="000000" w:themeColor="text1"/>
                <w:lang w:val="uk-UA"/>
              </w:rPr>
              <w:t xml:space="preserve"> Кабінету Міністрів України </w:t>
            </w:r>
            <w:r w:rsidR="00F619D5">
              <w:rPr>
                <w:iCs/>
                <w:color w:val="000000" w:themeColor="text1"/>
                <w:lang w:val="uk-UA"/>
              </w:rPr>
              <w:t>у відповідність із цим Законом</w:t>
            </w:r>
          </w:p>
        </w:tc>
      </w:tr>
      <w:tr w:rsidR="00C10BF5" w:rsidRPr="00C10BF5" w:rsidTr="004D1AB1">
        <w:trPr>
          <w:trHeight w:val="405"/>
        </w:trPr>
        <w:tc>
          <w:tcPr>
            <w:tcW w:w="3120" w:type="dxa"/>
          </w:tcPr>
          <w:p w:rsidR="00C10BF5" w:rsidRPr="004D1AB1" w:rsidRDefault="00C10BF5" w:rsidP="00C10BF5">
            <w:pPr>
              <w:pStyle w:val="Default"/>
              <w:ind w:firstLine="284"/>
              <w:jc w:val="both"/>
              <w:rPr>
                <w:color w:val="000000" w:themeColor="text1"/>
              </w:rPr>
            </w:pPr>
            <w:r w:rsidRPr="004D1AB1">
              <w:rPr>
                <w:color w:val="000000" w:themeColor="text1"/>
              </w:rPr>
              <w:t xml:space="preserve">Прийняття регуляторного </w:t>
            </w:r>
            <w:proofErr w:type="spellStart"/>
            <w:r w:rsidRPr="004D1AB1">
              <w:rPr>
                <w:color w:val="000000" w:themeColor="text1"/>
              </w:rPr>
              <w:t>акта</w:t>
            </w:r>
            <w:proofErr w:type="spellEnd"/>
          </w:p>
        </w:tc>
        <w:tc>
          <w:tcPr>
            <w:tcW w:w="3120" w:type="dxa"/>
          </w:tcPr>
          <w:p w:rsidR="00C10BF5" w:rsidRPr="004D1AB1" w:rsidRDefault="00C10BF5" w:rsidP="00C10BF5">
            <w:pPr>
              <w:pStyle w:val="Default"/>
              <w:ind w:hanging="1"/>
              <w:jc w:val="center"/>
              <w:rPr>
                <w:color w:val="000000" w:themeColor="text1"/>
              </w:rPr>
            </w:pPr>
          </w:p>
          <w:p w:rsidR="00C10BF5" w:rsidRPr="004D1AB1" w:rsidRDefault="00C10BF5" w:rsidP="00C10BF5">
            <w:pPr>
              <w:pStyle w:val="Default"/>
              <w:ind w:hanging="1"/>
              <w:jc w:val="center"/>
              <w:rPr>
                <w:color w:val="000000" w:themeColor="text1"/>
              </w:rPr>
            </w:pPr>
            <w:r w:rsidRPr="004D1AB1">
              <w:rPr>
                <w:color w:val="000000" w:themeColor="text1"/>
              </w:rPr>
              <w:t>4</w:t>
            </w:r>
          </w:p>
        </w:tc>
        <w:tc>
          <w:tcPr>
            <w:tcW w:w="3394" w:type="dxa"/>
          </w:tcPr>
          <w:p w:rsidR="00C10BF5" w:rsidRPr="004D1AB1" w:rsidRDefault="00C10BF5" w:rsidP="007A2C91">
            <w:pPr>
              <w:pStyle w:val="Default"/>
              <w:jc w:val="both"/>
              <w:rPr>
                <w:color w:val="000000" w:themeColor="text1"/>
              </w:rPr>
            </w:pPr>
            <w:r w:rsidRPr="004D1AB1">
              <w:rPr>
                <w:color w:val="000000" w:themeColor="text1"/>
              </w:rPr>
              <w:t xml:space="preserve">Прийняття регуляторного </w:t>
            </w:r>
            <w:proofErr w:type="spellStart"/>
            <w:r w:rsidRPr="004D1AB1">
              <w:rPr>
                <w:color w:val="000000" w:themeColor="text1"/>
              </w:rPr>
              <w:t>акта</w:t>
            </w:r>
            <w:proofErr w:type="spellEnd"/>
            <w:r w:rsidRPr="004D1AB1">
              <w:rPr>
                <w:color w:val="000000" w:themeColor="text1"/>
              </w:rPr>
              <w:t xml:space="preserve"> </w:t>
            </w:r>
            <w:r w:rsidRPr="004D1AB1">
              <w:rPr>
                <w:rFonts w:eastAsia="Times New Roman"/>
                <w:color w:val="000000" w:themeColor="text1"/>
                <w:lang w:eastAsia="ru-RU"/>
              </w:rPr>
              <w:t xml:space="preserve">дозволить </w:t>
            </w:r>
            <w:r w:rsidR="00F619D5">
              <w:rPr>
                <w:color w:val="000000" w:themeColor="text1"/>
                <w:shd w:val="clear" w:color="auto" w:fill="FFFFFF"/>
              </w:rPr>
              <w:t xml:space="preserve">забезпечити </w:t>
            </w:r>
            <w:r w:rsidR="00F619D5" w:rsidRPr="00F619D5">
              <w:rPr>
                <w:color w:val="000000" w:themeColor="text1"/>
                <w:shd w:val="clear" w:color="auto" w:fill="FFFFFF"/>
              </w:rPr>
              <w:t xml:space="preserve">виконання </w:t>
            </w:r>
            <w:r w:rsidR="00F619D5">
              <w:rPr>
                <w:color w:val="000000" w:themeColor="text1"/>
                <w:shd w:val="clear" w:color="auto" w:fill="FFFFFF"/>
              </w:rPr>
              <w:t xml:space="preserve">вимог Закону </w:t>
            </w:r>
            <w:r w:rsidR="00F619D5" w:rsidRPr="00F619D5">
              <w:rPr>
                <w:color w:val="000000" w:themeColor="text1"/>
                <w:shd w:val="clear" w:color="auto" w:fill="FFFFFF"/>
              </w:rPr>
              <w:t>щодо приведення нормативно-правових актів</w:t>
            </w:r>
            <w:r w:rsidR="00685DE8">
              <w:rPr>
                <w:color w:val="000000" w:themeColor="text1"/>
                <w:shd w:val="clear" w:color="auto" w:fill="FFFFFF"/>
              </w:rPr>
              <w:t xml:space="preserve"> Кабінету Міністрів України</w:t>
            </w:r>
            <w:r w:rsidR="00F619D5" w:rsidRPr="00F619D5">
              <w:rPr>
                <w:color w:val="000000" w:themeColor="text1"/>
                <w:shd w:val="clear" w:color="auto" w:fill="FFFFFF"/>
              </w:rPr>
              <w:t xml:space="preserve"> у відповідність із цим Законом</w:t>
            </w:r>
          </w:p>
        </w:tc>
      </w:tr>
    </w:tbl>
    <w:p w:rsidR="00C10BF5" w:rsidRPr="00C10BF5" w:rsidRDefault="00C10BF5" w:rsidP="00C10BF5">
      <w:pPr>
        <w:ind w:firstLine="709"/>
        <w:jc w:val="both"/>
        <w:rPr>
          <w:color w:val="000000" w:themeColor="text1"/>
          <w:sz w:val="26"/>
          <w:szCs w:val="26"/>
        </w:rPr>
      </w:pPr>
      <w:r w:rsidRPr="00DF7CF3">
        <w:rPr>
          <w:rFonts w:eastAsia="Times New Roman"/>
          <w:noProof/>
          <w:sz w:val="28"/>
          <w:lang w:eastAsia="uk-UA"/>
        </w:rPr>
        <w:lastRenderedPageBreak/>
        <mc:AlternateContent>
          <mc:Choice Requires="wps">
            <w:drawing>
              <wp:anchor distT="0" distB="0" distL="114300" distR="114300" simplePos="0" relativeHeight="251676672" behindDoc="0" locked="0" layoutInCell="1" allowOverlap="1" wp14:anchorId="081E2A08" wp14:editId="083F23F7">
                <wp:simplePos x="0" y="0"/>
                <wp:positionH relativeFrom="column">
                  <wp:posOffset>2949998</wp:posOffset>
                </wp:positionH>
                <wp:positionV relativeFrom="paragraph">
                  <wp:posOffset>-7685617</wp:posOffset>
                </wp:positionV>
                <wp:extent cx="257175" cy="299508"/>
                <wp:effectExtent l="0" t="0" r="28575" b="24765"/>
                <wp:wrapNone/>
                <wp:docPr id="11" name="Поле 11"/>
                <wp:cNvGraphicFramePr/>
                <a:graphic xmlns:a="http://schemas.openxmlformats.org/drawingml/2006/main">
                  <a:graphicData uri="http://schemas.microsoft.com/office/word/2010/wordprocessingShape">
                    <wps:wsp>
                      <wps:cNvSpPr txBox="1"/>
                      <wps:spPr>
                        <a:xfrm>
                          <a:off x="0" y="0"/>
                          <a:ext cx="257175" cy="29950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10BF5" w:rsidRDefault="00C10BF5" w:rsidP="00C10BF5">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1E2A08" id="_x0000_t202" coordsize="21600,21600" o:spt="202" path="m,l,21600r21600,l21600,xe">
                <v:stroke joinstyle="miter"/>
                <v:path gradientshapeok="t" o:connecttype="rect"/>
              </v:shapetype>
              <v:shape id="Поле 11" o:spid="_x0000_s1026" type="#_x0000_t202" style="position:absolute;left:0;text-align:left;margin-left:232.3pt;margin-top:-605.15pt;width:20.25pt;height:2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" fillcolor="white [3201]" strokecolor="white [3212]" strokeweight=".5pt">
                <v:textbox>
                  <w:txbxContent>
                    <w:p w:rsidR="00C10BF5" w:rsidRDefault="00C10BF5" w:rsidP="00C10BF5">
                      <w:r>
                        <w:t>5</w:t>
                      </w:r>
                    </w:p>
                  </w:txbxContent>
                </v:textbox>
              </v:shape>
            </w:pict>
          </mc:Fallback>
        </mc:AlternateContent>
      </w:r>
    </w:p>
    <w:p w:rsidR="00C10BF5" w:rsidRPr="00C10BF5" w:rsidRDefault="00C10BF5" w:rsidP="00C10BF5">
      <w:pPr>
        <w:ind w:firstLine="709"/>
        <w:jc w:val="both"/>
        <w:rPr>
          <w:color w:val="000000" w:themeColor="text1"/>
          <w:sz w:val="26"/>
          <w:szCs w:val="2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851"/>
        <w:gridCol w:w="2013"/>
        <w:gridCol w:w="1247"/>
        <w:gridCol w:w="851"/>
        <w:gridCol w:w="2296"/>
      </w:tblGrid>
      <w:tr w:rsidR="00C10BF5" w:rsidRPr="0026536B" w:rsidTr="004D1AB1">
        <w:trPr>
          <w:trHeight w:val="535"/>
        </w:trPr>
        <w:tc>
          <w:tcPr>
            <w:tcW w:w="2376" w:type="dxa"/>
          </w:tcPr>
          <w:p w:rsidR="00C10BF5" w:rsidRPr="0026536B" w:rsidRDefault="00C10BF5" w:rsidP="00C10BF5">
            <w:pPr>
              <w:pStyle w:val="Default"/>
              <w:jc w:val="center"/>
              <w:rPr>
                <w:color w:val="000000" w:themeColor="text1"/>
              </w:rPr>
            </w:pPr>
            <w:r w:rsidRPr="0026536B">
              <w:rPr>
                <w:color w:val="000000" w:themeColor="text1"/>
              </w:rPr>
              <w:t>Рейтинг результативності</w:t>
            </w:r>
          </w:p>
        </w:tc>
        <w:tc>
          <w:tcPr>
            <w:tcW w:w="2864" w:type="dxa"/>
            <w:gridSpan w:val="2"/>
            <w:shd w:val="clear" w:color="auto" w:fill="FFFFFF" w:themeFill="background1"/>
          </w:tcPr>
          <w:p w:rsidR="00C10BF5" w:rsidRPr="0026536B" w:rsidRDefault="00C10BF5" w:rsidP="00C10BF5">
            <w:pPr>
              <w:pStyle w:val="Default"/>
              <w:jc w:val="center"/>
              <w:rPr>
                <w:color w:val="000000" w:themeColor="text1"/>
              </w:rPr>
            </w:pPr>
            <w:r w:rsidRPr="0026536B">
              <w:rPr>
                <w:color w:val="000000" w:themeColor="text1"/>
              </w:rPr>
              <w:t>Вигоди (підсумок)</w:t>
            </w:r>
          </w:p>
        </w:tc>
        <w:tc>
          <w:tcPr>
            <w:tcW w:w="2098" w:type="dxa"/>
            <w:gridSpan w:val="2"/>
            <w:shd w:val="clear" w:color="auto" w:fill="FFFFFF" w:themeFill="background1"/>
          </w:tcPr>
          <w:p w:rsidR="00C10BF5" w:rsidRPr="0026536B" w:rsidRDefault="00C10BF5" w:rsidP="00C10BF5">
            <w:pPr>
              <w:pStyle w:val="Default"/>
              <w:jc w:val="center"/>
              <w:rPr>
                <w:color w:val="000000" w:themeColor="text1"/>
              </w:rPr>
            </w:pPr>
            <w:r w:rsidRPr="0026536B">
              <w:rPr>
                <w:color w:val="000000" w:themeColor="text1"/>
              </w:rPr>
              <w:t>Витрати (підсумок)</w:t>
            </w:r>
          </w:p>
        </w:tc>
        <w:tc>
          <w:tcPr>
            <w:tcW w:w="2296" w:type="dxa"/>
            <w:shd w:val="clear" w:color="auto" w:fill="FFFFFF" w:themeFill="background1"/>
          </w:tcPr>
          <w:p w:rsidR="00C10BF5" w:rsidRPr="0026536B" w:rsidRDefault="00C10BF5" w:rsidP="00C10BF5">
            <w:pPr>
              <w:pStyle w:val="Default"/>
              <w:jc w:val="center"/>
              <w:rPr>
                <w:color w:val="000000" w:themeColor="text1"/>
              </w:rPr>
            </w:pPr>
            <w:r w:rsidRPr="0026536B">
              <w:rPr>
                <w:color w:val="000000" w:themeColor="text1"/>
              </w:rPr>
              <w:t>Обґрунтування відповідного місця альтернативи у рейтингу</w:t>
            </w:r>
          </w:p>
        </w:tc>
      </w:tr>
      <w:tr w:rsidR="00C10BF5" w:rsidRPr="0026536B" w:rsidTr="004D1AB1">
        <w:trPr>
          <w:trHeight w:val="303"/>
        </w:trPr>
        <w:tc>
          <w:tcPr>
            <w:tcW w:w="2376" w:type="dxa"/>
          </w:tcPr>
          <w:p w:rsidR="00C10BF5" w:rsidRPr="0026536B" w:rsidRDefault="00C10BF5" w:rsidP="00C10BF5">
            <w:pPr>
              <w:pStyle w:val="Default"/>
            </w:pPr>
            <w:r w:rsidRPr="0026536B">
              <w:t xml:space="preserve">Залишення існуючої на даний момент ситуації без змін </w:t>
            </w:r>
          </w:p>
        </w:tc>
        <w:tc>
          <w:tcPr>
            <w:tcW w:w="2864" w:type="dxa"/>
            <w:gridSpan w:val="2"/>
          </w:tcPr>
          <w:p w:rsidR="00C10BF5" w:rsidRPr="0026536B" w:rsidRDefault="00C10BF5" w:rsidP="00C10BF5">
            <w:pPr>
              <w:pStyle w:val="Default"/>
              <w:jc w:val="center"/>
            </w:pPr>
            <w:r w:rsidRPr="0026536B">
              <w:t>Відсутні</w:t>
            </w:r>
          </w:p>
        </w:tc>
        <w:tc>
          <w:tcPr>
            <w:tcW w:w="2098" w:type="dxa"/>
            <w:gridSpan w:val="2"/>
          </w:tcPr>
          <w:p w:rsidR="00C10BF5" w:rsidRPr="0026536B" w:rsidRDefault="00C10BF5" w:rsidP="00C10BF5">
            <w:pPr>
              <w:pStyle w:val="Default"/>
              <w:jc w:val="center"/>
            </w:pPr>
            <w:r w:rsidRPr="0026536B">
              <w:t>Відсутні</w:t>
            </w:r>
          </w:p>
        </w:tc>
        <w:tc>
          <w:tcPr>
            <w:tcW w:w="2296" w:type="dxa"/>
          </w:tcPr>
          <w:p w:rsidR="00C10BF5" w:rsidRPr="0026536B" w:rsidRDefault="00C10BF5" w:rsidP="007A2C91">
            <w:pPr>
              <w:ind w:firstLine="34"/>
              <w:jc w:val="both"/>
              <w:rPr>
                <w:color w:val="000000" w:themeColor="text1"/>
              </w:rPr>
            </w:pPr>
            <w:r w:rsidRPr="0026536B">
              <w:rPr>
                <w:color w:val="000000"/>
              </w:rPr>
              <w:t>У разі залишення існуючої на даний момент ситуації без змін</w:t>
            </w:r>
            <w:r w:rsidR="008E3EA3">
              <w:rPr>
                <w:color w:val="000000"/>
              </w:rPr>
              <w:t xml:space="preserve"> </w:t>
            </w:r>
            <w:r w:rsidR="00447ED5" w:rsidRPr="0026536B">
              <w:t xml:space="preserve">задекларовані цілі </w:t>
            </w:r>
            <w:r w:rsidR="00447ED5">
              <w:t xml:space="preserve">не </w:t>
            </w:r>
            <w:r w:rsidR="00447ED5" w:rsidRPr="0026536B">
              <w:t>будуть досягнуті</w:t>
            </w:r>
          </w:p>
        </w:tc>
      </w:tr>
      <w:tr w:rsidR="00C10BF5" w:rsidRPr="0026536B" w:rsidTr="004D1AB1">
        <w:trPr>
          <w:trHeight w:val="303"/>
        </w:trPr>
        <w:tc>
          <w:tcPr>
            <w:tcW w:w="2376" w:type="dxa"/>
          </w:tcPr>
          <w:p w:rsidR="00C10BF5" w:rsidRPr="0026536B" w:rsidRDefault="00C10BF5" w:rsidP="00C10BF5">
            <w:pPr>
              <w:pStyle w:val="Default"/>
            </w:pPr>
            <w:r w:rsidRPr="0026536B">
              <w:t xml:space="preserve">Прийняття регуляторного </w:t>
            </w:r>
            <w:proofErr w:type="spellStart"/>
            <w:r w:rsidRPr="0026536B">
              <w:t>акта</w:t>
            </w:r>
            <w:proofErr w:type="spellEnd"/>
            <w:r w:rsidRPr="0026536B">
              <w:t xml:space="preserve"> </w:t>
            </w:r>
          </w:p>
        </w:tc>
        <w:tc>
          <w:tcPr>
            <w:tcW w:w="2864" w:type="dxa"/>
            <w:gridSpan w:val="2"/>
          </w:tcPr>
          <w:p w:rsidR="00C10BF5" w:rsidRPr="0026536B" w:rsidRDefault="00C10BF5" w:rsidP="007A2C91">
            <w:pPr>
              <w:jc w:val="both"/>
              <w:rPr>
                <w:color w:val="000000"/>
              </w:rPr>
            </w:pPr>
            <w:r w:rsidRPr="0026536B">
              <w:rPr>
                <w:color w:val="000000"/>
              </w:rPr>
              <w:t xml:space="preserve">Прийняття регуляторного </w:t>
            </w:r>
            <w:proofErr w:type="spellStart"/>
            <w:r w:rsidRPr="0026536B">
              <w:rPr>
                <w:color w:val="000000"/>
              </w:rPr>
              <w:t>акта</w:t>
            </w:r>
            <w:proofErr w:type="spellEnd"/>
            <w:r w:rsidRPr="0026536B">
              <w:rPr>
                <w:color w:val="000000"/>
              </w:rPr>
              <w:t xml:space="preserve"> дозволить </w:t>
            </w:r>
            <w:r w:rsidR="00F619D5" w:rsidRPr="00F619D5">
              <w:rPr>
                <w:color w:val="000000"/>
              </w:rPr>
              <w:t>забезпечити виконання вимог Закону щодо приведення нормативно-правових актів</w:t>
            </w:r>
            <w:r w:rsidR="00685DE8">
              <w:rPr>
                <w:color w:val="000000"/>
              </w:rPr>
              <w:t xml:space="preserve"> Кабінету Міністрів України</w:t>
            </w:r>
            <w:r w:rsidR="00F619D5" w:rsidRPr="00F619D5">
              <w:rPr>
                <w:color w:val="000000"/>
              </w:rPr>
              <w:t xml:space="preserve"> у відповідність із цим Законом</w:t>
            </w:r>
          </w:p>
        </w:tc>
        <w:tc>
          <w:tcPr>
            <w:tcW w:w="2098" w:type="dxa"/>
            <w:gridSpan w:val="2"/>
          </w:tcPr>
          <w:p w:rsidR="00C10BF5" w:rsidRPr="0026536B" w:rsidRDefault="00C10BF5" w:rsidP="00C10BF5">
            <w:pPr>
              <w:pStyle w:val="Default"/>
              <w:jc w:val="both"/>
            </w:pPr>
            <w:r w:rsidRPr="0026536B">
              <w:t xml:space="preserve">У разі прийняття регуляторного </w:t>
            </w:r>
            <w:proofErr w:type="spellStart"/>
            <w:r w:rsidRPr="0026536B">
              <w:t>акта</w:t>
            </w:r>
            <w:proofErr w:type="spellEnd"/>
            <w:r w:rsidRPr="0026536B">
              <w:t>, держава та громадяни не нестимуть ніяких матеріальних та інших витрат</w:t>
            </w:r>
          </w:p>
          <w:p w:rsidR="00C10BF5" w:rsidRPr="0026536B" w:rsidRDefault="00C10BF5" w:rsidP="00C10BF5">
            <w:pPr>
              <w:ind w:firstLine="318"/>
              <w:jc w:val="both"/>
              <w:rPr>
                <w:color w:val="000000"/>
              </w:rPr>
            </w:pPr>
          </w:p>
          <w:p w:rsidR="00C10BF5" w:rsidRPr="0026536B" w:rsidRDefault="00C10BF5" w:rsidP="00C10BF5">
            <w:pPr>
              <w:ind w:firstLine="318"/>
              <w:jc w:val="both"/>
              <w:rPr>
                <w:color w:val="000000"/>
              </w:rPr>
            </w:pPr>
          </w:p>
          <w:p w:rsidR="00C10BF5" w:rsidRPr="0026536B" w:rsidRDefault="00C10BF5" w:rsidP="00C10BF5">
            <w:pPr>
              <w:pStyle w:val="Default"/>
              <w:ind w:firstLine="318"/>
              <w:jc w:val="both"/>
            </w:pPr>
          </w:p>
        </w:tc>
        <w:tc>
          <w:tcPr>
            <w:tcW w:w="2296" w:type="dxa"/>
          </w:tcPr>
          <w:p w:rsidR="00C10BF5" w:rsidRPr="0026536B" w:rsidRDefault="00C10BF5" w:rsidP="007A2C91">
            <w:pPr>
              <w:pStyle w:val="Default"/>
              <w:jc w:val="both"/>
              <w:rPr>
                <w:color w:val="000000" w:themeColor="text1"/>
              </w:rPr>
            </w:pPr>
            <w:r w:rsidRPr="0026536B">
              <w:t xml:space="preserve">У разі прийняття регуляторного </w:t>
            </w:r>
            <w:proofErr w:type="spellStart"/>
            <w:r w:rsidRPr="0026536B">
              <w:t>акта</w:t>
            </w:r>
            <w:proofErr w:type="spellEnd"/>
            <w:r w:rsidRPr="0026536B">
              <w:t xml:space="preserve"> задекларовані цілі будуть досягнуті в  оптимальний спосіб</w:t>
            </w:r>
          </w:p>
        </w:tc>
      </w:tr>
      <w:tr w:rsidR="00C10BF5" w:rsidRPr="0026536B" w:rsidTr="004D1AB1">
        <w:trPr>
          <w:trHeight w:val="688"/>
        </w:trPr>
        <w:tc>
          <w:tcPr>
            <w:tcW w:w="9634" w:type="dxa"/>
            <w:gridSpan w:val="6"/>
            <w:tcBorders>
              <w:top w:val="single" w:sz="4" w:space="0" w:color="auto"/>
              <w:left w:val="nil"/>
              <w:bottom w:val="single" w:sz="4" w:space="0" w:color="auto"/>
              <w:right w:val="nil"/>
            </w:tcBorders>
          </w:tcPr>
          <w:p w:rsidR="00C10BF5" w:rsidRPr="0026536B" w:rsidRDefault="00C10BF5" w:rsidP="00C10BF5">
            <w:pPr>
              <w:pStyle w:val="Default"/>
              <w:ind w:firstLine="709"/>
              <w:jc w:val="both"/>
              <w:rPr>
                <w:color w:val="000000" w:themeColor="text1"/>
              </w:rPr>
            </w:pPr>
          </w:p>
          <w:p w:rsidR="00C10BF5" w:rsidRPr="0026536B" w:rsidRDefault="00C10BF5" w:rsidP="00C10BF5">
            <w:pPr>
              <w:pStyle w:val="Default"/>
              <w:ind w:firstLine="709"/>
              <w:jc w:val="both"/>
              <w:rPr>
                <w:color w:val="000000" w:themeColor="text1"/>
              </w:rPr>
            </w:pPr>
          </w:p>
        </w:tc>
      </w:tr>
      <w:tr w:rsidR="00C10BF5" w:rsidRPr="0026536B" w:rsidTr="004D1AB1">
        <w:trPr>
          <w:trHeight w:val="1219"/>
        </w:trPr>
        <w:tc>
          <w:tcPr>
            <w:tcW w:w="3227" w:type="dxa"/>
            <w:gridSpan w:val="2"/>
          </w:tcPr>
          <w:p w:rsidR="00C10BF5" w:rsidRPr="0026536B" w:rsidRDefault="00C10BF5" w:rsidP="00C10BF5">
            <w:pPr>
              <w:pStyle w:val="Default"/>
              <w:jc w:val="center"/>
              <w:rPr>
                <w:color w:val="000000" w:themeColor="text1"/>
              </w:rPr>
            </w:pPr>
            <w:r w:rsidRPr="0026536B">
              <w:rPr>
                <w:color w:val="000000" w:themeColor="text1"/>
              </w:rPr>
              <w:t>Рейтинг</w:t>
            </w:r>
          </w:p>
        </w:tc>
        <w:tc>
          <w:tcPr>
            <w:tcW w:w="3260" w:type="dxa"/>
            <w:gridSpan w:val="2"/>
          </w:tcPr>
          <w:p w:rsidR="00C10BF5" w:rsidRPr="0026536B" w:rsidRDefault="00C10BF5" w:rsidP="00C10BF5">
            <w:pPr>
              <w:pStyle w:val="Default"/>
              <w:jc w:val="center"/>
              <w:rPr>
                <w:color w:val="000000" w:themeColor="text1"/>
              </w:rPr>
            </w:pPr>
            <w:r w:rsidRPr="0026536B">
              <w:rPr>
                <w:color w:val="000000" w:themeColor="text1"/>
              </w:rPr>
              <w:t>Аргументи щодо переваги обраної альтернативи / причини відмови від альтернативи</w:t>
            </w:r>
          </w:p>
        </w:tc>
        <w:tc>
          <w:tcPr>
            <w:tcW w:w="3147" w:type="dxa"/>
            <w:gridSpan w:val="2"/>
          </w:tcPr>
          <w:p w:rsidR="00C10BF5" w:rsidRPr="0026536B" w:rsidRDefault="00C10BF5" w:rsidP="00C10BF5">
            <w:pPr>
              <w:pStyle w:val="Default"/>
              <w:jc w:val="center"/>
              <w:rPr>
                <w:color w:val="000000" w:themeColor="text1"/>
              </w:rPr>
            </w:pPr>
            <w:r w:rsidRPr="0026536B">
              <w:rPr>
                <w:color w:val="000000" w:themeColor="text1"/>
              </w:rPr>
              <w:t xml:space="preserve">Оцінка ризику зовнішніх чинників на дію запропонованого регуляторного </w:t>
            </w:r>
            <w:proofErr w:type="spellStart"/>
            <w:r w:rsidRPr="0026536B">
              <w:rPr>
                <w:color w:val="000000" w:themeColor="text1"/>
              </w:rPr>
              <w:t>акта</w:t>
            </w:r>
            <w:proofErr w:type="spellEnd"/>
          </w:p>
        </w:tc>
      </w:tr>
      <w:tr w:rsidR="00C10BF5" w:rsidRPr="0026536B" w:rsidTr="004D1AB1">
        <w:trPr>
          <w:trHeight w:val="1091"/>
        </w:trPr>
        <w:tc>
          <w:tcPr>
            <w:tcW w:w="3227" w:type="dxa"/>
            <w:gridSpan w:val="2"/>
          </w:tcPr>
          <w:p w:rsidR="00C10BF5" w:rsidRPr="0026536B" w:rsidRDefault="00C10BF5" w:rsidP="00C10BF5">
            <w:pPr>
              <w:pStyle w:val="Default"/>
              <w:ind w:firstLine="284"/>
              <w:rPr>
                <w:color w:val="000000" w:themeColor="text1"/>
              </w:rPr>
            </w:pPr>
            <w:r w:rsidRPr="0026536B">
              <w:rPr>
                <w:color w:val="000000" w:themeColor="text1"/>
              </w:rPr>
              <w:t>Залишення існуючої на даний момент ситуації без змін</w:t>
            </w:r>
          </w:p>
        </w:tc>
        <w:tc>
          <w:tcPr>
            <w:tcW w:w="3260" w:type="dxa"/>
            <w:gridSpan w:val="2"/>
          </w:tcPr>
          <w:p w:rsidR="00C10BF5" w:rsidRPr="0026536B" w:rsidRDefault="008E3EA3" w:rsidP="007A2C91">
            <w:pPr>
              <w:pStyle w:val="Default"/>
              <w:jc w:val="both"/>
              <w:rPr>
                <w:color w:val="000000" w:themeColor="text1"/>
              </w:rPr>
            </w:pPr>
            <w:r>
              <w:rPr>
                <w:color w:val="000000" w:themeColor="text1"/>
              </w:rPr>
              <w:t>Задекларован</w:t>
            </w:r>
            <w:r w:rsidR="009F432C">
              <w:rPr>
                <w:color w:val="000000" w:themeColor="text1"/>
              </w:rPr>
              <w:t>і</w:t>
            </w:r>
            <w:r>
              <w:rPr>
                <w:color w:val="000000" w:themeColor="text1"/>
              </w:rPr>
              <w:t xml:space="preserve"> ціл</w:t>
            </w:r>
            <w:r w:rsidR="009F432C">
              <w:rPr>
                <w:color w:val="000000" w:themeColor="text1"/>
              </w:rPr>
              <w:t>і</w:t>
            </w:r>
            <w:r>
              <w:rPr>
                <w:color w:val="000000" w:themeColor="text1"/>
              </w:rPr>
              <w:t xml:space="preserve"> не буд</w:t>
            </w:r>
            <w:r w:rsidR="009F432C">
              <w:rPr>
                <w:color w:val="000000" w:themeColor="text1"/>
              </w:rPr>
              <w:t>уть</w:t>
            </w:r>
            <w:r>
              <w:rPr>
                <w:color w:val="000000" w:themeColor="text1"/>
              </w:rPr>
              <w:t xml:space="preserve"> досягнут</w:t>
            </w:r>
            <w:r w:rsidR="009F432C">
              <w:rPr>
                <w:color w:val="000000" w:themeColor="text1"/>
              </w:rPr>
              <w:t>і</w:t>
            </w:r>
          </w:p>
        </w:tc>
        <w:tc>
          <w:tcPr>
            <w:tcW w:w="3147" w:type="dxa"/>
            <w:gridSpan w:val="2"/>
          </w:tcPr>
          <w:p w:rsidR="00C10BF5" w:rsidRPr="0026536B" w:rsidRDefault="00EA12A9" w:rsidP="007A2C91">
            <w:pPr>
              <w:pStyle w:val="Default"/>
              <w:jc w:val="both"/>
              <w:rPr>
                <w:color w:val="000000" w:themeColor="text1"/>
              </w:rPr>
            </w:pPr>
            <w:r>
              <w:rPr>
                <w:color w:val="000000" w:themeColor="text1"/>
              </w:rPr>
              <w:t>Не будуть виконані вимоги Закону</w:t>
            </w:r>
          </w:p>
        </w:tc>
      </w:tr>
      <w:tr w:rsidR="00C10BF5" w:rsidRPr="0026536B" w:rsidTr="004D1AB1">
        <w:trPr>
          <w:trHeight w:val="870"/>
        </w:trPr>
        <w:tc>
          <w:tcPr>
            <w:tcW w:w="3227" w:type="dxa"/>
            <w:gridSpan w:val="2"/>
          </w:tcPr>
          <w:p w:rsidR="00C10BF5" w:rsidRPr="0026536B" w:rsidRDefault="00C10BF5" w:rsidP="00C10BF5">
            <w:pPr>
              <w:pStyle w:val="Default"/>
              <w:ind w:firstLine="284"/>
              <w:rPr>
                <w:color w:val="000000" w:themeColor="text1"/>
              </w:rPr>
            </w:pPr>
            <w:r w:rsidRPr="0026536B">
              <w:rPr>
                <w:color w:val="000000" w:themeColor="text1"/>
              </w:rPr>
              <w:t xml:space="preserve">Прийняття регуляторного </w:t>
            </w:r>
            <w:proofErr w:type="spellStart"/>
            <w:r w:rsidRPr="0026536B">
              <w:rPr>
                <w:color w:val="000000" w:themeColor="text1"/>
              </w:rPr>
              <w:t>акта</w:t>
            </w:r>
            <w:proofErr w:type="spellEnd"/>
          </w:p>
        </w:tc>
        <w:tc>
          <w:tcPr>
            <w:tcW w:w="3260" w:type="dxa"/>
            <w:gridSpan w:val="2"/>
          </w:tcPr>
          <w:p w:rsidR="00C10BF5" w:rsidRPr="0026536B" w:rsidRDefault="00C10BF5" w:rsidP="00C10BF5">
            <w:pPr>
              <w:pStyle w:val="Default"/>
              <w:jc w:val="both"/>
            </w:pPr>
            <w:r w:rsidRPr="0026536B">
              <w:rPr>
                <w:color w:val="000000" w:themeColor="text1"/>
              </w:rPr>
              <w:t xml:space="preserve">Прийняття регуляторного </w:t>
            </w:r>
            <w:proofErr w:type="spellStart"/>
            <w:r w:rsidRPr="0026536B">
              <w:rPr>
                <w:color w:val="000000" w:themeColor="text1"/>
              </w:rPr>
              <w:t>акта</w:t>
            </w:r>
            <w:proofErr w:type="spellEnd"/>
            <w:r w:rsidRPr="0026536B">
              <w:rPr>
                <w:color w:val="000000" w:themeColor="text1"/>
              </w:rPr>
              <w:t xml:space="preserve"> </w:t>
            </w:r>
            <w:r w:rsidRPr="0026536B">
              <w:t>є оптимальним способом досягнення повною мірою задекларован</w:t>
            </w:r>
            <w:r w:rsidR="009F432C">
              <w:t>их</w:t>
            </w:r>
            <w:r w:rsidRPr="0026536B">
              <w:t xml:space="preserve"> ціл</w:t>
            </w:r>
            <w:r w:rsidR="009F432C">
              <w:t>ей</w:t>
            </w:r>
          </w:p>
          <w:p w:rsidR="00C10BF5" w:rsidRPr="0026536B" w:rsidRDefault="00C10BF5" w:rsidP="00C10BF5">
            <w:pPr>
              <w:pStyle w:val="Default"/>
              <w:jc w:val="both"/>
              <w:rPr>
                <w:color w:val="000000" w:themeColor="text1"/>
              </w:rPr>
            </w:pPr>
            <w:r w:rsidRPr="0026536B">
              <w:t xml:space="preserve"> </w:t>
            </w:r>
          </w:p>
          <w:p w:rsidR="00C10BF5" w:rsidRPr="0026536B" w:rsidRDefault="00C10BF5" w:rsidP="00C10BF5">
            <w:pPr>
              <w:pStyle w:val="Default"/>
              <w:jc w:val="both"/>
              <w:rPr>
                <w:color w:val="000000" w:themeColor="text1"/>
              </w:rPr>
            </w:pPr>
          </w:p>
        </w:tc>
        <w:tc>
          <w:tcPr>
            <w:tcW w:w="3147" w:type="dxa"/>
            <w:gridSpan w:val="2"/>
          </w:tcPr>
          <w:p w:rsidR="00C10BF5" w:rsidRPr="0026536B" w:rsidRDefault="00C10BF5" w:rsidP="007A2C91">
            <w:pPr>
              <w:pStyle w:val="Default"/>
              <w:jc w:val="both"/>
              <w:rPr>
                <w:color w:val="000000" w:themeColor="text1"/>
              </w:rPr>
            </w:pPr>
            <w:r w:rsidRPr="0026536B">
              <w:rPr>
                <w:color w:val="000000" w:themeColor="text1"/>
              </w:rPr>
              <w:t xml:space="preserve">На дію цього регуляторного </w:t>
            </w:r>
            <w:proofErr w:type="spellStart"/>
            <w:r w:rsidRPr="0026536B">
              <w:rPr>
                <w:color w:val="000000" w:themeColor="text1"/>
              </w:rPr>
              <w:t>акта</w:t>
            </w:r>
            <w:proofErr w:type="spellEnd"/>
            <w:r w:rsidRPr="0026536B">
              <w:rPr>
                <w:color w:val="000000" w:themeColor="text1"/>
              </w:rPr>
              <w:t xml:space="preserve"> негативно можуть вплинути такі фактори: економічна криза</w:t>
            </w:r>
            <w:r w:rsidR="00EA12A9">
              <w:rPr>
                <w:color w:val="000000" w:themeColor="text1"/>
              </w:rPr>
              <w:t>,</w:t>
            </w:r>
            <w:r w:rsidRPr="0026536B">
              <w:rPr>
                <w:color w:val="000000" w:themeColor="text1"/>
              </w:rPr>
              <w:t xml:space="preserve"> зміни чинного законодавства</w:t>
            </w:r>
          </w:p>
        </w:tc>
      </w:tr>
    </w:tbl>
    <w:p w:rsidR="00C10BF5" w:rsidRPr="00D71644" w:rsidRDefault="00C10BF5" w:rsidP="00C10BF5">
      <w:pPr>
        <w:ind w:firstLine="709"/>
        <w:jc w:val="both"/>
        <w:rPr>
          <w:sz w:val="26"/>
          <w:szCs w:val="26"/>
        </w:rPr>
      </w:pPr>
    </w:p>
    <w:p w:rsidR="00C10BF5" w:rsidRPr="00D71644" w:rsidRDefault="00C10BF5" w:rsidP="00C10BF5">
      <w:pPr>
        <w:ind w:firstLine="709"/>
        <w:jc w:val="both"/>
        <w:rPr>
          <w:sz w:val="26"/>
          <w:szCs w:val="26"/>
        </w:rPr>
      </w:pPr>
    </w:p>
    <w:p w:rsidR="00C10BF5" w:rsidRPr="00C10BF5" w:rsidRDefault="00C10BF5" w:rsidP="00C10BF5">
      <w:pPr>
        <w:pStyle w:val="Default"/>
        <w:ind w:firstLine="709"/>
        <w:jc w:val="both"/>
        <w:rPr>
          <w:b/>
          <w:bCs/>
          <w:sz w:val="28"/>
          <w:szCs w:val="28"/>
        </w:rPr>
      </w:pPr>
      <w:r w:rsidRPr="00C10BF5">
        <w:rPr>
          <w:b/>
          <w:bCs/>
          <w:sz w:val="28"/>
          <w:szCs w:val="28"/>
        </w:rPr>
        <w:t>V. Механізми та заходи, які забезпечать розв’язання визначеної проблеми</w:t>
      </w:r>
    </w:p>
    <w:p w:rsidR="00C10BF5" w:rsidRPr="00C10BF5" w:rsidRDefault="00C10BF5" w:rsidP="00C10BF5">
      <w:pPr>
        <w:pStyle w:val="Default"/>
        <w:ind w:firstLine="709"/>
        <w:jc w:val="both"/>
        <w:rPr>
          <w:b/>
          <w:bCs/>
          <w:sz w:val="28"/>
          <w:szCs w:val="28"/>
        </w:rPr>
      </w:pPr>
    </w:p>
    <w:p w:rsidR="00F619D5" w:rsidRPr="00F619D5" w:rsidRDefault="00F619D5" w:rsidP="00F619D5">
      <w:pPr>
        <w:pStyle w:val="af1"/>
        <w:ind w:firstLine="709"/>
        <w:rPr>
          <w:rFonts w:ascii="Times New Roman" w:hAnsi="Times New Roman"/>
          <w:sz w:val="28"/>
          <w:szCs w:val="28"/>
        </w:rPr>
      </w:pPr>
      <w:proofErr w:type="spellStart"/>
      <w:r w:rsidRPr="00F619D5">
        <w:rPr>
          <w:rFonts w:ascii="Times New Roman" w:hAnsi="Times New Roman"/>
          <w:sz w:val="28"/>
          <w:szCs w:val="28"/>
        </w:rPr>
        <w:t>Проєктом</w:t>
      </w:r>
      <w:proofErr w:type="spellEnd"/>
      <w:r w:rsidRPr="00F619D5">
        <w:rPr>
          <w:rFonts w:ascii="Times New Roman" w:hAnsi="Times New Roman"/>
          <w:sz w:val="28"/>
          <w:szCs w:val="28"/>
        </w:rPr>
        <w:t xml:space="preserve"> постанови пропонується </w:t>
      </w:r>
      <w:proofErr w:type="spellStart"/>
      <w:r w:rsidRPr="00F619D5">
        <w:rPr>
          <w:rFonts w:ascii="Times New Roman" w:hAnsi="Times New Roman"/>
          <w:sz w:val="28"/>
          <w:szCs w:val="28"/>
        </w:rPr>
        <w:t>внести</w:t>
      </w:r>
      <w:proofErr w:type="spellEnd"/>
      <w:r w:rsidRPr="00F619D5">
        <w:rPr>
          <w:rFonts w:ascii="Times New Roman" w:hAnsi="Times New Roman"/>
          <w:sz w:val="28"/>
          <w:szCs w:val="28"/>
        </w:rPr>
        <w:t xml:space="preserve"> зміни до Порядку в частині доповнення суб’єктів ринку природного газу</w:t>
      </w:r>
      <w:r w:rsidR="007A2C91">
        <w:rPr>
          <w:rFonts w:ascii="Times New Roman" w:hAnsi="Times New Roman"/>
          <w:sz w:val="28"/>
          <w:szCs w:val="28"/>
        </w:rPr>
        <w:t>,</w:t>
      </w:r>
      <w:r w:rsidRPr="00F619D5">
        <w:rPr>
          <w:rFonts w:ascii="Times New Roman" w:hAnsi="Times New Roman"/>
          <w:sz w:val="28"/>
          <w:szCs w:val="28"/>
        </w:rPr>
        <w:t xml:space="preserve"> на поточні рахунки яких перераховуються кошти з поточних рахунків із спеціальним режимом використання операторів газорозподільних систем, що надходять як плата за послуги розподілу природного газу, згідно з нормативами розподілу коштів, затвердженими НКРЕКП</w:t>
      </w:r>
      <w:r w:rsidR="00685DE8">
        <w:rPr>
          <w:rFonts w:ascii="Times New Roman" w:hAnsi="Times New Roman"/>
          <w:sz w:val="28"/>
          <w:szCs w:val="28"/>
        </w:rPr>
        <w:t>, а саме</w:t>
      </w:r>
      <w:r w:rsidRPr="00F619D5">
        <w:rPr>
          <w:rFonts w:ascii="Times New Roman" w:hAnsi="Times New Roman"/>
          <w:sz w:val="28"/>
          <w:szCs w:val="28"/>
        </w:rPr>
        <w:t xml:space="preserve"> суб’єктом ринку природного газу, на якого </w:t>
      </w:r>
      <w:r w:rsidRPr="00F619D5">
        <w:rPr>
          <w:rFonts w:ascii="Times New Roman" w:hAnsi="Times New Roman"/>
          <w:sz w:val="28"/>
          <w:szCs w:val="28"/>
        </w:rPr>
        <w:lastRenderedPageBreak/>
        <w:t>покладаються спеціальні обов’язки з реалізації природного газу операторам</w:t>
      </w:r>
      <w:r>
        <w:rPr>
          <w:rFonts w:ascii="Times New Roman" w:hAnsi="Times New Roman"/>
          <w:sz w:val="28"/>
          <w:szCs w:val="28"/>
        </w:rPr>
        <w:t xml:space="preserve"> газорозподільних систем </w:t>
      </w:r>
      <w:r w:rsidRPr="00F619D5">
        <w:rPr>
          <w:rFonts w:ascii="Times New Roman" w:hAnsi="Times New Roman"/>
          <w:sz w:val="28"/>
          <w:szCs w:val="28"/>
        </w:rPr>
        <w:t>та постачальником «останньої надії» (щодо періодів постачання з листопада 2021 року по лютий 2022 року).</w:t>
      </w:r>
    </w:p>
    <w:p w:rsidR="004469A6" w:rsidRDefault="00C10BF5" w:rsidP="00C10BF5">
      <w:pPr>
        <w:ind w:firstLine="708"/>
        <w:jc w:val="both"/>
        <w:rPr>
          <w:rFonts w:eastAsia="Calibri"/>
          <w:sz w:val="28"/>
          <w:szCs w:val="28"/>
        </w:rPr>
      </w:pPr>
      <w:r w:rsidRPr="00C10BF5">
        <w:rPr>
          <w:sz w:val="28"/>
          <w:szCs w:val="28"/>
        </w:rPr>
        <w:t xml:space="preserve">Прийняття регуляторного </w:t>
      </w:r>
      <w:proofErr w:type="spellStart"/>
      <w:r w:rsidRPr="00C10BF5">
        <w:rPr>
          <w:sz w:val="28"/>
          <w:szCs w:val="28"/>
        </w:rPr>
        <w:t>акта</w:t>
      </w:r>
      <w:proofErr w:type="spellEnd"/>
      <w:r w:rsidRPr="00C10BF5">
        <w:rPr>
          <w:sz w:val="28"/>
          <w:szCs w:val="28"/>
        </w:rPr>
        <w:t xml:space="preserve"> матиме позитивний вплив, оскільки забезпечить виконання вимог </w:t>
      </w:r>
      <w:r w:rsidRPr="00C10BF5">
        <w:rPr>
          <w:rFonts w:eastAsia="Times New Roman"/>
          <w:color w:val="000000"/>
          <w:sz w:val="28"/>
          <w:szCs w:val="28"/>
        </w:rPr>
        <w:t>Закону України</w:t>
      </w:r>
      <w:r w:rsidR="004469A6">
        <w:rPr>
          <w:rFonts w:eastAsia="Times New Roman"/>
          <w:color w:val="000000"/>
          <w:sz w:val="28"/>
          <w:szCs w:val="28"/>
        </w:rPr>
        <w:t xml:space="preserve"> </w:t>
      </w:r>
      <w:r w:rsidR="004469A6" w:rsidRPr="004469A6">
        <w:rPr>
          <w:rFonts w:eastAsia="Times New Roman"/>
          <w:color w:val="000000"/>
          <w:sz w:val="28"/>
          <w:szCs w:val="28"/>
        </w:rPr>
        <w:t xml:space="preserve">«Про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щодо приведення нормативно-правових актів </w:t>
      </w:r>
      <w:r w:rsidR="00685DE8">
        <w:rPr>
          <w:rFonts w:eastAsia="Times New Roman"/>
          <w:color w:val="000000"/>
          <w:sz w:val="28"/>
          <w:szCs w:val="28"/>
        </w:rPr>
        <w:t xml:space="preserve">Кабінету Міністрів України </w:t>
      </w:r>
      <w:r w:rsidR="004469A6" w:rsidRPr="004469A6">
        <w:rPr>
          <w:rFonts w:eastAsia="Times New Roman"/>
          <w:color w:val="000000"/>
          <w:sz w:val="28"/>
          <w:szCs w:val="28"/>
        </w:rPr>
        <w:t>у відповідність із цим Законом</w:t>
      </w:r>
      <w:r w:rsidR="00F619D5">
        <w:rPr>
          <w:rFonts w:eastAsia="Times New Roman"/>
          <w:color w:val="000000"/>
          <w:sz w:val="28"/>
          <w:szCs w:val="28"/>
        </w:rPr>
        <w:t xml:space="preserve">. </w:t>
      </w:r>
    </w:p>
    <w:p w:rsidR="00A4646D" w:rsidRDefault="00A4646D" w:rsidP="00C10BF5">
      <w:pPr>
        <w:ind w:firstLine="708"/>
        <w:jc w:val="both"/>
        <w:rPr>
          <w:rFonts w:eastAsia="Calibri"/>
          <w:sz w:val="28"/>
          <w:szCs w:val="28"/>
        </w:rPr>
      </w:pPr>
    </w:p>
    <w:p w:rsidR="006E589C" w:rsidRDefault="006E589C" w:rsidP="00C10BF5">
      <w:pPr>
        <w:pStyle w:val="af2"/>
        <w:widowControl w:val="0"/>
        <w:spacing w:after="0" w:line="240" w:lineRule="auto"/>
        <w:jc w:val="center"/>
        <w:rPr>
          <w:rFonts w:ascii="Times New Roman" w:hAnsi="Times New Roman" w:cs="Times New Roman"/>
          <w:b/>
          <w:bCs/>
          <w:sz w:val="28"/>
          <w:szCs w:val="28"/>
        </w:rPr>
      </w:pPr>
    </w:p>
    <w:p w:rsidR="00C10BF5" w:rsidRPr="00C10BF5" w:rsidRDefault="00C10BF5" w:rsidP="00C10BF5">
      <w:pPr>
        <w:pStyle w:val="af2"/>
        <w:widowControl w:val="0"/>
        <w:spacing w:after="0" w:line="240" w:lineRule="auto"/>
        <w:jc w:val="center"/>
        <w:rPr>
          <w:rFonts w:ascii="Times New Roman" w:hAnsi="Times New Roman" w:cs="Times New Roman"/>
          <w:b/>
          <w:bCs/>
          <w:sz w:val="28"/>
          <w:szCs w:val="28"/>
        </w:rPr>
      </w:pPr>
      <w:r w:rsidRPr="00C10BF5">
        <w:rPr>
          <w:rFonts w:ascii="Times New Roman" w:hAnsi="Times New Roman" w:cs="Times New Roman"/>
          <w:b/>
          <w:bCs/>
          <w:sz w:val="28"/>
          <w:szCs w:val="28"/>
        </w:rPr>
        <w:t xml:space="preserve">     VI. Оцінка виконання вимог регуляторного </w:t>
      </w:r>
      <w:proofErr w:type="spellStart"/>
      <w:r w:rsidRPr="00C10BF5">
        <w:rPr>
          <w:rFonts w:ascii="Times New Roman" w:hAnsi="Times New Roman" w:cs="Times New Roman"/>
          <w:b/>
          <w:bCs/>
          <w:sz w:val="28"/>
          <w:szCs w:val="28"/>
        </w:rPr>
        <w:t>акта</w:t>
      </w:r>
      <w:proofErr w:type="spellEnd"/>
      <w:r w:rsidRPr="00C10BF5">
        <w:rPr>
          <w:rFonts w:ascii="Times New Roman" w:hAnsi="Times New Roman" w:cs="Times New Roman"/>
          <w:b/>
          <w:bCs/>
          <w:sz w:val="28"/>
          <w:szCs w:val="28"/>
        </w:rPr>
        <w:t xml:space="preserve">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C10BF5" w:rsidRPr="00C10BF5" w:rsidRDefault="00C10BF5" w:rsidP="00C10BF5">
      <w:pPr>
        <w:pStyle w:val="af2"/>
        <w:widowControl w:val="0"/>
        <w:spacing w:after="0" w:line="240" w:lineRule="auto"/>
        <w:ind w:firstLine="709"/>
        <w:jc w:val="center"/>
        <w:rPr>
          <w:rFonts w:ascii="Times New Roman" w:hAnsi="Times New Roman" w:cs="Times New Roman"/>
          <w:bCs/>
          <w:sz w:val="28"/>
          <w:szCs w:val="28"/>
        </w:rPr>
      </w:pPr>
    </w:p>
    <w:p w:rsidR="00C10BF5" w:rsidRPr="00C10BF5" w:rsidRDefault="00C10BF5" w:rsidP="00C10BF5">
      <w:pPr>
        <w:pStyle w:val="af2"/>
        <w:widowControl w:val="0"/>
        <w:spacing w:after="0" w:line="240" w:lineRule="auto"/>
        <w:ind w:firstLine="709"/>
        <w:jc w:val="both"/>
        <w:rPr>
          <w:rFonts w:ascii="Times New Roman" w:hAnsi="Times New Roman" w:cs="Times New Roman"/>
          <w:bCs/>
          <w:sz w:val="28"/>
          <w:szCs w:val="28"/>
        </w:rPr>
      </w:pPr>
      <w:r w:rsidRPr="00C10BF5">
        <w:rPr>
          <w:rFonts w:ascii="Times New Roman" w:hAnsi="Times New Roman" w:cs="Times New Roman"/>
          <w:bCs/>
          <w:sz w:val="28"/>
          <w:szCs w:val="28"/>
        </w:rPr>
        <w:t xml:space="preserve">Реалізація регуляторного </w:t>
      </w:r>
      <w:proofErr w:type="spellStart"/>
      <w:r w:rsidRPr="00C10BF5">
        <w:rPr>
          <w:rFonts w:ascii="Times New Roman" w:hAnsi="Times New Roman" w:cs="Times New Roman"/>
          <w:bCs/>
          <w:sz w:val="28"/>
          <w:szCs w:val="28"/>
        </w:rPr>
        <w:t>акта</w:t>
      </w:r>
      <w:proofErr w:type="spellEnd"/>
      <w:r w:rsidRPr="00C10BF5">
        <w:rPr>
          <w:rFonts w:ascii="Times New Roman" w:hAnsi="Times New Roman" w:cs="Times New Roman"/>
          <w:bCs/>
          <w:sz w:val="28"/>
          <w:szCs w:val="28"/>
        </w:rPr>
        <w:t xml:space="preserve"> не потребуватиме додаткових бюджетних витрат і ресурсів на адміністрування регулювання органами виконавчої влади чи органами місцевого самоврядування.</w:t>
      </w:r>
    </w:p>
    <w:p w:rsidR="00C10BF5" w:rsidRPr="00C10BF5" w:rsidRDefault="00C10BF5" w:rsidP="00C10BF5">
      <w:pPr>
        <w:pStyle w:val="af2"/>
        <w:widowControl w:val="0"/>
        <w:spacing w:after="0" w:line="240" w:lineRule="auto"/>
        <w:ind w:firstLine="709"/>
        <w:jc w:val="both"/>
        <w:rPr>
          <w:rFonts w:ascii="Times New Roman" w:hAnsi="Times New Roman" w:cs="Times New Roman"/>
          <w:bCs/>
          <w:color w:val="000000" w:themeColor="text1"/>
          <w:sz w:val="28"/>
          <w:szCs w:val="28"/>
        </w:rPr>
      </w:pPr>
      <w:r w:rsidRPr="00C10BF5">
        <w:rPr>
          <w:rFonts w:ascii="Times New Roman" w:hAnsi="Times New Roman" w:cs="Times New Roman"/>
          <w:bCs/>
          <w:sz w:val="28"/>
          <w:szCs w:val="28"/>
        </w:rPr>
        <w:t xml:space="preserve">Для виконання вимог регуляторного </w:t>
      </w:r>
      <w:proofErr w:type="spellStart"/>
      <w:r w:rsidRPr="00C10BF5">
        <w:rPr>
          <w:rFonts w:ascii="Times New Roman" w:hAnsi="Times New Roman" w:cs="Times New Roman"/>
          <w:bCs/>
          <w:sz w:val="28"/>
          <w:szCs w:val="28"/>
        </w:rPr>
        <w:t>акта</w:t>
      </w:r>
      <w:proofErr w:type="spellEnd"/>
      <w:r w:rsidRPr="00C10BF5">
        <w:rPr>
          <w:rFonts w:ascii="Times New Roman" w:hAnsi="Times New Roman" w:cs="Times New Roman"/>
          <w:bCs/>
          <w:sz w:val="28"/>
          <w:szCs w:val="28"/>
        </w:rPr>
        <w:t xml:space="preserve"> додаткові витрати для суб’єктів </w:t>
      </w:r>
      <w:r w:rsidRPr="00C10BF5">
        <w:rPr>
          <w:rFonts w:ascii="Times New Roman" w:hAnsi="Times New Roman" w:cs="Times New Roman"/>
          <w:bCs/>
          <w:color w:val="000000" w:themeColor="text1"/>
          <w:sz w:val="28"/>
          <w:szCs w:val="28"/>
        </w:rPr>
        <w:t>господарювання не прогнозуються.</w:t>
      </w:r>
    </w:p>
    <w:p w:rsidR="00C10BF5" w:rsidRPr="00727919" w:rsidRDefault="00C10BF5" w:rsidP="00C10BF5">
      <w:pPr>
        <w:pStyle w:val="af2"/>
        <w:widowControl w:val="0"/>
        <w:spacing w:after="0" w:line="240" w:lineRule="auto"/>
        <w:ind w:firstLine="709"/>
        <w:jc w:val="both"/>
        <w:rPr>
          <w:rFonts w:ascii="Times New Roman" w:hAnsi="Times New Roman" w:cs="Times New Roman"/>
          <w:bCs/>
          <w:color w:val="000000" w:themeColor="text1"/>
          <w:sz w:val="28"/>
          <w:szCs w:val="28"/>
        </w:rPr>
      </w:pPr>
      <w:r w:rsidRPr="00C10BF5">
        <w:rPr>
          <w:rFonts w:ascii="Times New Roman" w:hAnsi="Times New Roman" w:cs="Times New Roman"/>
          <w:bCs/>
          <w:color w:val="000000" w:themeColor="text1"/>
          <w:sz w:val="28"/>
          <w:szCs w:val="28"/>
        </w:rPr>
        <w:t xml:space="preserve">Реалізація регуляторного </w:t>
      </w:r>
      <w:proofErr w:type="spellStart"/>
      <w:r w:rsidRPr="00C10BF5">
        <w:rPr>
          <w:rFonts w:ascii="Times New Roman" w:hAnsi="Times New Roman" w:cs="Times New Roman"/>
          <w:bCs/>
          <w:color w:val="000000" w:themeColor="text1"/>
          <w:sz w:val="28"/>
          <w:szCs w:val="28"/>
        </w:rPr>
        <w:t>акта</w:t>
      </w:r>
      <w:proofErr w:type="spellEnd"/>
      <w:r w:rsidRPr="00C10BF5">
        <w:rPr>
          <w:rFonts w:ascii="Times New Roman" w:hAnsi="Times New Roman" w:cs="Times New Roman"/>
          <w:bCs/>
          <w:color w:val="000000" w:themeColor="text1"/>
          <w:sz w:val="28"/>
          <w:szCs w:val="28"/>
        </w:rPr>
        <w:t xml:space="preserve"> потребуватиме врахування його положень </w:t>
      </w:r>
      <w:r w:rsidR="007A2C91">
        <w:rPr>
          <w:rFonts w:ascii="Times New Roman" w:hAnsi="Times New Roman" w:cs="Times New Roman"/>
          <w:bCs/>
          <w:color w:val="000000" w:themeColor="text1"/>
          <w:sz w:val="28"/>
          <w:szCs w:val="28"/>
        </w:rPr>
        <w:t>у</w:t>
      </w:r>
      <w:r w:rsidRPr="00C10BF5">
        <w:rPr>
          <w:rFonts w:ascii="Times New Roman" w:hAnsi="Times New Roman" w:cs="Times New Roman"/>
          <w:bCs/>
          <w:color w:val="000000" w:themeColor="text1"/>
          <w:sz w:val="28"/>
          <w:szCs w:val="28"/>
        </w:rPr>
        <w:t xml:space="preserve"> роботі </w:t>
      </w:r>
      <w:r w:rsidRPr="00727919">
        <w:rPr>
          <w:rFonts w:ascii="Times New Roman" w:hAnsi="Times New Roman" w:cs="Times New Roman"/>
          <w:bCs/>
          <w:color w:val="000000" w:themeColor="text1"/>
          <w:sz w:val="28"/>
          <w:szCs w:val="28"/>
        </w:rPr>
        <w:t>НКРЕКП під час виконання обов’язків відповідно до вимог пункту 7</w:t>
      </w:r>
      <w:r w:rsidRPr="00727919">
        <w:rPr>
          <w:rFonts w:ascii="Times New Roman" w:hAnsi="Times New Roman" w:cs="Times New Roman"/>
          <w:bCs/>
          <w:color w:val="000000" w:themeColor="text1"/>
          <w:sz w:val="28"/>
          <w:szCs w:val="28"/>
          <w:vertAlign w:val="superscript"/>
        </w:rPr>
        <w:t>3</w:t>
      </w:r>
      <w:r w:rsidRPr="00727919">
        <w:rPr>
          <w:rFonts w:ascii="Times New Roman" w:hAnsi="Times New Roman" w:cs="Times New Roman"/>
          <w:bCs/>
          <w:color w:val="000000" w:themeColor="text1"/>
          <w:sz w:val="28"/>
          <w:szCs w:val="28"/>
        </w:rPr>
        <w:t xml:space="preserve"> частини третьої статті 4 Закону України «Про ринок природного газу», відповідно до яких </w:t>
      </w:r>
      <w:r w:rsidR="00685DE8">
        <w:rPr>
          <w:rFonts w:ascii="Times New Roman" w:hAnsi="Times New Roman" w:cs="Times New Roman"/>
          <w:bCs/>
          <w:color w:val="000000" w:themeColor="text1"/>
          <w:sz w:val="28"/>
          <w:szCs w:val="28"/>
        </w:rPr>
        <w:t>Регулятор</w:t>
      </w:r>
      <w:r w:rsidRPr="00727919">
        <w:rPr>
          <w:rFonts w:ascii="Times New Roman" w:hAnsi="Times New Roman" w:cs="Times New Roman"/>
          <w:bCs/>
          <w:color w:val="000000" w:themeColor="text1"/>
          <w:sz w:val="28"/>
          <w:szCs w:val="28"/>
        </w:rPr>
        <w:t xml:space="preserve"> затверджує нормативи розподілу коштів з поточних рахунків із спеціальним режимом використання </w:t>
      </w:r>
      <w:r w:rsidR="00685DE8">
        <w:rPr>
          <w:rFonts w:ascii="Times New Roman" w:hAnsi="Times New Roman" w:cs="Times New Roman"/>
          <w:bCs/>
          <w:color w:val="000000" w:themeColor="text1"/>
          <w:sz w:val="28"/>
          <w:szCs w:val="28"/>
        </w:rPr>
        <w:t>о</w:t>
      </w:r>
      <w:r w:rsidRPr="00727919">
        <w:rPr>
          <w:rFonts w:ascii="Times New Roman" w:hAnsi="Times New Roman" w:cs="Times New Roman"/>
          <w:bCs/>
          <w:color w:val="000000" w:themeColor="text1"/>
          <w:sz w:val="28"/>
          <w:szCs w:val="28"/>
        </w:rPr>
        <w:t xml:space="preserve">ператорів </w:t>
      </w:r>
      <w:r w:rsidR="00685DE8">
        <w:rPr>
          <w:rFonts w:ascii="Times New Roman" w:hAnsi="Times New Roman" w:cs="Times New Roman"/>
          <w:bCs/>
          <w:color w:val="000000" w:themeColor="text1"/>
          <w:sz w:val="28"/>
          <w:szCs w:val="28"/>
        </w:rPr>
        <w:t>газорозподільних систем.</w:t>
      </w:r>
      <w:r w:rsidRPr="00727919">
        <w:rPr>
          <w:rFonts w:ascii="Times New Roman" w:hAnsi="Times New Roman" w:cs="Times New Roman"/>
          <w:bCs/>
          <w:color w:val="000000" w:themeColor="text1"/>
          <w:sz w:val="28"/>
          <w:szCs w:val="28"/>
        </w:rPr>
        <w:t xml:space="preserve"> </w:t>
      </w:r>
    </w:p>
    <w:p w:rsidR="00C10BF5" w:rsidRPr="00C10BF5" w:rsidRDefault="00C10BF5" w:rsidP="00705EA6">
      <w:pPr>
        <w:pStyle w:val="af2"/>
        <w:widowControl w:val="0"/>
        <w:spacing w:after="0" w:line="240" w:lineRule="auto"/>
        <w:ind w:firstLine="709"/>
        <w:jc w:val="both"/>
        <w:rPr>
          <w:rFonts w:ascii="Times New Roman" w:hAnsi="Times New Roman" w:cs="Times New Roman"/>
          <w:bCs/>
          <w:sz w:val="28"/>
          <w:szCs w:val="28"/>
        </w:rPr>
      </w:pPr>
      <w:r w:rsidRPr="00C10BF5">
        <w:rPr>
          <w:rFonts w:ascii="Times New Roman" w:hAnsi="Times New Roman" w:cs="Times New Roman"/>
          <w:bCs/>
          <w:sz w:val="28"/>
          <w:szCs w:val="28"/>
        </w:rPr>
        <w:t>Досягнення цілей не передбачає додаткових організаційних заходів.</w:t>
      </w:r>
    </w:p>
    <w:p w:rsidR="00C10BF5" w:rsidRPr="00C10BF5" w:rsidRDefault="00C10BF5" w:rsidP="00705EA6">
      <w:pPr>
        <w:pStyle w:val="af2"/>
        <w:widowControl w:val="0"/>
        <w:spacing w:after="0" w:line="240" w:lineRule="auto"/>
        <w:ind w:firstLine="709"/>
        <w:jc w:val="both"/>
        <w:rPr>
          <w:rFonts w:ascii="Times New Roman" w:hAnsi="Times New Roman" w:cs="Times New Roman"/>
          <w:bCs/>
          <w:sz w:val="28"/>
          <w:szCs w:val="28"/>
        </w:rPr>
      </w:pPr>
      <w:r w:rsidRPr="00C10BF5">
        <w:rPr>
          <w:rFonts w:ascii="Times New Roman" w:hAnsi="Times New Roman" w:cs="Times New Roman"/>
          <w:bCs/>
          <w:sz w:val="28"/>
          <w:szCs w:val="28"/>
        </w:rPr>
        <w:t xml:space="preserve">Прийняття регуляторного </w:t>
      </w:r>
      <w:proofErr w:type="spellStart"/>
      <w:r w:rsidRPr="00C10BF5">
        <w:rPr>
          <w:rFonts w:ascii="Times New Roman" w:hAnsi="Times New Roman" w:cs="Times New Roman"/>
          <w:bCs/>
          <w:sz w:val="28"/>
          <w:szCs w:val="28"/>
        </w:rPr>
        <w:t>акта</w:t>
      </w:r>
      <w:proofErr w:type="spellEnd"/>
      <w:r w:rsidRPr="00C10BF5">
        <w:rPr>
          <w:rFonts w:ascii="Times New Roman" w:hAnsi="Times New Roman" w:cs="Times New Roman"/>
          <w:bCs/>
          <w:sz w:val="28"/>
          <w:szCs w:val="28"/>
        </w:rPr>
        <w:t xml:space="preserve"> не призведе до неочікуваних результатів і не потребуватиме додаткових витрат з державного бюджету.</w:t>
      </w:r>
    </w:p>
    <w:p w:rsidR="00C10BF5" w:rsidRPr="00C10BF5" w:rsidRDefault="00C10BF5" w:rsidP="00705EA6">
      <w:pPr>
        <w:pStyle w:val="af2"/>
        <w:widowControl w:val="0"/>
        <w:spacing w:after="0" w:line="240" w:lineRule="auto"/>
        <w:ind w:firstLine="709"/>
        <w:jc w:val="both"/>
        <w:rPr>
          <w:rFonts w:ascii="Times New Roman" w:hAnsi="Times New Roman" w:cs="Times New Roman"/>
          <w:bCs/>
          <w:sz w:val="28"/>
          <w:szCs w:val="28"/>
        </w:rPr>
      </w:pPr>
      <w:r w:rsidRPr="00C10BF5">
        <w:rPr>
          <w:rFonts w:ascii="Times New Roman" w:hAnsi="Times New Roman" w:cs="Times New Roman"/>
          <w:bCs/>
          <w:sz w:val="28"/>
          <w:szCs w:val="28"/>
        </w:rPr>
        <w:t xml:space="preserve">Можлива шкода у разі очікуваних наслідків дії регуляторного </w:t>
      </w:r>
      <w:proofErr w:type="spellStart"/>
      <w:r w:rsidRPr="00C10BF5">
        <w:rPr>
          <w:rFonts w:ascii="Times New Roman" w:hAnsi="Times New Roman" w:cs="Times New Roman"/>
          <w:bCs/>
          <w:sz w:val="28"/>
          <w:szCs w:val="28"/>
        </w:rPr>
        <w:t>акта</w:t>
      </w:r>
      <w:proofErr w:type="spellEnd"/>
      <w:r w:rsidRPr="00C10BF5">
        <w:rPr>
          <w:rFonts w:ascii="Times New Roman" w:hAnsi="Times New Roman" w:cs="Times New Roman"/>
          <w:bCs/>
          <w:sz w:val="28"/>
          <w:szCs w:val="28"/>
        </w:rPr>
        <w:t xml:space="preserve"> не прогнозується.</w:t>
      </w:r>
    </w:p>
    <w:p w:rsidR="00C10BF5" w:rsidRPr="00C10BF5" w:rsidRDefault="00C10BF5" w:rsidP="00705EA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kern w:val="1"/>
          <w:sz w:val="28"/>
          <w:szCs w:val="28"/>
          <w:lang w:eastAsia="zh-CN" w:bidi="hi-IN"/>
        </w:rPr>
      </w:pPr>
      <w:r w:rsidRPr="00C10BF5">
        <w:rPr>
          <w:bCs/>
          <w:kern w:val="1"/>
          <w:sz w:val="28"/>
          <w:szCs w:val="28"/>
          <w:lang w:eastAsia="zh-CN" w:bidi="hi-IN"/>
        </w:rPr>
        <w:t xml:space="preserve">           </w:t>
      </w:r>
      <w:r w:rsidR="007A2C91">
        <w:rPr>
          <w:bCs/>
          <w:kern w:val="1"/>
          <w:sz w:val="28"/>
          <w:szCs w:val="28"/>
          <w:lang w:eastAsia="zh-CN" w:bidi="hi-IN"/>
        </w:rPr>
        <w:t>У</w:t>
      </w:r>
      <w:r w:rsidRPr="00C10BF5">
        <w:rPr>
          <w:bCs/>
          <w:kern w:val="1"/>
          <w:sz w:val="28"/>
          <w:szCs w:val="28"/>
          <w:lang w:eastAsia="zh-CN" w:bidi="hi-IN"/>
        </w:rPr>
        <w:t xml:space="preserve">раховуючи, що питома вага малих суб’єктів господарювання у загальній кількості суб’єктів господарювання, що підпадають під дію регулювання </w:t>
      </w:r>
      <w:proofErr w:type="spellStart"/>
      <w:r w:rsidRPr="00C10BF5">
        <w:rPr>
          <w:bCs/>
          <w:kern w:val="1"/>
          <w:sz w:val="28"/>
          <w:szCs w:val="28"/>
          <w:lang w:eastAsia="zh-CN" w:bidi="hi-IN"/>
        </w:rPr>
        <w:t>проєкту</w:t>
      </w:r>
      <w:proofErr w:type="spellEnd"/>
      <w:r w:rsidRPr="00C10BF5">
        <w:rPr>
          <w:bCs/>
          <w:kern w:val="1"/>
          <w:sz w:val="28"/>
          <w:szCs w:val="28"/>
          <w:lang w:eastAsia="zh-CN" w:bidi="hi-IN"/>
        </w:rPr>
        <w:t xml:space="preserve"> </w:t>
      </w:r>
      <w:proofErr w:type="spellStart"/>
      <w:r w:rsidRPr="00C10BF5">
        <w:rPr>
          <w:bCs/>
          <w:kern w:val="1"/>
          <w:sz w:val="28"/>
          <w:szCs w:val="28"/>
          <w:lang w:eastAsia="zh-CN" w:bidi="hi-IN"/>
        </w:rPr>
        <w:t>акта</w:t>
      </w:r>
      <w:proofErr w:type="spellEnd"/>
      <w:r w:rsidRPr="00C10BF5">
        <w:rPr>
          <w:bCs/>
          <w:kern w:val="1"/>
          <w:sz w:val="28"/>
          <w:szCs w:val="28"/>
          <w:lang w:eastAsia="zh-CN" w:bidi="hi-IN"/>
        </w:rPr>
        <w:t>, становить менше 10 відсотків Тест малого підприємництва</w:t>
      </w:r>
      <w:r w:rsidR="00705EA6">
        <w:rPr>
          <w:bCs/>
          <w:kern w:val="1"/>
          <w:sz w:val="28"/>
          <w:szCs w:val="28"/>
          <w:lang w:eastAsia="zh-CN" w:bidi="hi-IN"/>
        </w:rPr>
        <w:t xml:space="preserve"> </w:t>
      </w:r>
      <w:r w:rsidRPr="00C10BF5">
        <w:rPr>
          <w:bCs/>
          <w:kern w:val="1"/>
          <w:sz w:val="28"/>
          <w:szCs w:val="28"/>
          <w:lang w:eastAsia="zh-CN" w:bidi="hi-IN"/>
        </w:rPr>
        <w:t>(М-Тест) не розроблявся.</w:t>
      </w:r>
    </w:p>
    <w:p w:rsidR="00C10BF5" w:rsidRDefault="00C10BF5" w:rsidP="00C10BF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kern w:val="1"/>
          <w:sz w:val="28"/>
          <w:szCs w:val="28"/>
          <w:lang w:eastAsia="zh-CN" w:bidi="hi-IN"/>
        </w:rPr>
      </w:pPr>
    </w:p>
    <w:p w:rsidR="00EA12A9" w:rsidRPr="00C10BF5" w:rsidRDefault="00EA12A9" w:rsidP="00C10BF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kern w:val="1"/>
          <w:sz w:val="28"/>
          <w:szCs w:val="28"/>
          <w:lang w:eastAsia="zh-CN" w:bidi="hi-IN"/>
        </w:rPr>
      </w:pPr>
    </w:p>
    <w:p w:rsidR="00C10BF5" w:rsidRPr="00C10BF5" w:rsidRDefault="00C10BF5" w:rsidP="00C10BF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C10BF5">
        <w:rPr>
          <w:b/>
          <w:bCs/>
          <w:sz w:val="28"/>
          <w:szCs w:val="28"/>
        </w:rPr>
        <w:t xml:space="preserve">           VІI. Обґрунтування запропонованого строку дії регуляторного </w:t>
      </w:r>
      <w:proofErr w:type="spellStart"/>
      <w:r w:rsidRPr="00C10BF5">
        <w:rPr>
          <w:b/>
          <w:bCs/>
          <w:sz w:val="28"/>
          <w:szCs w:val="28"/>
        </w:rPr>
        <w:t>акта</w:t>
      </w:r>
      <w:proofErr w:type="spellEnd"/>
    </w:p>
    <w:p w:rsidR="00C10BF5" w:rsidRPr="00C10BF5" w:rsidRDefault="00C10BF5" w:rsidP="00C10BF5">
      <w:pPr>
        <w:pStyle w:val="af2"/>
        <w:widowControl w:val="0"/>
        <w:spacing w:after="0" w:line="240" w:lineRule="auto"/>
        <w:jc w:val="center"/>
        <w:rPr>
          <w:rFonts w:ascii="Times New Roman" w:hAnsi="Times New Roman" w:cs="Times New Roman"/>
          <w:b/>
          <w:bCs/>
          <w:sz w:val="28"/>
          <w:szCs w:val="28"/>
        </w:rPr>
      </w:pPr>
    </w:p>
    <w:p w:rsidR="00C10BF5" w:rsidRPr="00C10BF5" w:rsidRDefault="00C10BF5" w:rsidP="00C10BF5">
      <w:pPr>
        <w:pStyle w:val="af2"/>
        <w:widowControl w:val="0"/>
        <w:spacing w:after="0" w:line="240" w:lineRule="auto"/>
        <w:ind w:firstLine="709"/>
        <w:jc w:val="both"/>
        <w:rPr>
          <w:rFonts w:ascii="Times New Roman" w:hAnsi="Times New Roman" w:cs="Times New Roman"/>
          <w:sz w:val="28"/>
          <w:szCs w:val="28"/>
        </w:rPr>
      </w:pPr>
      <w:r w:rsidRPr="00C10BF5">
        <w:rPr>
          <w:rFonts w:ascii="Times New Roman" w:hAnsi="Times New Roman" w:cs="Times New Roman"/>
          <w:sz w:val="28"/>
          <w:szCs w:val="28"/>
        </w:rPr>
        <w:t xml:space="preserve">Строк </w:t>
      </w:r>
      <w:r w:rsidRPr="00C10BF5">
        <w:rPr>
          <w:rStyle w:val="spelle"/>
          <w:rFonts w:ascii="Times New Roman" w:hAnsi="Times New Roman"/>
          <w:sz w:val="28"/>
          <w:szCs w:val="28"/>
        </w:rPr>
        <w:t>дії</w:t>
      </w:r>
      <w:r w:rsidRPr="00C10BF5">
        <w:rPr>
          <w:rFonts w:ascii="Times New Roman" w:hAnsi="Times New Roman" w:cs="Times New Roman"/>
          <w:sz w:val="28"/>
          <w:szCs w:val="28"/>
        </w:rPr>
        <w:t xml:space="preserve"> регуляторного </w:t>
      </w:r>
      <w:proofErr w:type="spellStart"/>
      <w:r w:rsidRPr="00C10BF5">
        <w:rPr>
          <w:rFonts w:ascii="Times New Roman" w:hAnsi="Times New Roman" w:cs="Times New Roman"/>
          <w:sz w:val="28"/>
          <w:szCs w:val="28"/>
        </w:rPr>
        <w:t>акта</w:t>
      </w:r>
      <w:proofErr w:type="spellEnd"/>
      <w:r w:rsidRPr="00C10BF5">
        <w:rPr>
          <w:rFonts w:ascii="Times New Roman" w:hAnsi="Times New Roman" w:cs="Times New Roman"/>
          <w:sz w:val="28"/>
          <w:szCs w:val="28"/>
        </w:rPr>
        <w:t xml:space="preserve"> не</w:t>
      </w:r>
      <w:r w:rsidRPr="00C10BF5">
        <w:rPr>
          <w:rStyle w:val="spelle"/>
          <w:rFonts w:ascii="Times New Roman" w:hAnsi="Times New Roman"/>
          <w:sz w:val="28"/>
          <w:szCs w:val="28"/>
        </w:rPr>
        <w:t>обмежений</w:t>
      </w:r>
      <w:r w:rsidRPr="00C10BF5">
        <w:rPr>
          <w:rFonts w:ascii="Times New Roman" w:hAnsi="Times New Roman" w:cs="Times New Roman"/>
          <w:sz w:val="28"/>
          <w:szCs w:val="28"/>
        </w:rPr>
        <w:t>. Він може бути змінений у разі внесення відповідних змін до законодавства або за пропозиціями сторін у порядку, передбаченому законодавством.</w:t>
      </w:r>
    </w:p>
    <w:p w:rsidR="00C10BF5" w:rsidRDefault="00C10BF5" w:rsidP="00C10BF5">
      <w:pPr>
        <w:pStyle w:val="af2"/>
        <w:widowControl w:val="0"/>
        <w:spacing w:after="0" w:line="240" w:lineRule="auto"/>
        <w:ind w:firstLine="709"/>
        <w:jc w:val="both"/>
        <w:rPr>
          <w:rFonts w:ascii="Times New Roman" w:hAnsi="Times New Roman" w:cs="Times New Roman"/>
          <w:sz w:val="28"/>
          <w:szCs w:val="28"/>
        </w:rPr>
      </w:pPr>
    </w:p>
    <w:p w:rsidR="00EA12A9" w:rsidRPr="00C10BF5" w:rsidRDefault="00EA12A9" w:rsidP="00C10BF5">
      <w:pPr>
        <w:pStyle w:val="af2"/>
        <w:widowControl w:val="0"/>
        <w:spacing w:after="0" w:line="240" w:lineRule="auto"/>
        <w:ind w:firstLine="709"/>
        <w:jc w:val="both"/>
        <w:rPr>
          <w:rFonts w:ascii="Times New Roman" w:hAnsi="Times New Roman" w:cs="Times New Roman"/>
          <w:sz w:val="28"/>
          <w:szCs w:val="28"/>
        </w:rPr>
      </w:pPr>
    </w:p>
    <w:p w:rsidR="00C10BF5" w:rsidRDefault="00C10BF5" w:rsidP="00C10BF5">
      <w:pPr>
        <w:pStyle w:val="af2"/>
        <w:widowControl w:val="0"/>
        <w:spacing w:after="0" w:line="240" w:lineRule="auto"/>
        <w:jc w:val="center"/>
        <w:rPr>
          <w:rFonts w:ascii="Times New Roman" w:hAnsi="Times New Roman" w:cs="Times New Roman"/>
          <w:b/>
          <w:bCs/>
          <w:sz w:val="28"/>
          <w:szCs w:val="28"/>
        </w:rPr>
      </w:pPr>
      <w:r w:rsidRPr="00C10BF5">
        <w:rPr>
          <w:rFonts w:ascii="Times New Roman" w:hAnsi="Times New Roman" w:cs="Times New Roman"/>
          <w:b/>
          <w:bCs/>
          <w:sz w:val="28"/>
          <w:szCs w:val="28"/>
        </w:rPr>
        <w:lastRenderedPageBreak/>
        <w:t xml:space="preserve">VІII. Визначення показників результативності дії регуляторного </w:t>
      </w:r>
      <w:proofErr w:type="spellStart"/>
      <w:r w:rsidRPr="00C10BF5">
        <w:rPr>
          <w:rFonts w:ascii="Times New Roman" w:hAnsi="Times New Roman" w:cs="Times New Roman"/>
          <w:b/>
          <w:bCs/>
          <w:sz w:val="28"/>
          <w:szCs w:val="28"/>
        </w:rPr>
        <w:t>акта</w:t>
      </w:r>
      <w:proofErr w:type="spellEnd"/>
    </w:p>
    <w:p w:rsidR="006E589C" w:rsidRPr="00C10BF5" w:rsidRDefault="006E589C" w:rsidP="00C10BF5">
      <w:pPr>
        <w:pStyle w:val="af2"/>
        <w:widowControl w:val="0"/>
        <w:spacing w:after="0" w:line="240" w:lineRule="auto"/>
        <w:jc w:val="center"/>
        <w:rPr>
          <w:rFonts w:ascii="Times New Roman" w:hAnsi="Times New Roman" w:cs="Times New Roman"/>
          <w:b/>
          <w:bCs/>
          <w:sz w:val="28"/>
          <w:szCs w:val="28"/>
        </w:rPr>
      </w:pPr>
    </w:p>
    <w:p w:rsidR="00C10BF5" w:rsidRPr="00C10BF5" w:rsidRDefault="00C10BF5" w:rsidP="004D1AB1">
      <w:pPr>
        <w:pStyle w:val="af2"/>
        <w:widowControl w:val="0"/>
        <w:spacing w:after="0" w:line="240" w:lineRule="auto"/>
        <w:ind w:firstLine="567"/>
        <w:jc w:val="both"/>
        <w:rPr>
          <w:sz w:val="28"/>
          <w:szCs w:val="28"/>
        </w:rPr>
      </w:pPr>
      <w:bookmarkStart w:id="0" w:name="_Hlk25326269"/>
      <w:r w:rsidRPr="00C10BF5">
        <w:rPr>
          <w:sz w:val="28"/>
          <w:szCs w:val="28"/>
        </w:rPr>
        <w:t xml:space="preserve">Прогнозними значеннями показників результативності регуляторного </w:t>
      </w:r>
      <w:proofErr w:type="spellStart"/>
      <w:r w:rsidRPr="00C10BF5">
        <w:rPr>
          <w:sz w:val="28"/>
          <w:szCs w:val="28"/>
        </w:rPr>
        <w:t>акта</w:t>
      </w:r>
      <w:proofErr w:type="spellEnd"/>
      <w:r w:rsidRPr="00C10BF5">
        <w:rPr>
          <w:sz w:val="28"/>
          <w:szCs w:val="28"/>
        </w:rPr>
        <w:t xml:space="preserve"> є:</w:t>
      </w:r>
    </w:p>
    <w:p w:rsidR="00C10BF5" w:rsidRPr="00C10BF5" w:rsidRDefault="00C10BF5" w:rsidP="00C10BF5">
      <w:pPr>
        <w:ind w:firstLine="709"/>
        <w:jc w:val="both"/>
        <w:rPr>
          <w:sz w:val="28"/>
          <w:szCs w:val="28"/>
        </w:rPr>
      </w:pPr>
      <w:r w:rsidRPr="00C10BF5">
        <w:rPr>
          <w:sz w:val="28"/>
          <w:szCs w:val="28"/>
        </w:rPr>
        <w:t xml:space="preserve">дія регуляторного </w:t>
      </w:r>
      <w:proofErr w:type="spellStart"/>
      <w:r w:rsidRPr="00C10BF5">
        <w:rPr>
          <w:sz w:val="28"/>
          <w:szCs w:val="28"/>
        </w:rPr>
        <w:t>акта</w:t>
      </w:r>
      <w:proofErr w:type="spellEnd"/>
      <w:r w:rsidRPr="00C10BF5">
        <w:rPr>
          <w:sz w:val="28"/>
          <w:szCs w:val="28"/>
        </w:rPr>
        <w:t xml:space="preserve"> не передбачає надходжень та/або видатків з/до державного та місцевих бюджетів і державних цільових фондів, пов’язаних з дією регуляторного </w:t>
      </w:r>
      <w:proofErr w:type="spellStart"/>
      <w:r w:rsidRPr="00C10BF5">
        <w:rPr>
          <w:sz w:val="28"/>
          <w:szCs w:val="28"/>
        </w:rPr>
        <w:t>акта</w:t>
      </w:r>
      <w:proofErr w:type="spellEnd"/>
      <w:r w:rsidRPr="00C10BF5">
        <w:rPr>
          <w:sz w:val="28"/>
          <w:szCs w:val="28"/>
        </w:rPr>
        <w:t>;</w:t>
      </w:r>
    </w:p>
    <w:p w:rsidR="00C10BF5" w:rsidRPr="00C10BF5" w:rsidRDefault="00C10BF5" w:rsidP="00C10BF5">
      <w:pPr>
        <w:ind w:firstLine="709"/>
        <w:jc w:val="both"/>
        <w:rPr>
          <w:sz w:val="28"/>
          <w:szCs w:val="28"/>
        </w:rPr>
      </w:pPr>
      <w:r w:rsidRPr="00C10BF5">
        <w:rPr>
          <w:sz w:val="28"/>
          <w:szCs w:val="28"/>
        </w:rPr>
        <w:t xml:space="preserve">дія регуляторного </w:t>
      </w:r>
      <w:proofErr w:type="spellStart"/>
      <w:r w:rsidRPr="00C10BF5">
        <w:rPr>
          <w:sz w:val="28"/>
          <w:szCs w:val="28"/>
        </w:rPr>
        <w:t>акта</w:t>
      </w:r>
      <w:proofErr w:type="spellEnd"/>
      <w:r w:rsidRPr="00C10BF5">
        <w:rPr>
          <w:sz w:val="28"/>
          <w:szCs w:val="28"/>
        </w:rPr>
        <w:t xml:space="preserve">  поширюватиметься на 4</w:t>
      </w:r>
      <w:r w:rsidR="00727919">
        <w:rPr>
          <w:sz w:val="28"/>
          <w:szCs w:val="28"/>
        </w:rPr>
        <w:t>6</w:t>
      </w:r>
      <w:r w:rsidRPr="00C10BF5">
        <w:rPr>
          <w:sz w:val="28"/>
          <w:szCs w:val="28"/>
        </w:rPr>
        <w:t xml:space="preserve"> суб’єкт</w:t>
      </w:r>
      <w:r w:rsidR="00727919">
        <w:rPr>
          <w:sz w:val="28"/>
          <w:szCs w:val="28"/>
        </w:rPr>
        <w:t>ів</w:t>
      </w:r>
      <w:r w:rsidRPr="00C10BF5">
        <w:rPr>
          <w:sz w:val="28"/>
          <w:szCs w:val="28"/>
        </w:rPr>
        <w:t xml:space="preserve"> господарювання;</w:t>
      </w:r>
    </w:p>
    <w:p w:rsidR="00C10BF5" w:rsidRPr="00C10BF5" w:rsidRDefault="00C10BF5" w:rsidP="00C10BF5">
      <w:pPr>
        <w:ind w:firstLine="709"/>
        <w:jc w:val="both"/>
        <w:rPr>
          <w:sz w:val="28"/>
          <w:szCs w:val="28"/>
        </w:rPr>
      </w:pPr>
      <w:r w:rsidRPr="00C10BF5">
        <w:rPr>
          <w:sz w:val="28"/>
          <w:szCs w:val="28"/>
        </w:rPr>
        <w:t xml:space="preserve">розмір коштів і час, що витрачатимуться суб’єктами господарювання, пов’язаними з виконанням вимог регуляторного </w:t>
      </w:r>
      <w:proofErr w:type="spellStart"/>
      <w:r w:rsidRPr="00C10BF5">
        <w:rPr>
          <w:sz w:val="28"/>
          <w:szCs w:val="28"/>
        </w:rPr>
        <w:t>акта</w:t>
      </w:r>
      <w:proofErr w:type="spellEnd"/>
      <w:r w:rsidRPr="00C10BF5">
        <w:rPr>
          <w:sz w:val="28"/>
          <w:szCs w:val="28"/>
        </w:rPr>
        <w:t xml:space="preserve"> – низький;</w:t>
      </w:r>
    </w:p>
    <w:bookmarkEnd w:id="0"/>
    <w:p w:rsidR="00C10BF5" w:rsidRPr="00C10BF5" w:rsidRDefault="00C10BF5" w:rsidP="00C10BF5">
      <w:pPr>
        <w:ind w:firstLine="709"/>
        <w:jc w:val="both"/>
        <w:rPr>
          <w:sz w:val="28"/>
          <w:szCs w:val="28"/>
        </w:rPr>
      </w:pPr>
      <w:r w:rsidRPr="00C10BF5">
        <w:rPr>
          <w:sz w:val="28"/>
          <w:szCs w:val="28"/>
        </w:rPr>
        <w:t xml:space="preserve">рівень поінформованості суб’єктів господарювання із основними положеннями регуляторного </w:t>
      </w:r>
      <w:proofErr w:type="spellStart"/>
      <w:r w:rsidRPr="00C10BF5">
        <w:rPr>
          <w:sz w:val="28"/>
          <w:szCs w:val="28"/>
        </w:rPr>
        <w:t>акта</w:t>
      </w:r>
      <w:proofErr w:type="spellEnd"/>
      <w:r w:rsidRPr="00C10BF5">
        <w:rPr>
          <w:sz w:val="28"/>
          <w:szCs w:val="28"/>
        </w:rPr>
        <w:t xml:space="preserve"> – середній, оскільки зазначений регуляторний акт розміщений на офіційному </w:t>
      </w:r>
      <w:proofErr w:type="spellStart"/>
      <w:r w:rsidRPr="00C10BF5">
        <w:rPr>
          <w:sz w:val="28"/>
          <w:szCs w:val="28"/>
        </w:rPr>
        <w:t>вебсайті</w:t>
      </w:r>
      <w:proofErr w:type="spellEnd"/>
      <w:r w:rsidRPr="00C10BF5">
        <w:rPr>
          <w:sz w:val="28"/>
          <w:szCs w:val="28"/>
        </w:rPr>
        <w:t xml:space="preserve"> НКРЕКП.</w:t>
      </w:r>
    </w:p>
    <w:p w:rsidR="00C10BF5" w:rsidRPr="00C10BF5" w:rsidRDefault="00C10BF5" w:rsidP="00C10BF5">
      <w:pPr>
        <w:ind w:firstLine="709"/>
        <w:jc w:val="both"/>
        <w:rPr>
          <w:sz w:val="28"/>
          <w:szCs w:val="28"/>
        </w:rPr>
      </w:pPr>
      <w:r w:rsidRPr="00C10BF5">
        <w:rPr>
          <w:sz w:val="28"/>
          <w:szCs w:val="28"/>
        </w:rPr>
        <w:t>Виходячи з цілей державного регулювання</w:t>
      </w:r>
      <w:bookmarkStart w:id="1" w:name="_GoBack"/>
      <w:bookmarkEnd w:id="1"/>
      <w:r w:rsidRPr="00C10BF5">
        <w:rPr>
          <w:sz w:val="28"/>
          <w:szCs w:val="28"/>
        </w:rPr>
        <w:t xml:space="preserve"> для визначення результативності регуляторного </w:t>
      </w:r>
      <w:proofErr w:type="spellStart"/>
      <w:r w:rsidRPr="00C10BF5">
        <w:rPr>
          <w:sz w:val="28"/>
          <w:szCs w:val="28"/>
        </w:rPr>
        <w:t>акта</w:t>
      </w:r>
      <w:proofErr w:type="spellEnd"/>
      <w:r w:rsidRPr="00C10BF5">
        <w:rPr>
          <w:sz w:val="28"/>
          <w:szCs w:val="28"/>
        </w:rPr>
        <w:t xml:space="preserve"> обрано такі показники:</w:t>
      </w:r>
    </w:p>
    <w:p w:rsidR="00C10BF5" w:rsidRPr="00EA12A9" w:rsidRDefault="00C10BF5" w:rsidP="00EA12A9">
      <w:pPr>
        <w:pStyle w:val="ae"/>
        <w:numPr>
          <w:ilvl w:val="0"/>
          <w:numId w:val="5"/>
        </w:numPr>
        <w:ind w:left="0" w:firstLine="709"/>
        <w:jc w:val="both"/>
        <w:rPr>
          <w:sz w:val="28"/>
          <w:szCs w:val="28"/>
        </w:rPr>
      </w:pPr>
      <w:r w:rsidRPr="00EA12A9">
        <w:rPr>
          <w:sz w:val="28"/>
          <w:szCs w:val="28"/>
        </w:rPr>
        <w:t xml:space="preserve">кількість відкритих </w:t>
      </w:r>
      <w:r w:rsidR="00685DE8" w:rsidRPr="00EA12A9">
        <w:rPr>
          <w:sz w:val="28"/>
          <w:szCs w:val="28"/>
        </w:rPr>
        <w:t>о</w:t>
      </w:r>
      <w:r w:rsidRPr="00EA12A9">
        <w:rPr>
          <w:sz w:val="28"/>
          <w:szCs w:val="28"/>
        </w:rPr>
        <w:t xml:space="preserve">ператорами </w:t>
      </w:r>
      <w:r w:rsidR="00685DE8" w:rsidRPr="00EA12A9">
        <w:rPr>
          <w:sz w:val="28"/>
          <w:szCs w:val="28"/>
        </w:rPr>
        <w:t xml:space="preserve">газорозподільних систем </w:t>
      </w:r>
      <w:r w:rsidRPr="00EA12A9">
        <w:rPr>
          <w:sz w:val="28"/>
          <w:szCs w:val="28"/>
        </w:rPr>
        <w:t>в установах уповноважених банків поточних рахунків із спеціальним режимом використання;</w:t>
      </w:r>
    </w:p>
    <w:p w:rsidR="00C10BF5" w:rsidRPr="00C10BF5" w:rsidRDefault="00C10BF5" w:rsidP="00EA12A9">
      <w:pPr>
        <w:pStyle w:val="ae"/>
        <w:numPr>
          <w:ilvl w:val="0"/>
          <w:numId w:val="5"/>
        </w:numPr>
        <w:ind w:left="0" w:firstLine="709"/>
        <w:jc w:val="both"/>
        <w:rPr>
          <w:sz w:val="28"/>
          <w:szCs w:val="28"/>
        </w:rPr>
      </w:pPr>
      <w:r w:rsidRPr="00C10BF5">
        <w:rPr>
          <w:sz w:val="28"/>
          <w:szCs w:val="28"/>
        </w:rPr>
        <w:t xml:space="preserve">рівень заборгованості </w:t>
      </w:r>
      <w:r w:rsidR="00447ED5">
        <w:rPr>
          <w:sz w:val="28"/>
          <w:szCs w:val="28"/>
        </w:rPr>
        <w:t>о</w:t>
      </w:r>
      <w:r w:rsidRPr="00C10BF5">
        <w:rPr>
          <w:sz w:val="28"/>
          <w:szCs w:val="28"/>
        </w:rPr>
        <w:t>ператорів</w:t>
      </w:r>
      <w:r w:rsidR="00447ED5">
        <w:rPr>
          <w:sz w:val="28"/>
          <w:szCs w:val="28"/>
        </w:rPr>
        <w:t xml:space="preserve"> газорозподільних систем</w:t>
      </w:r>
      <w:r w:rsidRPr="00C10BF5">
        <w:rPr>
          <w:sz w:val="28"/>
          <w:szCs w:val="28"/>
        </w:rPr>
        <w:t xml:space="preserve"> перед </w:t>
      </w:r>
      <w:r w:rsidR="00727919">
        <w:rPr>
          <w:sz w:val="28"/>
          <w:szCs w:val="28"/>
        </w:rPr>
        <w:t xml:space="preserve">учасниками ринку природного газу, на яких розповсюджується дія регуляторного </w:t>
      </w:r>
      <w:proofErr w:type="spellStart"/>
      <w:r w:rsidR="00727919">
        <w:rPr>
          <w:sz w:val="28"/>
          <w:szCs w:val="28"/>
        </w:rPr>
        <w:t>акта</w:t>
      </w:r>
      <w:proofErr w:type="spellEnd"/>
      <w:r w:rsidRPr="00C10BF5">
        <w:rPr>
          <w:sz w:val="28"/>
          <w:szCs w:val="28"/>
        </w:rPr>
        <w:t xml:space="preserve">. </w:t>
      </w:r>
    </w:p>
    <w:p w:rsidR="00C10BF5" w:rsidRDefault="00C10BF5" w:rsidP="00C10BF5">
      <w:pPr>
        <w:jc w:val="center"/>
        <w:rPr>
          <w:b/>
          <w:sz w:val="28"/>
          <w:szCs w:val="28"/>
        </w:rPr>
      </w:pPr>
    </w:p>
    <w:p w:rsidR="00EA12A9" w:rsidRPr="00C10BF5" w:rsidRDefault="00EA12A9" w:rsidP="00C10BF5">
      <w:pPr>
        <w:jc w:val="center"/>
        <w:rPr>
          <w:b/>
          <w:sz w:val="28"/>
          <w:szCs w:val="28"/>
        </w:rPr>
      </w:pPr>
    </w:p>
    <w:p w:rsidR="00C10BF5" w:rsidRPr="00C10BF5" w:rsidRDefault="00C10BF5" w:rsidP="00C10BF5">
      <w:pPr>
        <w:tabs>
          <w:tab w:val="left" w:pos="709"/>
        </w:tabs>
        <w:jc w:val="center"/>
        <w:rPr>
          <w:b/>
          <w:sz w:val="28"/>
          <w:szCs w:val="28"/>
        </w:rPr>
      </w:pPr>
      <w:r w:rsidRPr="00C10BF5">
        <w:rPr>
          <w:b/>
          <w:sz w:val="28"/>
          <w:szCs w:val="28"/>
        </w:rPr>
        <w:t xml:space="preserve">       ІX. Визначення заходів, за допомогою яких здійснюватиметься відстеження результативності дії регуляторного </w:t>
      </w:r>
      <w:proofErr w:type="spellStart"/>
      <w:r w:rsidRPr="00C10BF5">
        <w:rPr>
          <w:b/>
          <w:sz w:val="28"/>
          <w:szCs w:val="28"/>
        </w:rPr>
        <w:t>акта</w:t>
      </w:r>
      <w:proofErr w:type="spellEnd"/>
    </w:p>
    <w:p w:rsidR="00C10BF5" w:rsidRPr="00C10BF5" w:rsidRDefault="00C10BF5" w:rsidP="00C10BF5">
      <w:pPr>
        <w:jc w:val="center"/>
        <w:rPr>
          <w:b/>
          <w:sz w:val="28"/>
          <w:szCs w:val="28"/>
        </w:rPr>
      </w:pPr>
    </w:p>
    <w:p w:rsidR="00C10BF5" w:rsidRPr="00C10BF5" w:rsidRDefault="00C10BF5" w:rsidP="00C10BF5">
      <w:pPr>
        <w:ind w:firstLine="851"/>
        <w:jc w:val="both"/>
        <w:rPr>
          <w:sz w:val="28"/>
          <w:szCs w:val="28"/>
        </w:rPr>
      </w:pPr>
      <w:r w:rsidRPr="00C10BF5">
        <w:rPr>
          <w:sz w:val="28"/>
          <w:szCs w:val="28"/>
        </w:rPr>
        <w:t xml:space="preserve">Відстеження результативності регуляторного </w:t>
      </w:r>
      <w:proofErr w:type="spellStart"/>
      <w:r w:rsidRPr="00C10BF5">
        <w:rPr>
          <w:sz w:val="28"/>
          <w:szCs w:val="28"/>
        </w:rPr>
        <w:t>акта</w:t>
      </w:r>
      <w:proofErr w:type="spellEnd"/>
      <w:r w:rsidRPr="00C10BF5">
        <w:rPr>
          <w:sz w:val="28"/>
          <w:szCs w:val="28"/>
        </w:rPr>
        <w:t xml:space="preserve"> здійснюватиметься шляхом проведення базового, повторного та періодичного </w:t>
      </w:r>
      <w:proofErr w:type="spellStart"/>
      <w:r w:rsidRPr="00C10BF5">
        <w:rPr>
          <w:sz w:val="28"/>
          <w:szCs w:val="28"/>
        </w:rPr>
        <w:t>відстежень</w:t>
      </w:r>
      <w:proofErr w:type="spellEnd"/>
      <w:r w:rsidRPr="00C10BF5">
        <w:rPr>
          <w:sz w:val="28"/>
          <w:szCs w:val="28"/>
        </w:rPr>
        <w:t xml:space="preserve"> показників результативності </w:t>
      </w:r>
      <w:proofErr w:type="spellStart"/>
      <w:r w:rsidRPr="00C10BF5">
        <w:rPr>
          <w:sz w:val="28"/>
          <w:szCs w:val="28"/>
        </w:rPr>
        <w:t>акта</w:t>
      </w:r>
      <w:proofErr w:type="spellEnd"/>
      <w:r w:rsidRPr="00C10BF5">
        <w:rPr>
          <w:sz w:val="28"/>
          <w:szCs w:val="28"/>
        </w:rPr>
        <w:t xml:space="preserve">. </w:t>
      </w:r>
    </w:p>
    <w:p w:rsidR="00C10BF5" w:rsidRPr="00C10BF5" w:rsidRDefault="00C10BF5" w:rsidP="00C10BF5">
      <w:pPr>
        <w:ind w:firstLine="851"/>
        <w:jc w:val="both"/>
        <w:rPr>
          <w:sz w:val="28"/>
          <w:szCs w:val="28"/>
        </w:rPr>
      </w:pPr>
      <w:r w:rsidRPr="00C10BF5">
        <w:rPr>
          <w:sz w:val="28"/>
          <w:szCs w:val="28"/>
        </w:rPr>
        <w:t xml:space="preserve">Оскільки для визначення значень показників результативності регуляторного </w:t>
      </w:r>
      <w:proofErr w:type="spellStart"/>
      <w:r w:rsidRPr="00C10BF5">
        <w:rPr>
          <w:sz w:val="28"/>
          <w:szCs w:val="28"/>
        </w:rPr>
        <w:t>акта</w:t>
      </w:r>
      <w:proofErr w:type="spellEnd"/>
      <w:r w:rsidRPr="00C10BF5">
        <w:rPr>
          <w:sz w:val="28"/>
          <w:szCs w:val="28"/>
        </w:rPr>
        <w:t xml:space="preserve"> використовуватимуться статистичні дані, то базове відстеження результативності здійснюватиметься через рік після набрання чинності регуляторним актом.</w:t>
      </w:r>
    </w:p>
    <w:p w:rsidR="00C10BF5" w:rsidRPr="00C10BF5" w:rsidRDefault="00C10BF5" w:rsidP="00C10BF5">
      <w:pPr>
        <w:ind w:firstLine="851"/>
        <w:jc w:val="both"/>
        <w:rPr>
          <w:sz w:val="28"/>
          <w:szCs w:val="28"/>
        </w:rPr>
      </w:pPr>
      <w:r w:rsidRPr="00C10BF5">
        <w:rPr>
          <w:sz w:val="28"/>
          <w:szCs w:val="28"/>
        </w:rPr>
        <w:t>Повторне відстеження результативності буде здійснене не пізніше двох років після набрання чинності регуляторним актом для визначення результатів його дії.</w:t>
      </w:r>
    </w:p>
    <w:p w:rsidR="00C10BF5" w:rsidRPr="00C10BF5" w:rsidRDefault="00C10BF5" w:rsidP="00C10BF5">
      <w:pPr>
        <w:ind w:firstLine="851"/>
        <w:jc w:val="both"/>
        <w:rPr>
          <w:sz w:val="28"/>
          <w:szCs w:val="28"/>
        </w:rPr>
      </w:pPr>
      <w:r w:rsidRPr="00C10BF5">
        <w:rPr>
          <w:sz w:val="28"/>
          <w:szCs w:val="28"/>
        </w:rPr>
        <w:t>Періодичне відстеження результативності – кожних три роки після проведення повторного відстеження.</w:t>
      </w:r>
    </w:p>
    <w:p w:rsidR="00C10BF5" w:rsidRPr="00C10BF5" w:rsidRDefault="00C10BF5" w:rsidP="00C10BF5">
      <w:pPr>
        <w:ind w:firstLine="851"/>
        <w:jc w:val="both"/>
        <w:rPr>
          <w:sz w:val="28"/>
          <w:szCs w:val="28"/>
        </w:rPr>
      </w:pPr>
      <w:r w:rsidRPr="00C10BF5">
        <w:rPr>
          <w:sz w:val="28"/>
          <w:szCs w:val="28"/>
        </w:rPr>
        <w:t>У разі надходження пропозицій та зауважень щодо вирішення неврегульованих або проблемних питань буде розглядатись необхідність внесення відповідних змін.</w:t>
      </w:r>
    </w:p>
    <w:p w:rsidR="00C10BF5" w:rsidRPr="00C10BF5" w:rsidRDefault="00C10BF5" w:rsidP="00C10BF5">
      <w:pPr>
        <w:ind w:firstLine="851"/>
        <w:jc w:val="both"/>
        <w:rPr>
          <w:sz w:val="28"/>
          <w:szCs w:val="28"/>
        </w:rPr>
      </w:pPr>
      <w:r w:rsidRPr="00C10BF5">
        <w:rPr>
          <w:sz w:val="28"/>
          <w:szCs w:val="28"/>
        </w:rPr>
        <w:t xml:space="preserve">Відстеження результативності регуляторного </w:t>
      </w:r>
      <w:proofErr w:type="spellStart"/>
      <w:r w:rsidRPr="00C10BF5">
        <w:rPr>
          <w:sz w:val="28"/>
          <w:szCs w:val="28"/>
        </w:rPr>
        <w:t>акта</w:t>
      </w:r>
      <w:proofErr w:type="spellEnd"/>
      <w:r w:rsidRPr="00C10BF5">
        <w:rPr>
          <w:sz w:val="28"/>
          <w:szCs w:val="28"/>
        </w:rPr>
        <w:t xml:space="preserve"> буде здійснюватися НКРЕКП протягом усього терміну його дії шляхом розгляду пропозицій та </w:t>
      </w:r>
      <w:r w:rsidRPr="00C10BF5">
        <w:rPr>
          <w:sz w:val="28"/>
          <w:szCs w:val="28"/>
        </w:rPr>
        <w:lastRenderedPageBreak/>
        <w:t>зауважень від суб’єктів господарювання</w:t>
      </w:r>
      <w:r w:rsidR="00727919">
        <w:rPr>
          <w:sz w:val="28"/>
          <w:szCs w:val="28"/>
        </w:rPr>
        <w:t>, що здійснюють діяльність на ринку природного газу</w:t>
      </w:r>
      <w:r w:rsidRPr="00C10BF5">
        <w:rPr>
          <w:sz w:val="28"/>
          <w:szCs w:val="28"/>
        </w:rPr>
        <w:t>, які надійдуть до НКРЕКП.</w:t>
      </w:r>
    </w:p>
    <w:p w:rsidR="00C10BF5" w:rsidRDefault="00C10BF5" w:rsidP="00C10BF5">
      <w:pPr>
        <w:jc w:val="center"/>
        <w:rPr>
          <w:b/>
          <w:sz w:val="28"/>
          <w:szCs w:val="28"/>
        </w:rPr>
      </w:pPr>
    </w:p>
    <w:p w:rsidR="0026536B" w:rsidRDefault="0026536B" w:rsidP="00C10BF5">
      <w:pPr>
        <w:jc w:val="center"/>
        <w:rPr>
          <w:b/>
          <w:sz w:val="28"/>
          <w:szCs w:val="28"/>
        </w:rPr>
      </w:pPr>
    </w:p>
    <w:p w:rsidR="00705EA6" w:rsidRPr="00C10BF5" w:rsidRDefault="00705EA6" w:rsidP="00C10BF5">
      <w:pPr>
        <w:jc w:val="center"/>
        <w:rPr>
          <w:b/>
          <w:sz w:val="28"/>
          <w:szCs w:val="28"/>
        </w:rPr>
      </w:pPr>
    </w:p>
    <w:p w:rsidR="00C10BF5" w:rsidRPr="00C10BF5" w:rsidRDefault="00C10BF5" w:rsidP="00C10BF5">
      <w:pPr>
        <w:jc w:val="both"/>
        <w:rPr>
          <w:b/>
          <w:sz w:val="28"/>
          <w:szCs w:val="28"/>
        </w:rPr>
      </w:pPr>
      <w:r w:rsidRPr="00C10BF5">
        <w:rPr>
          <w:b/>
          <w:sz w:val="28"/>
          <w:szCs w:val="28"/>
        </w:rPr>
        <w:t>Голов</w:t>
      </w:r>
      <w:r w:rsidR="00715C21">
        <w:rPr>
          <w:b/>
          <w:sz w:val="28"/>
          <w:szCs w:val="28"/>
        </w:rPr>
        <w:t>а</w:t>
      </w:r>
      <w:r w:rsidRPr="00C10BF5">
        <w:rPr>
          <w:b/>
          <w:sz w:val="28"/>
          <w:szCs w:val="28"/>
        </w:rPr>
        <w:t xml:space="preserve">  НКРЕКП</w:t>
      </w:r>
      <w:r w:rsidRPr="00C10BF5">
        <w:rPr>
          <w:b/>
          <w:sz w:val="28"/>
          <w:szCs w:val="28"/>
        </w:rPr>
        <w:tab/>
      </w:r>
      <w:r w:rsidRPr="00C10BF5">
        <w:rPr>
          <w:b/>
          <w:sz w:val="28"/>
          <w:szCs w:val="28"/>
        </w:rPr>
        <w:tab/>
      </w:r>
      <w:r w:rsidRPr="00C10BF5">
        <w:rPr>
          <w:b/>
          <w:sz w:val="28"/>
          <w:szCs w:val="28"/>
        </w:rPr>
        <w:tab/>
      </w:r>
      <w:r w:rsidR="00715C21">
        <w:rPr>
          <w:b/>
          <w:sz w:val="28"/>
          <w:szCs w:val="28"/>
        </w:rPr>
        <w:tab/>
      </w:r>
      <w:r w:rsidR="00865207">
        <w:rPr>
          <w:b/>
          <w:sz w:val="28"/>
          <w:szCs w:val="28"/>
        </w:rPr>
        <w:t xml:space="preserve"> </w:t>
      </w:r>
      <w:r w:rsidRPr="00C10BF5">
        <w:rPr>
          <w:b/>
          <w:sz w:val="28"/>
          <w:szCs w:val="28"/>
        </w:rPr>
        <w:t xml:space="preserve">                               </w:t>
      </w:r>
      <w:r w:rsidR="00865207">
        <w:rPr>
          <w:b/>
          <w:sz w:val="28"/>
          <w:szCs w:val="28"/>
        </w:rPr>
        <w:t xml:space="preserve">К. </w:t>
      </w:r>
      <w:proofErr w:type="spellStart"/>
      <w:r w:rsidR="00865207">
        <w:rPr>
          <w:b/>
          <w:sz w:val="28"/>
          <w:szCs w:val="28"/>
        </w:rPr>
        <w:t>Ущаповський</w:t>
      </w:r>
      <w:proofErr w:type="spellEnd"/>
      <w:r w:rsidR="00865207">
        <w:rPr>
          <w:b/>
          <w:sz w:val="28"/>
          <w:szCs w:val="28"/>
        </w:rPr>
        <w:t xml:space="preserve"> </w:t>
      </w:r>
    </w:p>
    <w:p w:rsidR="00727919" w:rsidRDefault="00727919" w:rsidP="00C10BF5">
      <w:pPr>
        <w:jc w:val="both"/>
        <w:rPr>
          <w:rFonts w:eastAsia="Times New Roman"/>
          <w:sz w:val="28"/>
          <w:szCs w:val="28"/>
        </w:rPr>
      </w:pPr>
    </w:p>
    <w:p w:rsidR="009F432C" w:rsidRDefault="009F432C" w:rsidP="00C10BF5">
      <w:pPr>
        <w:jc w:val="both"/>
        <w:rPr>
          <w:rFonts w:eastAsia="Times New Roman"/>
          <w:sz w:val="28"/>
          <w:szCs w:val="28"/>
        </w:rPr>
      </w:pPr>
    </w:p>
    <w:p w:rsidR="009B68E5" w:rsidRDefault="009B68E5" w:rsidP="00C10BF5">
      <w:pPr>
        <w:jc w:val="both"/>
        <w:rPr>
          <w:rFonts w:eastAsia="Times New Roman"/>
          <w:sz w:val="28"/>
          <w:szCs w:val="28"/>
        </w:rPr>
      </w:pPr>
    </w:p>
    <w:p w:rsidR="00C10BF5" w:rsidRPr="00C10BF5" w:rsidRDefault="009B68E5" w:rsidP="00C10BF5">
      <w:pPr>
        <w:jc w:val="both"/>
        <w:rPr>
          <w:b/>
          <w:sz w:val="28"/>
          <w:szCs w:val="28"/>
        </w:rPr>
      </w:pPr>
      <w:r>
        <w:rPr>
          <w:rFonts w:eastAsia="Times New Roman"/>
          <w:sz w:val="28"/>
          <w:szCs w:val="28"/>
        </w:rPr>
        <w:t>___</w:t>
      </w:r>
      <w:r w:rsidR="00C10BF5" w:rsidRPr="00C10BF5">
        <w:rPr>
          <w:rFonts w:eastAsia="Times New Roman"/>
          <w:sz w:val="28"/>
          <w:szCs w:val="28"/>
        </w:rPr>
        <w:t xml:space="preserve"> </w:t>
      </w:r>
      <w:r>
        <w:rPr>
          <w:rFonts w:eastAsia="Times New Roman"/>
          <w:sz w:val="28"/>
          <w:szCs w:val="28"/>
        </w:rPr>
        <w:t>__</w:t>
      </w:r>
      <w:r w:rsidR="00C10BF5" w:rsidRPr="00C10BF5">
        <w:rPr>
          <w:rFonts w:eastAsia="Times New Roman"/>
          <w:sz w:val="28"/>
          <w:szCs w:val="28"/>
        </w:rPr>
        <w:t>____________ 202</w:t>
      </w:r>
      <w:r w:rsidR="00865207">
        <w:rPr>
          <w:rFonts w:eastAsia="Times New Roman"/>
          <w:sz w:val="28"/>
          <w:szCs w:val="28"/>
        </w:rPr>
        <w:t>2</w:t>
      </w:r>
      <w:r w:rsidR="00C10BF5" w:rsidRPr="00C10BF5">
        <w:rPr>
          <w:rFonts w:eastAsia="Times New Roman"/>
          <w:sz w:val="28"/>
          <w:szCs w:val="28"/>
        </w:rPr>
        <w:t xml:space="preserve"> р.</w:t>
      </w:r>
    </w:p>
    <w:sectPr w:rsidR="00C10BF5" w:rsidRPr="00C10BF5" w:rsidSect="00075108">
      <w:headerReference w:type="default" r:id="rId8"/>
      <w:pgSz w:w="11906" w:h="16838" w:code="9"/>
      <w:pgMar w:top="1134" w:right="567" w:bottom="1134" w:left="1701" w:header="17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449" w:rsidRDefault="00FF4449">
      <w:r>
        <w:separator/>
      </w:r>
    </w:p>
  </w:endnote>
  <w:endnote w:type="continuationSeparator" w:id="0">
    <w:p w:rsidR="00FF4449" w:rsidRDefault="00FF4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altName w:val="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 w:name="Segoe UI">
    <w:altName w:val="Century Gothic"/>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449" w:rsidRDefault="00FF4449">
      <w:r>
        <w:separator/>
      </w:r>
    </w:p>
  </w:footnote>
  <w:footnote w:type="continuationSeparator" w:id="0">
    <w:p w:rsidR="00FF4449" w:rsidRDefault="00FF444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1289190"/>
      <w:docPartObj>
        <w:docPartGallery w:val="Page Numbers (Top of Page)"/>
        <w:docPartUnique/>
      </w:docPartObj>
    </w:sdtPr>
    <w:sdtEndPr/>
    <w:sdtContent>
      <w:p w:rsidR="0026536B" w:rsidRDefault="0026536B">
        <w:pPr>
          <w:pStyle w:val="aa"/>
          <w:jc w:val="center"/>
        </w:pPr>
        <w:r>
          <w:fldChar w:fldCharType="begin"/>
        </w:r>
        <w:r>
          <w:instrText>PAGE   \* MERGEFORMAT</w:instrText>
        </w:r>
        <w:r>
          <w:fldChar w:fldCharType="separate"/>
        </w:r>
        <w:r w:rsidR="007A2C91">
          <w:rPr>
            <w:noProof/>
          </w:rPr>
          <w:t>7</w:t>
        </w:r>
        <w:r>
          <w:fldChar w:fldCharType="end"/>
        </w:r>
      </w:p>
    </w:sdtContent>
  </w:sdt>
  <w:p w:rsidR="00C10BF5" w:rsidRDefault="00C10BF5">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30DAA"/>
    <w:multiLevelType w:val="hybridMultilevel"/>
    <w:tmpl w:val="AEAEBAB6"/>
    <w:lvl w:ilvl="0" w:tplc="F6A8193E">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1" w15:restartNumberingAfterBreak="0">
    <w:nsid w:val="1ECC312E"/>
    <w:multiLevelType w:val="hybridMultilevel"/>
    <w:tmpl w:val="989884F6"/>
    <w:lvl w:ilvl="0" w:tplc="39280C10">
      <w:start w:val="1"/>
      <w:numFmt w:val="decimal"/>
      <w:lvlText w:val="%1)"/>
      <w:lvlJc w:val="left"/>
      <w:pPr>
        <w:ind w:left="1069" w:hanging="360"/>
      </w:pPr>
      <w:rPr>
        <w:rFonts w:ascii="Times New Roman" w:eastAsia="SimSun" w:hAnsi="Times New Roman" w:cs="Times New Roman"/>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266F19A1"/>
    <w:multiLevelType w:val="hybridMultilevel"/>
    <w:tmpl w:val="C4AA32E8"/>
    <w:lvl w:ilvl="0" w:tplc="78DCED84">
      <w:start w:val="1"/>
      <w:numFmt w:val="decimal"/>
      <w:lvlText w:val="%1)"/>
      <w:lvlJc w:val="left"/>
      <w:pPr>
        <w:ind w:left="785" w:hanging="360"/>
      </w:pPr>
      <w:rPr>
        <w:rFonts w:hint="default"/>
      </w:rPr>
    </w:lvl>
    <w:lvl w:ilvl="1" w:tplc="04220019">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3" w15:restartNumberingAfterBreak="0">
    <w:nsid w:val="5C587248"/>
    <w:multiLevelType w:val="hybridMultilevel"/>
    <w:tmpl w:val="4DD67728"/>
    <w:lvl w:ilvl="0" w:tplc="49800E5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76DF2830"/>
    <w:multiLevelType w:val="hybridMultilevel"/>
    <w:tmpl w:val="AEDEF340"/>
    <w:lvl w:ilvl="0" w:tplc="D752FB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6" w:nlCheck="1" w:checkStyle="0"/>
  <w:activeWritingStyle w:appName="MSWord" w:lang="en-US" w:vendorID="64" w:dllVersion="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321"/>
    <w:rsid w:val="00030436"/>
    <w:rsid w:val="00075108"/>
    <w:rsid w:val="00077F80"/>
    <w:rsid w:val="0009264F"/>
    <w:rsid w:val="00094FF5"/>
    <w:rsid w:val="000A6BB8"/>
    <w:rsid w:val="000F1A0B"/>
    <w:rsid w:val="000F7650"/>
    <w:rsid w:val="00100EFF"/>
    <w:rsid w:val="00104EF4"/>
    <w:rsid w:val="001805D0"/>
    <w:rsid w:val="00180C90"/>
    <w:rsid w:val="00186711"/>
    <w:rsid w:val="001A69CB"/>
    <w:rsid w:val="001C44C7"/>
    <w:rsid w:val="001C54A1"/>
    <w:rsid w:val="001D4301"/>
    <w:rsid w:val="001E59D4"/>
    <w:rsid w:val="001F60AA"/>
    <w:rsid w:val="001F6B68"/>
    <w:rsid w:val="002038A2"/>
    <w:rsid w:val="002059EC"/>
    <w:rsid w:val="00210B7C"/>
    <w:rsid w:val="00226834"/>
    <w:rsid w:val="002351CD"/>
    <w:rsid w:val="002364D5"/>
    <w:rsid w:val="00260466"/>
    <w:rsid w:val="0026536B"/>
    <w:rsid w:val="00271E07"/>
    <w:rsid w:val="002776E4"/>
    <w:rsid w:val="0028467A"/>
    <w:rsid w:val="0028610B"/>
    <w:rsid w:val="00290AE2"/>
    <w:rsid w:val="00294098"/>
    <w:rsid w:val="002B2EE4"/>
    <w:rsid w:val="002B3A8B"/>
    <w:rsid w:val="002B4F31"/>
    <w:rsid w:val="002C0401"/>
    <w:rsid w:val="002C5632"/>
    <w:rsid w:val="002E00B5"/>
    <w:rsid w:val="002E0EB7"/>
    <w:rsid w:val="002E3EE4"/>
    <w:rsid w:val="002E7E4E"/>
    <w:rsid w:val="00304DE7"/>
    <w:rsid w:val="00317F0B"/>
    <w:rsid w:val="00322717"/>
    <w:rsid w:val="00324788"/>
    <w:rsid w:val="00337DDB"/>
    <w:rsid w:val="003433B8"/>
    <w:rsid w:val="00344B54"/>
    <w:rsid w:val="00396B30"/>
    <w:rsid w:val="003B3593"/>
    <w:rsid w:val="003B6F08"/>
    <w:rsid w:val="003D3B86"/>
    <w:rsid w:val="003D4101"/>
    <w:rsid w:val="003D5EC4"/>
    <w:rsid w:val="003D6358"/>
    <w:rsid w:val="004120AD"/>
    <w:rsid w:val="0041622C"/>
    <w:rsid w:val="0042453F"/>
    <w:rsid w:val="004469A6"/>
    <w:rsid w:val="00447ED5"/>
    <w:rsid w:val="004704C8"/>
    <w:rsid w:val="004825A2"/>
    <w:rsid w:val="00484801"/>
    <w:rsid w:val="004866A0"/>
    <w:rsid w:val="004914C3"/>
    <w:rsid w:val="00497438"/>
    <w:rsid w:val="004A2D15"/>
    <w:rsid w:val="004B063E"/>
    <w:rsid w:val="004C1183"/>
    <w:rsid w:val="004D1AB1"/>
    <w:rsid w:val="004D5438"/>
    <w:rsid w:val="004F099A"/>
    <w:rsid w:val="00521E2E"/>
    <w:rsid w:val="00525E10"/>
    <w:rsid w:val="00554284"/>
    <w:rsid w:val="00575793"/>
    <w:rsid w:val="005C1F03"/>
    <w:rsid w:val="005D293C"/>
    <w:rsid w:val="005F54E3"/>
    <w:rsid w:val="00605735"/>
    <w:rsid w:val="00606534"/>
    <w:rsid w:val="00606843"/>
    <w:rsid w:val="006119FC"/>
    <w:rsid w:val="006129F1"/>
    <w:rsid w:val="0061619A"/>
    <w:rsid w:val="00623601"/>
    <w:rsid w:val="00624F07"/>
    <w:rsid w:val="0062726F"/>
    <w:rsid w:val="006333C3"/>
    <w:rsid w:val="00646CCD"/>
    <w:rsid w:val="00655197"/>
    <w:rsid w:val="00662E4B"/>
    <w:rsid w:val="00685DE8"/>
    <w:rsid w:val="006B12C1"/>
    <w:rsid w:val="006B1616"/>
    <w:rsid w:val="006B2CCD"/>
    <w:rsid w:val="006B32F8"/>
    <w:rsid w:val="006C2A95"/>
    <w:rsid w:val="006E589C"/>
    <w:rsid w:val="00705EA6"/>
    <w:rsid w:val="00715C21"/>
    <w:rsid w:val="00722BB1"/>
    <w:rsid w:val="00727919"/>
    <w:rsid w:val="00734F1F"/>
    <w:rsid w:val="0075712E"/>
    <w:rsid w:val="00770B6E"/>
    <w:rsid w:val="0077387D"/>
    <w:rsid w:val="007A2C91"/>
    <w:rsid w:val="007A42CB"/>
    <w:rsid w:val="007C18FD"/>
    <w:rsid w:val="007F4AE1"/>
    <w:rsid w:val="00863747"/>
    <w:rsid w:val="00865207"/>
    <w:rsid w:val="008716C9"/>
    <w:rsid w:val="008A1166"/>
    <w:rsid w:val="008A2099"/>
    <w:rsid w:val="008B3FEC"/>
    <w:rsid w:val="008C2961"/>
    <w:rsid w:val="008C2D35"/>
    <w:rsid w:val="008D42C8"/>
    <w:rsid w:val="008E3EA3"/>
    <w:rsid w:val="008E72B9"/>
    <w:rsid w:val="00910CF5"/>
    <w:rsid w:val="00922F82"/>
    <w:rsid w:val="009266A2"/>
    <w:rsid w:val="009402AC"/>
    <w:rsid w:val="00982A4A"/>
    <w:rsid w:val="00982A69"/>
    <w:rsid w:val="009954AD"/>
    <w:rsid w:val="009A2258"/>
    <w:rsid w:val="009B68E5"/>
    <w:rsid w:val="009E7F81"/>
    <w:rsid w:val="009F1270"/>
    <w:rsid w:val="009F2C85"/>
    <w:rsid w:val="009F432C"/>
    <w:rsid w:val="009F6E04"/>
    <w:rsid w:val="00A041E9"/>
    <w:rsid w:val="00A26656"/>
    <w:rsid w:val="00A33873"/>
    <w:rsid w:val="00A34681"/>
    <w:rsid w:val="00A4646D"/>
    <w:rsid w:val="00A53254"/>
    <w:rsid w:val="00A92D5A"/>
    <w:rsid w:val="00AA76C0"/>
    <w:rsid w:val="00AB1002"/>
    <w:rsid w:val="00AB209A"/>
    <w:rsid w:val="00B0716C"/>
    <w:rsid w:val="00B12609"/>
    <w:rsid w:val="00B2013A"/>
    <w:rsid w:val="00B2424A"/>
    <w:rsid w:val="00B35BAD"/>
    <w:rsid w:val="00B45C61"/>
    <w:rsid w:val="00B559E0"/>
    <w:rsid w:val="00B579BA"/>
    <w:rsid w:val="00B6279F"/>
    <w:rsid w:val="00B96ACA"/>
    <w:rsid w:val="00BA0D35"/>
    <w:rsid w:val="00BC393F"/>
    <w:rsid w:val="00BD029A"/>
    <w:rsid w:val="00C060E3"/>
    <w:rsid w:val="00C10BF5"/>
    <w:rsid w:val="00C171F2"/>
    <w:rsid w:val="00C21E92"/>
    <w:rsid w:val="00C64689"/>
    <w:rsid w:val="00C86A83"/>
    <w:rsid w:val="00CC1114"/>
    <w:rsid w:val="00CC396E"/>
    <w:rsid w:val="00CD3321"/>
    <w:rsid w:val="00CF124D"/>
    <w:rsid w:val="00D16B23"/>
    <w:rsid w:val="00D23C4D"/>
    <w:rsid w:val="00D259A3"/>
    <w:rsid w:val="00D27262"/>
    <w:rsid w:val="00D30692"/>
    <w:rsid w:val="00D47F33"/>
    <w:rsid w:val="00D6256D"/>
    <w:rsid w:val="00D662F9"/>
    <w:rsid w:val="00D960D8"/>
    <w:rsid w:val="00DD00A6"/>
    <w:rsid w:val="00DD4A19"/>
    <w:rsid w:val="00DD6343"/>
    <w:rsid w:val="00DE4CE9"/>
    <w:rsid w:val="00DF0992"/>
    <w:rsid w:val="00DF1801"/>
    <w:rsid w:val="00DF6E4F"/>
    <w:rsid w:val="00DF7CF3"/>
    <w:rsid w:val="00E017BC"/>
    <w:rsid w:val="00E0381E"/>
    <w:rsid w:val="00E20F45"/>
    <w:rsid w:val="00E24087"/>
    <w:rsid w:val="00E66B14"/>
    <w:rsid w:val="00E66B99"/>
    <w:rsid w:val="00E71372"/>
    <w:rsid w:val="00E95DF8"/>
    <w:rsid w:val="00E977F4"/>
    <w:rsid w:val="00EA12A9"/>
    <w:rsid w:val="00EA6477"/>
    <w:rsid w:val="00EB3299"/>
    <w:rsid w:val="00EB6A81"/>
    <w:rsid w:val="00EC3857"/>
    <w:rsid w:val="00ED2CEE"/>
    <w:rsid w:val="00ED5855"/>
    <w:rsid w:val="00EF0619"/>
    <w:rsid w:val="00EF2BF0"/>
    <w:rsid w:val="00F018AB"/>
    <w:rsid w:val="00F12429"/>
    <w:rsid w:val="00F12FC6"/>
    <w:rsid w:val="00F20806"/>
    <w:rsid w:val="00F21A2D"/>
    <w:rsid w:val="00F25932"/>
    <w:rsid w:val="00F333C3"/>
    <w:rsid w:val="00F378F4"/>
    <w:rsid w:val="00F607A7"/>
    <w:rsid w:val="00F619D5"/>
    <w:rsid w:val="00F65288"/>
    <w:rsid w:val="00F67243"/>
    <w:rsid w:val="00F84F2D"/>
    <w:rsid w:val="00F94478"/>
    <w:rsid w:val="00FB3A93"/>
    <w:rsid w:val="00FD5242"/>
    <w:rsid w:val="00FE66FB"/>
    <w:rsid w:val="00FE7AA9"/>
    <w:rsid w:val="00FF4449"/>
    <w:rsid w:val="00FF5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0132"/>
  <w15:chartTrackingRefBased/>
  <w15:docId w15:val="{0EEDCD4D-1775-4F47-8F62-C498C9772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321"/>
    <w:pPr>
      <w:spacing w:after="0" w:line="240" w:lineRule="auto"/>
    </w:pPr>
    <w:rPr>
      <w:rFonts w:ascii="Times New Roman" w:eastAsia="SimSun" w:hAnsi="Times New Roman" w:cs="Times New Roman"/>
      <w:sz w:val="24"/>
      <w:szCs w:val="24"/>
      <w:lang w:val="uk-UA" w:eastAsia="ru-RU"/>
    </w:rPr>
  </w:style>
  <w:style w:type="paragraph" w:styleId="2">
    <w:name w:val="heading 2"/>
    <w:basedOn w:val="a"/>
    <w:link w:val="20"/>
    <w:uiPriority w:val="9"/>
    <w:qFormat/>
    <w:rsid w:val="002364D5"/>
    <w:pPr>
      <w:spacing w:before="100" w:beforeAutospacing="1" w:after="100" w:afterAutospacing="1"/>
      <w:outlineLvl w:val="1"/>
    </w:pPr>
    <w:rPr>
      <w:rFonts w:eastAsiaTheme="minorEastAsia"/>
      <w:b/>
      <w:bCs/>
      <w:sz w:val="36"/>
      <w:szCs w:val="36"/>
      <w:lang w:eastAsia="uk-UA"/>
    </w:rPr>
  </w:style>
  <w:style w:type="paragraph" w:styleId="3">
    <w:name w:val="heading 3"/>
    <w:basedOn w:val="a"/>
    <w:next w:val="a"/>
    <w:link w:val="30"/>
    <w:uiPriority w:val="9"/>
    <w:unhideWhenUsed/>
    <w:qFormat/>
    <w:rsid w:val="002364D5"/>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21"/>
    <w:locked/>
    <w:rsid w:val="00CD3321"/>
    <w:rPr>
      <w:spacing w:val="5"/>
      <w:sz w:val="23"/>
      <w:szCs w:val="23"/>
      <w:shd w:val="clear" w:color="auto" w:fill="FFFFFF"/>
    </w:rPr>
  </w:style>
  <w:style w:type="paragraph" w:customStyle="1" w:styleId="21">
    <w:name w:val="Основной текст2"/>
    <w:basedOn w:val="a"/>
    <w:link w:val="a3"/>
    <w:rsid w:val="00CD3321"/>
    <w:pPr>
      <w:widowControl w:val="0"/>
      <w:shd w:val="clear" w:color="auto" w:fill="FFFFFF"/>
      <w:spacing w:before="300" w:line="317" w:lineRule="exact"/>
      <w:ind w:hanging="400"/>
      <w:jc w:val="both"/>
    </w:pPr>
    <w:rPr>
      <w:rFonts w:asciiTheme="minorHAnsi" w:eastAsiaTheme="minorHAnsi" w:hAnsiTheme="minorHAnsi" w:cstheme="minorBidi"/>
      <w:spacing w:val="5"/>
      <w:sz w:val="23"/>
      <w:szCs w:val="23"/>
      <w:shd w:val="clear" w:color="auto" w:fill="FFFFFF"/>
      <w:lang w:val="ru-RU" w:eastAsia="en-US"/>
    </w:rPr>
  </w:style>
  <w:style w:type="character" w:customStyle="1" w:styleId="a4">
    <w:name w:val="Звичайний (веб) Знак"/>
    <w:aliases w:val="Обычный (Web) Знак,Обычный (веб)1 Знак,Обычный (веб)1 Знак Знак Зн Знак,Знак4 Знак Знак Знак,Знак4 Знак1,Знак4 Знак Знак Знак Знак Знак,Знак4 Знак Знак1,Обычный (Web) Знак Знак Знак Знак Знак,Обычный (веб) Знак Знак,Знак1 Зна Знак"/>
    <w:link w:val="a5"/>
    <w:uiPriority w:val="99"/>
    <w:locked/>
    <w:rsid w:val="00CD3321"/>
    <w:rPr>
      <w:sz w:val="24"/>
      <w:szCs w:val="24"/>
      <w:lang w:eastAsia="ru-RU"/>
    </w:rPr>
  </w:style>
  <w:style w:type="paragraph" w:styleId="a5">
    <w:name w:val="Normal (Web)"/>
    <w:aliases w:val="Обычный (Web),Обычный (веб)1,Обычный (веб)1 Знак Знак Зн,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Знак1 Зна"/>
    <w:basedOn w:val="a"/>
    <w:link w:val="a4"/>
    <w:uiPriority w:val="99"/>
    <w:unhideWhenUsed/>
    <w:qFormat/>
    <w:rsid w:val="00CD3321"/>
    <w:pPr>
      <w:spacing w:before="100" w:beforeAutospacing="1" w:after="100" w:afterAutospacing="1"/>
    </w:pPr>
    <w:rPr>
      <w:rFonts w:asciiTheme="minorHAnsi" w:eastAsiaTheme="minorHAnsi" w:hAnsiTheme="minorHAnsi" w:cstheme="minorBidi"/>
      <w:lang w:val="ru-RU"/>
    </w:rPr>
  </w:style>
  <w:style w:type="paragraph" w:styleId="a6">
    <w:name w:val="Body Text Indent"/>
    <w:basedOn w:val="a"/>
    <w:link w:val="a7"/>
    <w:unhideWhenUsed/>
    <w:rsid w:val="00CD3321"/>
    <w:pPr>
      <w:ind w:firstLine="709"/>
      <w:jc w:val="both"/>
    </w:pPr>
    <w:rPr>
      <w:rFonts w:eastAsia="Times New Roman"/>
      <w:b/>
      <w:sz w:val="27"/>
      <w:szCs w:val="27"/>
    </w:rPr>
  </w:style>
  <w:style w:type="character" w:customStyle="1" w:styleId="a7">
    <w:name w:val="Основний текст з відступом Знак"/>
    <w:basedOn w:val="a0"/>
    <w:link w:val="a6"/>
    <w:rsid w:val="00CD3321"/>
    <w:rPr>
      <w:rFonts w:ascii="Times New Roman" w:eastAsia="Times New Roman" w:hAnsi="Times New Roman" w:cs="Times New Roman"/>
      <w:b/>
      <w:sz w:val="27"/>
      <w:szCs w:val="27"/>
      <w:lang w:val="uk-UA" w:eastAsia="ru-RU"/>
    </w:rPr>
  </w:style>
  <w:style w:type="paragraph" w:customStyle="1" w:styleId="rvps2">
    <w:name w:val="rvps2"/>
    <w:basedOn w:val="a"/>
    <w:rsid w:val="00CD3321"/>
    <w:pPr>
      <w:spacing w:before="100" w:beforeAutospacing="1" w:after="100" w:afterAutospacing="1"/>
    </w:pPr>
    <w:rPr>
      <w:rFonts w:eastAsia="Times New Roman"/>
      <w:lang w:val="ru-RU"/>
    </w:rPr>
  </w:style>
  <w:style w:type="character" w:customStyle="1" w:styleId="rvts0">
    <w:name w:val="rvts0"/>
    <w:rsid w:val="00CD3321"/>
  </w:style>
  <w:style w:type="character" w:customStyle="1" w:styleId="rvts23">
    <w:name w:val="rvts23"/>
    <w:rsid w:val="00CD3321"/>
    <w:rPr>
      <w:rFonts w:ascii="Times New Roman" w:hAnsi="Times New Roman" w:cs="Times New Roman" w:hint="default"/>
    </w:rPr>
  </w:style>
  <w:style w:type="paragraph" w:styleId="a8">
    <w:name w:val="footer"/>
    <w:basedOn w:val="a"/>
    <w:link w:val="a9"/>
    <w:uiPriority w:val="99"/>
    <w:unhideWhenUsed/>
    <w:rsid w:val="00CD3321"/>
    <w:pPr>
      <w:tabs>
        <w:tab w:val="center" w:pos="4819"/>
        <w:tab w:val="right" w:pos="9639"/>
      </w:tabs>
    </w:pPr>
  </w:style>
  <w:style w:type="character" w:customStyle="1" w:styleId="a9">
    <w:name w:val="Нижній колонтитул Знак"/>
    <w:basedOn w:val="a0"/>
    <w:link w:val="a8"/>
    <w:uiPriority w:val="99"/>
    <w:rsid w:val="00CD3321"/>
    <w:rPr>
      <w:rFonts w:ascii="Times New Roman" w:eastAsia="SimSun" w:hAnsi="Times New Roman" w:cs="Times New Roman"/>
      <w:sz w:val="24"/>
      <w:szCs w:val="24"/>
      <w:lang w:val="uk-UA" w:eastAsia="ru-RU"/>
    </w:rPr>
  </w:style>
  <w:style w:type="paragraph" w:styleId="aa">
    <w:name w:val="header"/>
    <w:basedOn w:val="a"/>
    <w:link w:val="ab"/>
    <w:uiPriority w:val="99"/>
    <w:unhideWhenUsed/>
    <w:rsid w:val="00324788"/>
    <w:pPr>
      <w:tabs>
        <w:tab w:val="center" w:pos="4819"/>
        <w:tab w:val="right" w:pos="9639"/>
      </w:tabs>
    </w:pPr>
  </w:style>
  <w:style w:type="character" w:customStyle="1" w:styleId="ab">
    <w:name w:val="Верхній колонтитул Знак"/>
    <w:basedOn w:val="a0"/>
    <w:link w:val="aa"/>
    <w:uiPriority w:val="99"/>
    <w:rsid w:val="00324788"/>
    <w:rPr>
      <w:rFonts w:ascii="Times New Roman" w:eastAsia="SimSun" w:hAnsi="Times New Roman" w:cs="Times New Roman"/>
      <w:sz w:val="24"/>
      <w:szCs w:val="24"/>
      <w:lang w:val="uk-UA" w:eastAsia="ru-RU"/>
    </w:rPr>
  </w:style>
  <w:style w:type="paragraph" w:styleId="ac">
    <w:name w:val="Balloon Text"/>
    <w:basedOn w:val="a"/>
    <w:link w:val="ad"/>
    <w:uiPriority w:val="99"/>
    <w:semiHidden/>
    <w:unhideWhenUsed/>
    <w:rsid w:val="00186711"/>
    <w:rPr>
      <w:rFonts w:ascii="Segoe UI" w:hAnsi="Segoe UI" w:cs="Segoe UI"/>
      <w:sz w:val="18"/>
      <w:szCs w:val="18"/>
    </w:rPr>
  </w:style>
  <w:style w:type="character" w:customStyle="1" w:styleId="ad">
    <w:name w:val="Текст у виносці Знак"/>
    <w:basedOn w:val="a0"/>
    <w:link w:val="ac"/>
    <w:uiPriority w:val="99"/>
    <w:semiHidden/>
    <w:rsid w:val="00186711"/>
    <w:rPr>
      <w:rFonts w:ascii="Segoe UI" w:eastAsia="SimSun" w:hAnsi="Segoe UI" w:cs="Segoe UI"/>
      <w:sz w:val="18"/>
      <w:szCs w:val="18"/>
      <w:lang w:val="uk-UA" w:eastAsia="ru-RU"/>
    </w:rPr>
  </w:style>
  <w:style w:type="paragraph" w:customStyle="1" w:styleId="1">
    <w:name w:val="Знак Знак1 Знак"/>
    <w:basedOn w:val="a"/>
    <w:rsid w:val="00D259A3"/>
    <w:rPr>
      <w:rFonts w:ascii="Verdana" w:eastAsia="Times New Roman" w:hAnsi="Verdana" w:cs="Verdana"/>
      <w:sz w:val="20"/>
      <w:szCs w:val="20"/>
      <w:lang w:val="en-US" w:eastAsia="en-US"/>
    </w:rPr>
  </w:style>
  <w:style w:type="paragraph" w:styleId="ae">
    <w:name w:val="List Paragraph"/>
    <w:basedOn w:val="a"/>
    <w:uiPriority w:val="34"/>
    <w:qFormat/>
    <w:rsid w:val="002C5632"/>
    <w:pPr>
      <w:ind w:left="720"/>
      <w:contextualSpacing/>
    </w:pPr>
  </w:style>
  <w:style w:type="character" w:customStyle="1" w:styleId="20">
    <w:name w:val="Заголовок 2 Знак"/>
    <w:basedOn w:val="a0"/>
    <w:link w:val="2"/>
    <w:uiPriority w:val="9"/>
    <w:rsid w:val="002364D5"/>
    <w:rPr>
      <w:rFonts w:ascii="Times New Roman" w:eastAsiaTheme="minorEastAsia" w:hAnsi="Times New Roman" w:cs="Times New Roman"/>
      <w:b/>
      <w:bCs/>
      <w:sz w:val="36"/>
      <w:szCs w:val="36"/>
      <w:lang w:val="uk-UA" w:eastAsia="uk-UA"/>
    </w:rPr>
  </w:style>
  <w:style w:type="character" w:customStyle="1" w:styleId="30">
    <w:name w:val="Заголовок 3 Знак"/>
    <w:basedOn w:val="a0"/>
    <w:link w:val="3"/>
    <w:uiPriority w:val="9"/>
    <w:semiHidden/>
    <w:rsid w:val="002364D5"/>
    <w:rPr>
      <w:rFonts w:asciiTheme="majorHAnsi" w:eastAsiaTheme="majorEastAsia" w:hAnsiTheme="majorHAnsi" w:cstheme="majorBidi"/>
      <w:color w:val="1F4D78" w:themeColor="accent1" w:themeShade="7F"/>
      <w:sz w:val="24"/>
      <w:szCs w:val="24"/>
      <w:lang w:val="uk-UA" w:eastAsia="ru-RU"/>
    </w:rPr>
  </w:style>
  <w:style w:type="paragraph" w:customStyle="1" w:styleId="af">
    <w:name w:val="a"/>
    <w:basedOn w:val="a"/>
    <w:rsid w:val="002364D5"/>
    <w:pPr>
      <w:spacing w:before="100" w:beforeAutospacing="1" w:after="100" w:afterAutospacing="1"/>
    </w:pPr>
    <w:rPr>
      <w:rFonts w:eastAsia="Times New Roman"/>
      <w:lang w:val="ru-RU"/>
    </w:rPr>
  </w:style>
  <w:style w:type="paragraph" w:customStyle="1" w:styleId="Default">
    <w:name w:val="Default"/>
    <w:rsid w:val="00C10BF5"/>
    <w:pPr>
      <w:autoSpaceDE w:val="0"/>
      <w:autoSpaceDN w:val="0"/>
      <w:adjustRightInd w:val="0"/>
      <w:spacing w:after="0" w:line="240" w:lineRule="auto"/>
    </w:pPr>
    <w:rPr>
      <w:rFonts w:ascii="Times New Roman" w:eastAsiaTheme="minorEastAsia" w:hAnsi="Times New Roman" w:cs="Times New Roman"/>
      <w:color w:val="000000"/>
      <w:sz w:val="24"/>
      <w:szCs w:val="24"/>
      <w:lang w:val="uk-UA" w:eastAsia="uk-UA"/>
    </w:rPr>
  </w:style>
  <w:style w:type="table" w:styleId="af0">
    <w:name w:val="Table Grid"/>
    <w:basedOn w:val="a1"/>
    <w:uiPriority w:val="59"/>
    <w:rsid w:val="00C10BF5"/>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Нормальний текст"/>
    <w:basedOn w:val="a"/>
    <w:uiPriority w:val="99"/>
    <w:rsid w:val="00C10BF5"/>
    <w:pPr>
      <w:spacing w:before="120"/>
      <w:ind w:firstLine="567"/>
      <w:jc w:val="both"/>
    </w:pPr>
    <w:rPr>
      <w:rFonts w:ascii="Antiqua" w:eastAsia="Times New Roman" w:hAnsi="Antiqua"/>
      <w:sz w:val="26"/>
      <w:szCs w:val="20"/>
    </w:rPr>
  </w:style>
  <w:style w:type="paragraph" w:styleId="HTML">
    <w:name w:val="HTML Preformatted"/>
    <w:aliases w:val="Знак Знак, Знак2, Знак2 Знак"/>
    <w:basedOn w:val="a"/>
    <w:link w:val="HTML0"/>
    <w:uiPriority w:val="99"/>
    <w:rsid w:val="00C10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1"/>
      <w:szCs w:val="21"/>
      <w:lang w:val="ru-RU"/>
    </w:rPr>
  </w:style>
  <w:style w:type="character" w:customStyle="1" w:styleId="HTML0">
    <w:name w:val="Стандартний HTML Знак"/>
    <w:aliases w:val="Знак Знак Знак, Знак2 Знак1, Знак2 Знак Знак"/>
    <w:basedOn w:val="a0"/>
    <w:link w:val="HTML"/>
    <w:uiPriority w:val="99"/>
    <w:rsid w:val="00C10BF5"/>
    <w:rPr>
      <w:rFonts w:ascii="Courier New" w:eastAsia="Times New Roman" w:hAnsi="Courier New" w:cs="Courier New"/>
      <w:color w:val="000000"/>
      <w:sz w:val="21"/>
      <w:szCs w:val="21"/>
      <w:lang w:eastAsia="ru-RU"/>
    </w:rPr>
  </w:style>
  <w:style w:type="paragraph" w:styleId="af2">
    <w:name w:val="Body Text"/>
    <w:basedOn w:val="a"/>
    <w:link w:val="af3"/>
    <w:rsid w:val="00C10BF5"/>
    <w:pPr>
      <w:suppressAutoHyphens/>
      <w:spacing w:after="140" w:line="288" w:lineRule="auto"/>
    </w:pPr>
    <w:rPr>
      <w:rFonts w:ascii="Liberation Serif" w:hAnsi="Liberation Serif" w:cs="Arial Unicode MS"/>
      <w:kern w:val="1"/>
      <w:lang w:eastAsia="zh-CN" w:bidi="hi-IN"/>
    </w:rPr>
  </w:style>
  <w:style w:type="character" w:customStyle="1" w:styleId="af3">
    <w:name w:val="Основний текст Знак"/>
    <w:basedOn w:val="a0"/>
    <w:link w:val="af2"/>
    <w:rsid w:val="00C10BF5"/>
    <w:rPr>
      <w:rFonts w:ascii="Liberation Serif" w:eastAsia="SimSun" w:hAnsi="Liberation Serif" w:cs="Arial Unicode MS"/>
      <w:kern w:val="1"/>
      <w:sz w:val="24"/>
      <w:szCs w:val="24"/>
      <w:lang w:val="uk-UA" w:eastAsia="zh-CN" w:bidi="hi-IN"/>
    </w:rPr>
  </w:style>
  <w:style w:type="character" w:customStyle="1" w:styleId="spelle">
    <w:name w:val="spelle"/>
    <w:rsid w:val="00C10B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254010">
      <w:bodyDiv w:val="1"/>
      <w:marLeft w:val="0"/>
      <w:marRight w:val="0"/>
      <w:marTop w:val="0"/>
      <w:marBottom w:val="0"/>
      <w:divBdr>
        <w:top w:val="none" w:sz="0" w:space="0" w:color="auto"/>
        <w:left w:val="none" w:sz="0" w:space="0" w:color="auto"/>
        <w:bottom w:val="none" w:sz="0" w:space="0" w:color="auto"/>
        <w:right w:val="none" w:sz="0" w:space="0" w:color="auto"/>
      </w:divBdr>
    </w:div>
    <w:div w:id="96423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ED816-CEC1-4C13-80FC-FA6F93D7F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1407</TotalTime>
  <Pages>7</Pages>
  <Words>7696</Words>
  <Characters>4387</Characters>
  <Application>Microsoft Office Word</Application>
  <DocSecurity>0</DocSecurity>
  <Lines>36</Lines>
  <Paragraphs>24</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Пріщенко</dc:creator>
  <cp:keywords/>
  <dc:description/>
  <cp:lastModifiedBy>Світлана Черних</cp:lastModifiedBy>
  <cp:revision>22</cp:revision>
  <cp:lastPrinted>2021-08-31T14:19:00Z</cp:lastPrinted>
  <dcterms:created xsi:type="dcterms:W3CDTF">2021-09-08T12:11:00Z</dcterms:created>
  <dcterms:modified xsi:type="dcterms:W3CDTF">2022-09-13T08:05:00Z</dcterms:modified>
</cp:coreProperties>
</file>