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865" w:rsidRDefault="00946BAD" w:rsidP="00C50D8E">
      <w:pPr>
        <w:spacing w:after="0"/>
        <w:jc w:val="center"/>
        <w:rPr>
          <w:rFonts w:ascii="Times New Roman" w:hAnsi="Times New Roman" w:cs="Times New Roman"/>
          <w:b/>
          <w:sz w:val="28"/>
          <w:szCs w:val="28"/>
          <w:lang w:val="uk-UA"/>
        </w:rPr>
      </w:pPr>
      <w:r w:rsidRPr="00FC5C04">
        <w:rPr>
          <w:rFonts w:ascii="Times New Roman" w:hAnsi="Times New Roman" w:cs="Times New Roman"/>
          <w:b/>
          <w:bCs/>
          <w:sz w:val="28"/>
          <w:szCs w:val="28"/>
          <w:lang w:val="uk-UA"/>
        </w:rPr>
        <w:t xml:space="preserve">Пропозиції </w:t>
      </w:r>
      <w:r w:rsidR="00EC5CB7">
        <w:rPr>
          <w:rFonts w:ascii="Times New Roman" w:hAnsi="Times New Roman" w:cs="Times New Roman"/>
          <w:b/>
          <w:bCs/>
          <w:sz w:val="28"/>
          <w:szCs w:val="28"/>
          <w:lang w:val="uk-UA"/>
        </w:rPr>
        <w:t>З</w:t>
      </w:r>
      <w:r w:rsidRPr="00FC5C04">
        <w:rPr>
          <w:rFonts w:ascii="Times New Roman" w:hAnsi="Times New Roman" w:cs="Times New Roman"/>
          <w:b/>
          <w:bCs/>
          <w:sz w:val="28"/>
          <w:szCs w:val="28"/>
          <w:lang w:val="uk-UA"/>
        </w:rPr>
        <w:t>мін</w:t>
      </w:r>
      <w:r w:rsidR="00EC5CB7">
        <w:rPr>
          <w:rFonts w:ascii="Times New Roman" w:hAnsi="Times New Roman" w:cs="Times New Roman"/>
          <w:b/>
          <w:bCs/>
          <w:sz w:val="28"/>
          <w:szCs w:val="28"/>
          <w:lang w:val="uk-UA"/>
        </w:rPr>
        <w:t>и</w:t>
      </w:r>
      <w:r w:rsidRPr="00FC5C04">
        <w:rPr>
          <w:rFonts w:ascii="Times New Roman" w:hAnsi="Times New Roman" w:cs="Times New Roman"/>
          <w:b/>
          <w:bCs/>
          <w:sz w:val="28"/>
          <w:szCs w:val="28"/>
          <w:lang w:val="uk-UA"/>
        </w:rPr>
        <w:t xml:space="preserve"> до </w:t>
      </w:r>
      <w:r w:rsidR="00C50D8E" w:rsidRPr="00F7195C">
        <w:rPr>
          <w:rFonts w:ascii="Times New Roman" w:hAnsi="Times New Roman" w:cs="Times New Roman"/>
          <w:b/>
          <w:sz w:val="28"/>
          <w:szCs w:val="28"/>
          <w:lang w:val="uk-UA"/>
        </w:rPr>
        <w:t>постанови НКРЕКП від 26</w:t>
      </w:r>
      <w:r w:rsidR="00C50D8E">
        <w:rPr>
          <w:rFonts w:ascii="Times New Roman" w:hAnsi="Times New Roman" w:cs="Times New Roman"/>
          <w:b/>
          <w:sz w:val="28"/>
          <w:szCs w:val="28"/>
          <w:lang w:val="uk-UA"/>
        </w:rPr>
        <w:t> </w:t>
      </w:r>
      <w:r w:rsidR="00C50D8E" w:rsidRPr="00F7195C">
        <w:rPr>
          <w:rFonts w:ascii="Times New Roman" w:hAnsi="Times New Roman" w:cs="Times New Roman"/>
          <w:b/>
          <w:sz w:val="28"/>
          <w:szCs w:val="28"/>
          <w:lang w:val="uk-UA"/>
        </w:rPr>
        <w:t>квітня 2019</w:t>
      </w:r>
      <w:r w:rsidR="00C50D8E">
        <w:rPr>
          <w:rFonts w:ascii="Times New Roman" w:hAnsi="Times New Roman" w:cs="Times New Roman"/>
          <w:b/>
          <w:sz w:val="28"/>
          <w:szCs w:val="28"/>
          <w:lang w:val="uk-UA"/>
        </w:rPr>
        <w:t> </w:t>
      </w:r>
      <w:r w:rsidR="00C50D8E" w:rsidRPr="00F7195C">
        <w:rPr>
          <w:rFonts w:ascii="Times New Roman" w:hAnsi="Times New Roman" w:cs="Times New Roman"/>
          <w:b/>
          <w:sz w:val="28"/>
          <w:szCs w:val="28"/>
          <w:lang w:val="uk-UA"/>
        </w:rPr>
        <w:t>року №</w:t>
      </w:r>
      <w:r w:rsidR="00C50D8E">
        <w:rPr>
          <w:rFonts w:ascii="Times New Roman" w:hAnsi="Times New Roman" w:cs="Times New Roman"/>
          <w:b/>
          <w:sz w:val="28"/>
          <w:szCs w:val="28"/>
          <w:lang w:val="uk-UA"/>
        </w:rPr>
        <w:t> </w:t>
      </w:r>
      <w:r w:rsidR="00C50D8E" w:rsidRPr="00F7195C">
        <w:rPr>
          <w:rFonts w:ascii="Times New Roman" w:hAnsi="Times New Roman" w:cs="Times New Roman"/>
          <w:b/>
          <w:sz w:val="28"/>
          <w:szCs w:val="28"/>
          <w:lang w:val="uk-UA"/>
        </w:rPr>
        <w:t>641</w:t>
      </w:r>
    </w:p>
    <w:p w:rsidR="00C50D8E" w:rsidRPr="00FC5C04" w:rsidRDefault="00C50D8E" w:rsidP="00C50D8E">
      <w:pPr>
        <w:spacing w:after="0"/>
        <w:jc w:val="center"/>
        <w:rPr>
          <w:rFonts w:ascii="Times New Roman" w:hAnsi="Times New Roman" w:cs="Times New Roman"/>
          <w:b/>
          <w:bCs/>
          <w:sz w:val="28"/>
          <w:szCs w:val="28"/>
          <w:lang w:val="uk-UA"/>
        </w:rPr>
      </w:pPr>
    </w:p>
    <w:tbl>
      <w:tblPr>
        <w:tblStyle w:val="a4"/>
        <w:tblW w:w="5000" w:type="pct"/>
        <w:tblLook w:val="04A0" w:firstRow="1" w:lastRow="0" w:firstColumn="1" w:lastColumn="0" w:noHBand="0" w:noVBand="1"/>
      </w:tblPr>
      <w:tblGrid>
        <w:gridCol w:w="7789"/>
        <w:gridCol w:w="7599"/>
      </w:tblGrid>
      <w:tr w:rsidR="00FC5C04" w:rsidRPr="00302BF8" w:rsidTr="00E35235">
        <w:tc>
          <w:tcPr>
            <w:tcW w:w="2531" w:type="pct"/>
          </w:tcPr>
          <w:p w:rsidR="00E35235" w:rsidRPr="00302BF8" w:rsidRDefault="00E35235" w:rsidP="00946BAD">
            <w:pPr>
              <w:jc w:val="center"/>
              <w:rPr>
                <w:rFonts w:ascii="Times New Roman" w:hAnsi="Times New Roman" w:cs="Times New Roman"/>
                <w:b/>
                <w:bCs/>
                <w:sz w:val="28"/>
                <w:szCs w:val="28"/>
                <w:lang w:val="uk-UA"/>
              </w:rPr>
            </w:pPr>
            <w:r w:rsidRPr="00302BF8">
              <w:rPr>
                <w:rFonts w:ascii="Times New Roman" w:hAnsi="Times New Roman" w:cs="Times New Roman"/>
                <w:b/>
                <w:bCs/>
                <w:sz w:val="28"/>
                <w:szCs w:val="28"/>
                <w:lang w:val="uk-UA"/>
              </w:rPr>
              <w:t xml:space="preserve">Чинна редакція </w:t>
            </w:r>
          </w:p>
        </w:tc>
        <w:tc>
          <w:tcPr>
            <w:tcW w:w="2469" w:type="pct"/>
          </w:tcPr>
          <w:p w:rsidR="00E35235" w:rsidRPr="00302BF8" w:rsidRDefault="00AB06C6" w:rsidP="00946BAD">
            <w:pPr>
              <w:jc w:val="center"/>
              <w:rPr>
                <w:rFonts w:ascii="Times New Roman" w:hAnsi="Times New Roman" w:cs="Times New Roman"/>
                <w:b/>
                <w:bCs/>
                <w:sz w:val="28"/>
                <w:szCs w:val="28"/>
                <w:lang w:val="en-US"/>
              </w:rPr>
            </w:pPr>
            <w:r w:rsidRPr="00302BF8">
              <w:rPr>
                <w:rFonts w:ascii="Times New Roman" w:hAnsi="Times New Roman" w:cs="Times New Roman"/>
                <w:b/>
                <w:bCs/>
                <w:sz w:val="28"/>
                <w:szCs w:val="28"/>
                <w:lang w:val="uk-UA"/>
              </w:rPr>
              <w:t>Редакція проєкту рішення НКРЕКП</w:t>
            </w:r>
          </w:p>
        </w:tc>
      </w:tr>
      <w:tr w:rsidR="00B45BE7" w:rsidRPr="00461063" w:rsidTr="00B45BE7">
        <w:tc>
          <w:tcPr>
            <w:tcW w:w="5000" w:type="pct"/>
            <w:gridSpan w:val="2"/>
          </w:tcPr>
          <w:p w:rsidR="00B45BE7" w:rsidRPr="00302BF8" w:rsidRDefault="00B45BE7" w:rsidP="00946BAD">
            <w:pPr>
              <w:jc w:val="center"/>
              <w:rPr>
                <w:rFonts w:ascii="Times New Roman" w:hAnsi="Times New Roman" w:cs="Times New Roman"/>
                <w:b/>
                <w:bCs/>
                <w:sz w:val="28"/>
                <w:szCs w:val="28"/>
                <w:lang w:val="uk-UA"/>
              </w:rPr>
            </w:pPr>
            <w:r w:rsidRPr="00B45BE7">
              <w:rPr>
                <w:rFonts w:ascii="Times New Roman" w:hAnsi="Times New Roman" w:cs="Times New Roman"/>
                <w:b/>
                <w:bCs/>
                <w:sz w:val="28"/>
                <w:szCs w:val="28"/>
                <w:lang w:val="uk-UA"/>
              </w:rPr>
              <w:t>9. Правила функціонування балансуючої групи гарантованого покупця</w:t>
            </w:r>
          </w:p>
        </w:tc>
      </w:tr>
      <w:tr w:rsidR="00EC5CB7" w:rsidRPr="00461063" w:rsidTr="00E35235">
        <w:tc>
          <w:tcPr>
            <w:tcW w:w="2531" w:type="pct"/>
          </w:tcPr>
          <w:p w:rsidR="00302BF8" w:rsidRDefault="00302BF8" w:rsidP="00302BF8">
            <w:pPr>
              <w:rPr>
                <w:rFonts w:ascii="Times New Roman" w:eastAsiaTheme="minorEastAsia" w:hAnsi="Times New Roman" w:cs="Times New Roman"/>
                <w:sz w:val="28"/>
                <w:szCs w:val="28"/>
              </w:rPr>
            </w:pPr>
            <w:r w:rsidRPr="00302BF8">
              <w:rPr>
                <w:rFonts w:ascii="Times New Roman" w:eastAsiaTheme="minorEastAsia" w:hAnsi="Times New Roman" w:cs="Times New Roman"/>
                <w:b/>
                <w:sz w:val="28"/>
                <w:szCs w:val="28"/>
                <w:lang w:val="uk-UA"/>
              </w:rPr>
              <w:t>9.2.</w:t>
            </w:r>
            <w:r>
              <w:rPr>
                <w:rFonts w:ascii="Times New Roman" w:eastAsiaTheme="minorEastAsia" w:hAnsi="Times New Roman" w:cs="Times New Roman"/>
                <w:sz w:val="28"/>
                <w:szCs w:val="28"/>
                <w:lang w:val="uk-UA"/>
              </w:rPr>
              <w:t xml:space="preserve"> </w:t>
            </w:r>
            <w:r w:rsidRPr="00302BF8">
              <w:rPr>
                <w:rFonts w:ascii="Times New Roman" w:hAnsi="Times New Roman" w:cs="Times New Roman"/>
                <w:noProof/>
                <w:sz w:val="28"/>
                <w:szCs w:val="28"/>
                <w:lang w:val="uk-UA"/>
              </w:rPr>
              <w:drawing>
                <wp:inline distT="0" distB="0" distL="0" distR="0" wp14:anchorId="189ACD5C" wp14:editId="03BF988E">
                  <wp:extent cx="3695700" cy="438150"/>
                  <wp:effectExtent l="0" t="0" r="0" b="0"/>
                  <wp:docPr id="5" name="Рисунок 5" descr="https://zakon.rada.gov.ua/laws/file/imgs/87/p484354n706-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s://zakon.rada.gov.ua/laws/file/imgs/87/p484354n706-3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95700" cy="438150"/>
                          </a:xfrm>
                          <a:prstGeom prst="rect">
                            <a:avLst/>
                          </a:prstGeom>
                          <a:noFill/>
                          <a:ln>
                            <a:noFill/>
                          </a:ln>
                        </pic:spPr>
                      </pic:pic>
                    </a:graphicData>
                  </a:graphic>
                </wp:inline>
              </w:drawing>
            </w:r>
            <w:r w:rsidRPr="00302BF8">
              <w:rPr>
                <w:rFonts w:ascii="Times New Roman" w:eastAsiaTheme="minorEastAsia" w:hAnsi="Times New Roman" w:cs="Times New Roman"/>
                <w:sz w:val="28"/>
                <w:szCs w:val="28"/>
              </w:rPr>
              <w:t>(11)</w:t>
            </w:r>
          </w:p>
          <w:p w:rsidR="00302BF8" w:rsidRPr="00B27BB6" w:rsidRDefault="00302BF8" w:rsidP="00302BF8">
            <w:pPr>
              <w:jc w:val="center"/>
              <w:rPr>
                <w:rFonts w:ascii="Times New Roman" w:eastAsiaTheme="minorEastAsia" w:hAnsi="Times New Roman" w:cs="Times New Roman"/>
                <w:sz w:val="20"/>
                <w:szCs w:val="20"/>
              </w:rPr>
            </w:pPr>
          </w:p>
          <w:p w:rsidR="00113BD5" w:rsidRPr="00302BF8" w:rsidRDefault="00113BD5" w:rsidP="00113BD5">
            <w:pPr>
              <w:jc w:val="both"/>
              <w:rPr>
                <w:rFonts w:ascii="Times New Roman" w:hAnsi="Times New Roman" w:cs="Times New Roman"/>
                <w:sz w:val="28"/>
                <w:szCs w:val="28"/>
                <w:lang w:val="uk-UA"/>
              </w:rPr>
            </w:pPr>
            <w:r w:rsidRPr="00302BF8">
              <w:rPr>
                <w:rStyle w:val="af6"/>
                <w:rFonts w:ascii="Times New Roman" w:hAnsi="Times New Roman" w:cs="Times New Roman"/>
                <w:b w:val="0"/>
                <w:sz w:val="28"/>
                <w:szCs w:val="28"/>
              </w:rPr>
              <w:t>Δ</w:t>
            </w:r>
            <w:proofErr w:type="gramStart"/>
            <w:r w:rsidRPr="00302BF8">
              <w:rPr>
                <w:rStyle w:val="af6"/>
                <w:rFonts w:ascii="Times New Roman" w:hAnsi="Times New Roman" w:cs="Times New Roman"/>
                <w:b w:val="0"/>
                <w:sz w:val="28"/>
                <w:szCs w:val="28"/>
              </w:rPr>
              <w:t>W</w:t>
            </w:r>
            <w:r w:rsidRPr="00302BF8">
              <w:rPr>
                <w:rStyle w:val="af6"/>
                <w:rFonts w:ascii="Times New Roman" w:hAnsi="Times New Roman" w:cs="Times New Roman"/>
                <w:b w:val="0"/>
                <w:sz w:val="28"/>
                <w:szCs w:val="28"/>
                <w:vertAlign w:val="subscript"/>
              </w:rPr>
              <w:t>GB</w:t>
            </w:r>
            <w:r w:rsidRPr="00302BF8">
              <w:rPr>
                <w:rStyle w:val="af6"/>
                <w:rFonts w:ascii="Times New Roman" w:hAnsi="Times New Roman" w:cs="Times New Roman"/>
                <w:b w:val="0"/>
                <w:sz w:val="28"/>
                <w:szCs w:val="28"/>
                <w:vertAlign w:val="subscript"/>
                <w:lang w:val="uk-UA"/>
              </w:rPr>
              <w:t>,</w:t>
            </w:r>
            <w:r w:rsidRPr="00302BF8">
              <w:rPr>
                <w:rStyle w:val="af6"/>
                <w:rFonts w:ascii="Times New Roman" w:hAnsi="Times New Roman" w:cs="Times New Roman"/>
                <w:b w:val="0"/>
                <w:sz w:val="28"/>
                <w:szCs w:val="28"/>
                <w:vertAlign w:val="subscript"/>
              </w:rPr>
              <w:t>z</w:t>
            </w:r>
            <w:proofErr w:type="gramEnd"/>
            <w:r w:rsidRPr="00302BF8">
              <w:rPr>
                <w:rStyle w:val="af6"/>
                <w:rFonts w:ascii="Times New Roman" w:hAnsi="Times New Roman" w:cs="Times New Roman"/>
                <w:b w:val="0"/>
                <w:sz w:val="28"/>
                <w:szCs w:val="28"/>
                <w:vertAlign w:val="subscript"/>
                <w:lang w:val="uk-UA"/>
              </w:rPr>
              <w:t>,</w:t>
            </w:r>
            <w:r w:rsidRPr="00302BF8">
              <w:rPr>
                <w:rStyle w:val="af6"/>
                <w:rFonts w:ascii="Times New Roman" w:hAnsi="Times New Roman" w:cs="Times New Roman"/>
                <w:b w:val="0"/>
                <w:sz w:val="28"/>
                <w:szCs w:val="28"/>
                <w:vertAlign w:val="subscript"/>
              </w:rPr>
              <w:t>t</w:t>
            </w:r>
            <w:r w:rsidRPr="00302BF8">
              <w:rPr>
                <w:rStyle w:val="af6"/>
                <w:rFonts w:ascii="Times New Roman" w:hAnsi="Times New Roman" w:cs="Times New Roman"/>
                <w:b w:val="0"/>
                <w:sz w:val="28"/>
                <w:szCs w:val="28"/>
                <w:vertAlign w:val="subscript"/>
                <w:lang w:val="uk-UA"/>
              </w:rPr>
              <w:t xml:space="preserve"> </w:t>
            </w:r>
            <w:r w:rsidRPr="00302BF8">
              <w:rPr>
                <w:rStyle w:val="af6"/>
                <w:rFonts w:ascii="Times New Roman" w:hAnsi="Times New Roman" w:cs="Times New Roman"/>
                <w:b w:val="0"/>
                <w:sz w:val="28"/>
                <w:szCs w:val="28"/>
                <w:lang w:val="uk-UA"/>
              </w:rPr>
              <w:t xml:space="preserve">- </w:t>
            </w:r>
            <w:r w:rsidRPr="00302BF8">
              <w:rPr>
                <w:rFonts w:ascii="Times New Roman" w:hAnsi="Times New Roman" w:cs="Times New Roman"/>
                <w:sz w:val="28"/>
                <w:szCs w:val="28"/>
                <w:lang w:val="uk-UA"/>
              </w:rPr>
              <w:t xml:space="preserve">сумарний обсяг не відпущеної електричної енергії генеруючими одиницями </w:t>
            </w:r>
            <w:r w:rsidRPr="00302BF8">
              <w:rPr>
                <w:rFonts w:ascii="Times New Roman" w:hAnsi="Times New Roman" w:cs="Times New Roman"/>
                <w:sz w:val="28"/>
                <w:szCs w:val="28"/>
              </w:rPr>
              <w:t>e</w:t>
            </w:r>
            <w:r w:rsidRPr="00302BF8">
              <w:rPr>
                <w:rFonts w:ascii="Times New Roman" w:hAnsi="Times New Roman" w:cs="Times New Roman"/>
                <w:sz w:val="28"/>
                <w:szCs w:val="28"/>
                <w:lang w:val="uk-UA"/>
              </w:rPr>
              <w:t xml:space="preserve"> продавців </w:t>
            </w:r>
            <w:r w:rsidRPr="00302BF8">
              <w:rPr>
                <w:rFonts w:ascii="Times New Roman" w:hAnsi="Times New Roman" w:cs="Times New Roman"/>
                <w:sz w:val="28"/>
                <w:szCs w:val="28"/>
              </w:rPr>
              <w:t>p</w:t>
            </w:r>
            <w:r w:rsidRPr="00302BF8">
              <w:rPr>
                <w:rFonts w:ascii="Times New Roman" w:hAnsi="Times New Roman" w:cs="Times New Roman"/>
                <w:sz w:val="28"/>
                <w:szCs w:val="28"/>
                <w:lang w:val="uk-UA"/>
              </w:rPr>
              <w:t xml:space="preserve"> (позитивне значення), що входять до балансуючої групи гарантованого покупця </w:t>
            </w:r>
            <w:r w:rsidRPr="00302BF8">
              <w:rPr>
                <w:rFonts w:ascii="Times New Roman" w:hAnsi="Times New Roman" w:cs="Times New Roman"/>
                <w:sz w:val="28"/>
                <w:szCs w:val="28"/>
              </w:rPr>
              <w:t>GB</w:t>
            </w:r>
            <w:r w:rsidRPr="00302BF8">
              <w:rPr>
                <w:rFonts w:ascii="Times New Roman" w:hAnsi="Times New Roman" w:cs="Times New Roman"/>
                <w:sz w:val="28"/>
                <w:szCs w:val="28"/>
                <w:lang w:val="uk-UA"/>
              </w:rPr>
              <w:t xml:space="preserve">, у розрахунковому періоді </w:t>
            </w:r>
            <w:r w:rsidRPr="00302BF8">
              <w:rPr>
                <w:rFonts w:ascii="Times New Roman" w:hAnsi="Times New Roman" w:cs="Times New Roman"/>
                <w:sz w:val="28"/>
                <w:szCs w:val="28"/>
              </w:rPr>
              <w:t>t</w:t>
            </w:r>
            <w:r w:rsidRPr="00302BF8">
              <w:rPr>
                <w:rFonts w:ascii="Times New Roman" w:hAnsi="Times New Roman" w:cs="Times New Roman"/>
                <w:sz w:val="28"/>
                <w:szCs w:val="28"/>
                <w:lang w:val="uk-UA"/>
              </w:rPr>
              <w:t xml:space="preserve"> торгової зони </w:t>
            </w:r>
            <w:r w:rsidRPr="00302BF8">
              <w:rPr>
                <w:rFonts w:ascii="Times New Roman" w:hAnsi="Times New Roman" w:cs="Times New Roman"/>
                <w:sz w:val="28"/>
                <w:szCs w:val="28"/>
              </w:rPr>
              <w:t>z</w:t>
            </w:r>
            <w:r w:rsidRPr="00302BF8">
              <w:rPr>
                <w:rFonts w:ascii="Times New Roman" w:hAnsi="Times New Roman" w:cs="Times New Roman"/>
                <w:sz w:val="28"/>
                <w:szCs w:val="28"/>
                <w:lang w:val="uk-UA"/>
              </w:rPr>
              <w:t xml:space="preserve"> в результаті виконання команд ОСП на зменшення навантаження, що визначається за формулою</w:t>
            </w:r>
          </w:p>
          <w:p w:rsidR="00113BD5" w:rsidRPr="00302BF8" w:rsidRDefault="00113BD5" w:rsidP="00113BD5">
            <w:pPr>
              <w:jc w:val="both"/>
              <w:rPr>
                <w:rFonts w:ascii="Times New Roman" w:hAnsi="Times New Roman" w:cs="Times New Roman"/>
                <w:strike/>
                <w:sz w:val="28"/>
                <w:szCs w:val="28"/>
                <w:lang w:val="uk-UA"/>
              </w:rPr>
            </w:pPr>
          </w:p>
          <w:tbl>
            <w:tblPr>
              <w:tblW w:w="0" w:type="auto"/>
              <w:tblLook w:val="0000" w:firstRow="0" w:lastRow="0" w:firstColumn="0" w:lastColumn="0" w:noHBand="0" w:noVBand="0"/>
            </w:tblPr>
            <w:tblGrid>
              <w:gridCol w:w="4530"/>
              <w:gridCol w:w="3043"/>
            </w:tblGrid>
            <w:tr w:rsidR="00113BD5" w:rsidRPr="00302BF8" w:rsidTr="00302BF8">
              <w:trPr>
                <w:trHeight w:val="448"/>
              </w:trPr>
              <w:tc>
                <w:tcPr>
                  <w:tcW w:w="5740" w:type="dxa"/>
                </w:tcPr>
                <w:p w:rsidR="00113BD5" w:rsidRPr="00FF160A" w:rsidRDefault="00113BD5" w:rsidP="00302BF8">
                  <w:pPr>
                    <w:jc w:val="right"/>
                    <w:rPr>
                      <w:rFonts w:ascii="Times New Roman" w:hAnsi="Times New Roman" w:cs="Times New Roman"/>
                      <w:sz w:val="28"/>
                      <w:szCs w:val="28"/>
                      <w:lang w:val="ru-RU"/>
                    </w:rPr>
                  </w:pPr>
                  <w:r w:rsidRPr="00FF160A">
                    <w:rPr>
                      <w:rFonts w:ascii="Times New Roman" w:hAnsi="Times New Roman" w:cs="Times New Roman"/>
                      <w:sz w:val="28"/>
                      <w:szCs w:val="28"/>
                    </w:rPr>
                    <w:t> </w:t>
                  </w:r>
                  <w:r w:rsidRPr="00FF160A">
                    <w:rPr>
                      <w:rFonts w:ascii="Times New Roman" w:hAnsi="Times New Roman" w:cs="Times New Roman"/>
                      <w:noProof/>
                      <w:sz w:val="28"/>
                      <w:szCs w:val="28"/>
                    </w:rPr>
                    <w:drawing>
                      <wp:inline distT="0" distB="0" distL="0" distR="0" wp14:anchorId="78C6AFB2" wp14:editId="23A742D9">
                        <wp:extent cx="1857375" cy="247650"/>
                        <wp:effectExtent l="0" t="0" r="9525" b="9525"/>
                        <wp:docPr id="4" name="Рисунок 4" descr="C:\Users\Prykhid\AppData\Local\Temp\GK42335_IMG_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Prykhid\AppData\Local\Temp\GK42335_IMG_12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57375" cy="247650"/>
                                </a:xfrm>
                                <a:prstGeom prst="rect">
                                  <a:avLst/>
                                </a:prstGeom>
                                <a:noFill/>
                                <a:ln>
                                  <a:noFill/>
                                </a:ln>
                              </pic:spPr>
                            </pic:pic>
                          </a:graphicData>
                        </a:graphic>
                      </wp:inline>
                    </w:drawing>
                  </w:r>
                  <w:r w:rsidRPr="00FF160A">
                    <w:rPr>
                      <w:rFonts w:ascii="Times New Roman" w:hAnsi="Times New Roman" w:cs="Times New Roman"/>
                      <w:sz w:val="28"/>
                      <w:szCs w:val="28"/>
                    </w:rPr>
                    <w:t> </w:t>
                  </w:r>
                </w:p>
              </w:tc>
              <w:tc>
                <w:tcPr>
                  <w:tcW w:w="4720" w:type="dxa"/>
                </w:tcPr>
                <w:p w:rsidR="00113BD5" w:rsidRPr="00FF160A" w:rsidRDefault="00113BD5" w:rsidP="00302BF8">
                  <w:pPr>
                    <w:rPr>
                      <w:rFonts w:ascii="Times New Roman" w:hAnsi="Times New Roman" w:cs="Times New Roman"/>
                      <w:sz w:val="28"/>
                      <w:szCs w:val="28"/>
                      <w:lang w:val="ru-RU"/>
                    </w:rPr>
                  </w:pPr>
                  <w:r w:rsidRPr="00FF160A">
                    <w:rPr>
                      <w:rFonts w:ascii="Times New Roman" w:hAnsi="Times New Roman" w:cs="Times New Roman"/>
                      <w:sz w:val="28"/>
                      <w:szCs w:val="28"/>
                      <w:lang w:val="ru-RU"/>
                    </w:rPr>
                    <w:t>, МВт·год, (12)</w:t>
                  </w:r>
                </w:p>
              </w:tc>
            </w:tr>
          </w:tbl>
          <w:p w:rsidR="00113BD5" w:rsidRPr="00302BF8" w:rsidRDefault="00113BD5" w:rsidP="00113BD5">
            <w:pPr>
              <w:pStyle w:val="af4"/>
              <w:framePr w:wrap="auto" w:hAnchor="text" w:x="41"/>
              <w:jc w:val="both"/>
              <w:rPr>
                <w:sz w:val="28"/>
                <w:szCs w:val="28"/>
              </w:rPr>
            </w:pPr>
          </w:p>
        </w:tc>
        <w:tc>
          <w:tcPr>
            <w:tcW w:w="2469" w:type="pct"/>
          </w:tcPr>
          <w:p w:rsidR="00EC5CB7" w:rsidRDefault="00302BF8" w:rsidP="00302BF8">
            <w:pPr>
              <w:pStyle w:val="af4"/>
              <w:spacing w:before="0" w:after="0"/>
              <w:rPr>
                <w:rStyle w:val="af6"/>
                <w:b w:val="0"/>
                <w:sz w:val="28"/>
                <w:szCs w:val="28"/>
              </w:rPr>
            </w:pPr>
            <w:r w:rsidRPr="00302BF8">
              <w:rPr>
                <w:b/>
                <w:sz w:val="28"/>
                <w:szCs w:val="28"/>
              </w:rPr>
              <w:t>9.2.</w:t>
            </w:r>
            <w:r w:rsidR="00B27BB6">
              <w:rPr>
                <w:b/>
                <w:sz w:val="28"/>
                <w:szCs w:val="28"/>
              </w:rPr>
              <w:t xml:space="preserve"> </w:t>
            </w:r>
            <m:oMath>
              <m:sSub>
                <m:sSubPr>
                  <m:ctrlPr>
                    <w:rPr>
                      <w:rFonts w:ascii="Cambria Math" w:hAnsi="Cambria Math"/>
                      <w:i/>
                      <w:sz w:val="28"/>
                      <w:szCs w:val="28"/>
                    </w:rPr>
                  </m:ctrlPr>
                </m:sSubPr>
                <m:e>
                  <m:r>
                    <w:rPr>
                      <w:rFonts w:ascii="Cambria Math" w:hAnsi="Cambria Math"/>
                      <w:sz w:val="28"/>
                      <w:szCs w:val="28"/>
                    </w:rPr>
                    <m:t>IEQ</m:t>
                  </m:r>
                </m:e>
                <m:sub>
                  <m:r>
                    <w:rPr>
                      <w:rFonts w:ascii="Cambria Math" w:hAnsi="Cambria Math"/>
                      <w:sz w:val="28"/>
                      <w:szCs w:val="28"/>
                    </w:rPr>
                    <m:t>GB,z,t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MP</m:t>
                  </m:r>
                </m:e>
                <m:sub>
                  <m:r>
                    <w:rPr>
                      <w:rFonts w:ascii="Cambria Math" w:hAnsi="Cambria Math"/>
                      <w:sz w:val="28"/>
                      <w:szCs w:val="28"/>
                    </w:rPr>
                    <m:t>GB,z,t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NP</m:t>
                  </m:r>
                </m:e>
                <m:sub>
                  <m:r>
                    <w:rPr>
                      <w:rFonts w:ascii="Cambria Math" w:hAnsi="Cambria Math"/>
                      <w:sz w:val="28"/>
                      <w:szCs w:val="28"/>
                    </w:rPr>
                    <m:t>GB,z,t</m:t>
                  </m:r>
                </m:sub>
              </m:sSub>
            </m:oMath>
            <w:r w:rsidR="00EC5CB7" w:rsidRPr="00302BF8">
              <w:rPr>
                <w:rStyle w:val="af6"/>
                <w:b w:val="0"/>
                <w:sz w:val="28"/>
                <w:szCs w:val="28"/>
              </w:rPr>
              <w:t>,</w:t>
            </w:r>
            <w:r w:rsidR="00EC5CB7" w:rsidRPr="00302BF8">
              <w:rPr>
                <w:rStyle w:val="af6"/>
                <w:sz w:val="28"/>
                <w:szCs w:val="28"/>
              </w:rPr>
              <w:t xml:space="preserve"> </w:t>
            </w:r>
            <w:r w:rsidR="00EC5CB7" w:rsidRPr="00302BF8">
              <w:rPr>
                <w:rStyle w:val="af6"/>
                <w:b w:val="0"/>
                <w:sz w:val="28"/>
                <w:szCs w:val="28"/>
              </w:rPr>
              <w:t>МВт·год, (11)</w:t>
            </w:r>
          </w:p>
          <w:p w:rsidR="00302BF8" w:rsidRPr="00AA615F" w:rsidRDefault="00AA615F" w:rsidP="00113BD5">
            <w:pPr>
              <w:jc w:val="both"/>
              <w:rPr>
                <w:rFonts w:ascii="Times New Roman" w:hAnsi="Times New Roman" w:cs="Times New Roman"/>
                <w:b/>
                <w:sz w:val="28"/>
                <w:szCs w:val="28"/>
                <w:lang w:val="uk-UA"/>
              </w:rPr>
            </w:pPr>
            <w:r w:rsidRPr="00AA615F">
              <w:rPr>
                <w:rFonts w:ascii="Times New Roman" w:hAnsi="Times New Roman" w:cs="Times New Roman"/>
                <w:b/>
                <w:sz w:val="28"/>
                <w:szCs w:val="28"/>
                <w:lang w:val="uk-UA"/>
              </w:rPr>
              <w:t>Виключено</w:t>
            </w:r>
          </w:p>
          <w:p w:rsidR="00AA615F" w:rsidRDefault="00AA615F" w:rsidP="00113BD5">
            <w:pPr>
              <w:jc w:val="both"/>
              <w:rPr>
                <w:rFonts w:ascii="Times New Roman" w:hAnsi="Times New Roman" w:cs="Times New Roman"/>
                <w:strike/>
                <w:sz w:val="24"/>
                <w:szCs w:val="24"/>
                <w:lang w:val="uk-UA"/>
              </w:rPr>
            </w:pPr>
          </w:p>
          <w:p w:rsidR="00AA615F" w:rsidRDefault="00AA615F" w:rsidP="00113BD5">
            <w:pPr>
              <w:jc w:val="both"/>
              <w:rPr>
                <w:rFonts w:ascii="Times New Roman" w:hAnsi="Times New Roman" w:cs="Times New Roman"/>
                <w:strike/>
                <w:sz w:val="24"/>
                <w:szCs w:val="24"/>
                <w:lang w:val="uk-UA"/>
              </w:rPr>
            </w:pPr>
          </w:p>
          <w:p w:rsidR="00AA615F" w:rsidRDefault="00AA615F" w:rsidP="00113BD5">
            <w:pPr>
              <w:jc w:val="both"/>
              <w:rPr>
                <w:rFonts w:ascii="Times New Roman" w:hAnsi="Times New Roman" w:cs="Times New Roman"/>
                <w:strike/>
                <w:sz w:val="24"/>
                <w:szCs w:val="24"/>
                <w:lang w:val="uk-UA"/>
              </w:rPr>
            </w:pPr>
          </w:p>
          <w:p w:rsidR="00AA615F" w:rsidRDefault="00AA615F" w:rsidP="00113BD5">
            <w:pPr>
              <w:jc w:val="both"/>
              <w:rPr>
                <w:rFonts w:ascii="Times New Roman" w:hAnsi="Times New Roman" w:cs="Times New Roman"/>
                <w:strike/>
                <w:sz w:val="24"/>
                <w:szCs w:val="24"/>
                <w:lang w:val="uk-UA"/>
              </w:rPr>
            </w:pPr>
          </w:p>
          <w:p w:rsidR="00AA615F" w:rsidRDefault="00AA615F" w:rsidP="00113BD5">
            <w:pPr>
              <w:jc w:val="both"/>
              <w:rPr>
                <w:rFonts w:ascii="Times New Roman" w:hAnsi="Times New Roman" w:cs="Times New Roman"/>
                <w:strike/>
                <w:sz w:val="24"/>
                <w:szCs w:val="24"/>
                <w:lang w:val="uk-UA"/>
              </w:rPr>
            </w:pPr>
          </w:p>
          <w:p w:rsidR="00AA615F" w:rsidRDefault="00AA615F" w:rsidP="00113BD5">
            <w:pPr>
              <w:jc w:val="both"/>
              <w:rPr>
                <w:rFonts w:ascii="Times New Roman" w:hAnsi="Times New Roman" w:cs="Times New Roman"/>
                <w:strike/>
                <w:sz w:val="24"/>
                <w:szCs w:val="24"/>
                <w:lang w:val="uk-UA"/>
              </w:rPr>
            </w:pPr>
          </w:p>
          <w:p w:rsidR="00AA615F" w:rsidRDefault="00AA615F" w:rsidP="00113BD5">
            <w:pPr>
              <w:jc w:val="both"/>
              <w:rPr>
                <w:rFonts w:ascii="Times New Roman" w:hAnsi="Times New Roman" w:cs="Times New Roman"/>
                <w:strike/>
                <w:sz w:val="24"/>
                <w:szCs w:val="24"/>
                <w:lang w:val="uk-UA"/>
              </w:rPr>
            </w:pPr>
          </w:p>
          <w:p w:rsidR="00AA615F" w:rsidRPr="00AA615F" w:rsidRDefault="00AA615F" w:rsidP="00113BD5">
            <w:pPr>
              <w:jc w:val="both"/>
              <w:rPr>
                <w:rFonts w:ascii="Times New Roman" w:hAnsi="Times New Roman" w:cs="Times New Roman"/>
                <w:b/>
                <w:sz w:val="28"/>
                <w:szCs w:val="28"/>
                <w:lang w:val="uk-UA"/>
              </w:rPr>
            </w:pPr>
            <w:r w:rsidRPr="00AA615F">
              <w:rPr>
                <w:rFonts w:ascii="Times New Roman" w:hAnsi="Times New Roman" w:cs="Times New Roman"/>
                <w:b/>
                <w:sz w:val="28"/>
                <w:szCs w:val="28"/>
                <w:lang w:val="uk-UA"/>
              </w:rPr>
              <w:t>Виключено</w:t>
            </w:r>
          </w:p>
          <w:p w:rsidR="00EC5CB7" w:rsidRPr="00302BF8" w:rsidRDefault="00AA615F" w:rsidP="00113BD5">
            <w:pPr>
              <w:pStyle w:val="af4"/>
              <w:framePr w:wrap="auto" w:hAnchor="text" w:x="41"/>
              <w:jc w:val="both"/>
              <w:rPr>
                <w:sz w:val="28"/>
                <w:szCs w:val="28"/>
              </w:rPr>
            </w:pPr>
            <w:r w:rsidRPr="00CC4DAA">
              <w:rPr>
                <w:sz w:val="28"/>
                <w:szCs w:val="28"/>
              </w:rPr>
              <w:t xml:space="preserve">У зв’язку з цим </w:t>
            </w:r>
            <w:r>
              <w:rPr>
                <w:sz w:val="28"/>
                <w:szCs w:val="28"/>
              </w:rPr>
              <w:t xml:space="preserve">абзаци тридцять третій – сорок перший вважати відповідно абзацами тридцять першим – тридцять дев’ятим, а </w:t>
            </w:r>
            <w:r w:rsidRPr="00CC4DAA">
              <w:rPr>
                <w:sz w:val="28"/>
                <w:szCs w:val="28"/>
              </w:rPr>
              <w:t>формули 13</w:t>
            </w:r>
            <w:r>
              <w:rPr>
                <w:sz w:val="28"/>
                <w:szCs w:val="28"/>
              </w:rPr>
              <w:t xml:space="preserve"> – </w:t>
            </w:r>
            <w:r w:rsidRPr="00CC4DAA">
              <w:rPr>
                <w:sz w:val="28"/>
                <w:szCs w:val="28"/>
              </w:rPr>
              <w:t xml:space="preserve">22 вважати </w:t>
            </w:r>
            <w:r>
              <w:rPr>
                <w:sz w:val="28"/>
                <w:szCs w:val="28"/>
              </w:rPr>
              <w:t xml:space="preserve">відповідно </w:t>
            </w:r>
            <w:r w:rsidRPr="00CC4DAA">
              <w:rPr>
                <w:sz w:val="28"/>
                <w:szCs w:val="28"/>
              </w:rPr>
              <w:t>формулами 12</w:t>
            </w:r>
            <w:r>
              <w:rPr>
                <w:sz w:val="28"/>
                <w:szCs w:val="28"/>
              </w:rPr>
              <w:t xml:space="preserve"> – </w:t>
            </w:r>
            <w:r w:rsidRPr="00CC4DAA">
              <w:rPr>
                <w:sz w:val="28"/>
                <w:szCs w:val="28"/>
              </w:rPr>
              <w:t>2</w:t>
            </w:r>
            <w:r>
              <w:rPr>
                <w:sz w:val="28"/>
                <w:szCs w:val="28"/>
              </w:rPr>
              <w:t>2.</w:t>
            </w:r>
          </w:p>
        </w:tc>
      </w:tr>
      <w:tr w:rsidR="00EC5CB7" w:rsidRPr="00461063" w:rsidTr="00E35235">
        <w:tc>
          <w:tcPr>
            <w:tcW w:w="2531" w:type="pct"/>
          </w:tcPr>
          <w:p w:rsidR="00EC5CB7" w:rsidRPr="00302BF8" w:rsidRDefault="00B27BB6" w:rsidP="00B27BB6">
            <w:pPr>
              <w:jc w:val="both"/>
              <w:rPr>
                <w:rFonts w:ascii="Times New Roman" w:hAnsi="Times New Roman" w:cs="Times New Roman"/>
                <w:b/>
                <w:bCs/>
                <w:sz w:val="28"/>
                <w:szCs w:val="28"/>
                <w:lang w:val="uk-UA"/>
              </w:rPr>
            </w:pPr>
            <w:bookmarkStart w:id="0" w:name="_GoBack"/>
            <w:bookmarkEnd w:id="0"/>
            <w:r>
              <w:rPr>
                <w:rFonts w:ascii="Times New Roman" w:hAnsi="Times New Roman" w:cs="Times New Roman"/>
                <w:b/>
                <w:bCs/>
                <w:sz w:val="28"/>
                <w:szCs w:val="28"/>
                <w:lang w:val="uk-UA"/>
              </w:rPr>
              <w:t xml:space="preserve">9.5. </w:t>
            </w:r>
            <w:r w:rsidRPr="00B27BB6">
              <w:rPr>
                <w:rFonts w:ascii="Times New Roman" w:hAnsi="Times New Roman" w:cs="Times New Roman"/>
                <w:bCs/>
                <w:sz w:val="28"/>
                <w:szCs w:val="28"/>
                <w:lang w:val="uk-UA"/>
              </w:rPr>
              <w:t>Гарантований покупець щомісячно, на наступний робочий день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але не раніше наступного робочого дня після виконання ОСП умов пункту 9.4 цієї глави, надає учасникам балансуючої групи гарантованого покупця інформацію, необхідну для розрахунку частки відшкодування вартості врегулювання небалансу електричної енергії гарантованого покупця.</w:t>
            </w:r>
          </w:p>
        </w:tc>
        <w:tc>
          <w:tcPr>
            <w:tcW w:w="2469" w:type="pct"/>
          </w:tcPr>
          <w:p w:rsidR="00B27BB6" w:rsidRPr="00B27BB6" w:rsidRDefault="00B27BB6" w:rsidP="00B27BB6">
            <w:pPr>
              <w:jc w:val="both"/>
              <w:rPr>
                <w:rFonts w:ascii="Times New Roman" w:hAnsi="Times New Roman" w:cs="Times New Roman"/>
                <w:sz w:val="28"/>
                <w:szCs w:val="28"/>
                <w:lang w:val="uk-UA"/>
              </w:rPr>
            </w:pPr>
            <w:r w:rsidRPr="00B27BB6">
              <w:rPr>
                <w:rFonts w:ascii="Times New Roman" w:hAnsi="Times New Roman" w:cs="Times New Roman"/>
                <w:b/>
                <w:bCs/>
                <w:sz w:val="28"/>
                <w:szCs w:val="28"/>
                <w:lang w:val="uk-UA"/>
              </w:rPr>
              <w:t xml:space="preserve">9.5. </w:t>
            </w:r>
            <w:r w:rsidRPr="00B27BB6">
              <w:rPr>
                <w:rFonts w:ascii="Times New Roman" w:hAnsi="Times New Roman" w:cs="Times New Roman"/>
                <w:sz w:val="28"/>
                <w:szCs w:val="28"/>
                <w:lang w:val="uk-UA"/>
              </w:rPr>
              <w:t xml:space="preserve">Гарантований покупець щомісячно, на наступний робочий день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але не раніше наступного робочого дня після виконання ОСП умов пункту </w:t>
            </w:r>
            <w:r w:rsidRPr="00B27BB6">
              <w:rPr>
                <w:rFonts w:ascii="Times New Roman" w:hAnsi="Times New Roman" w:cs="Times New Roman"/>
                <w:sz w:val="28"/>
                <w:szCs w:val="28"/>
                <w:lang w:val="uk-UA"/>
              </w:rPr>
              <w:br/>
              <w:t xml:space="preserve">9.4 цієї глави, надає учасникам балансуючої групи гарантованого покупця інформацію, необхідну для розрахунку частки відшкодування вартості врегулювання небалансу електричної енергії гарантованого покупця, </w:t>
            </w:r>
            <w:r w:rsidRPr="00B27BB6">
              <w:rPr>
                <w:rFonts w:ascii="Times New Roman" w:hAnsi="Times New Roman" w:cs="Times New Roman"/>
                <w:sz w:val="28"/>
                <w:szCs w:val="28"/>
                <w:lang w:val="uk-UA"/>
              </w:rPr>
              <w:lastRenderedPageBreak/>
              <w:t>шляхом розміщення погодинної інформації в особистому кабінеті виробників за «зеленим» тарифом, а саме:</w:t>
            </w:r>
          </w:p>
          <w:p w:rsidR="00B27BB6" w:rsidRPr="00B27BB6" w:rsidRDefault="00B27BB6" w:rsidP="000F3849">
            <w:pPr>
              <w:ind w:firstLine="743"/>
              <w:jc w:val="both"/>
              <w:rPr>
                <w:rFonts w:ascii="Times New Roman" w:hAnsi="Times New Roman" w:cs="Times New Roman"/>
                <w:sz w:val="28"/>
                <w:szCs w:val="28"/>
                <w:lang w:val="uk-UA"/>
              </w:rPr>
            </w:pPr>
            <w:r w:rsidRPr="00B27BB6">
              <w:rPr>
                <w:rFonts w:ascii="Times New Roman" w:hAnsi="Times New Roman" w:cs="Times New Roman"/>
                <w:sz w:val="28"/>
                <w:szCs w:val="28"/>
                <w:lang w:val="uk-UA"/>
              </w:rPr>
              <w:t>сумарні величини врахованого відхилення (позитивне та негативне значення) фактичного обсягу відпуску/споживання електричної енергії генеруючими одиницями продавців або споживачів за «зеленим» тарифом, що входять до балансуючої групи гарантованого покупця, від їх прогнозного погодинного графіка відпуску електричної енергії з урахуванням обсягів не відпущеної електричної енергії генеруючими одиницями продавців у результаті виконання команд ОСП на зменшення навантаження продавців у розрахунковому періоді торгової зони;</w:t>
            </w:r>
          </w:p>
          <w:p w:rsidR="00B27BB6" w:rsidRPr="00B27BB6" w:rsidRDefault="00B27BB6" w:rsidP="000F3849">
            <w:pPr>
              <w:ind w:firstLine="743"/>
              <w:jc w:val="both"/>
              <w:rPr>
                <w:rFonts w:ascii="Times New Roman" w:hAnsi="Times New Roman" w:cs="Times New Roman"/>
                <w:bCs/>
                <w:sz w:val="28"/>
                <w:szCs w:val="28"/>
                <w:shd w:val="clear" w:color="auto" w:fill="FFFFFF"/>
                <w:lang w:val="uk-UA"/>
              </w:rPr>
            </w:pPr>
            <w:r w:rsidRPr="00B27BB6">
              <w:rPr>
                <w:rFonts w:ascii="Times New Roman" w:hAnsi="Times New Roman" w:cs="Times New Roman"/>
                <w:bCs/>
                <w:sz w:val="28"/>
                <w:szCs w:val="28"/>
                <w:shd w:val="clear" w:color="auto" w:fill="FFFFFF"/>
                <w:lang w:val="uk-UA"/>
              </w:rPr>
              <w:t xml:space="preserve">витрати, пов’язані з врегулюванням небалансу продавця та споживача за «зеленим» тарифом p, що входять до балансуючої групи гарантованого покупця GB; </w:t>
            </w:r>
          </w:p>
          <w:p w:rsidR="00B27BB6" w:rsidRPr="00B27BB6" w:rsidRDefault="00B27BB6" w:rsidP="000F3849">
            <w:pPr>
              <w:pStyle w:val="rvps2"/>
              <w:shd w:val="clear" w:color="auto" w:fill="FFFFFF"/>
              <w:spacing w:before="0" w:beforeAutospacing="0" w:after="0" w:afterAutospacing="0"/>
              <w:ind w:firstLine="743"/>
              <w:jc w:val="both"/>
              <w:rPr>
                <w:bCs/>
                <w:sz w:val="28"/>
                <w:szCs w:val="28"/>
                <w:shd w:val="clear" w:color="auto" w:fill="FFFFFF"/>
              </w:rPr>
            </w:pPr>
            <w:r w:rsidRPr="00B27BB6">
              <w:rPr>
                <w:bCs/>
                <w:sz w:val="28"/>
                <w:szCs w:val="28"/>
                <w:shd w:val="clear" w:color="auto" w:fill="FFFFFF"/>
              </w:rPr>
              <w:t>списання/нарахування, пов’язані з врегулюванням небалансів електричної енергії продавців та споживачів за «зеленим» тарифом, що входять до балансуючої групи гарантованого покупця GB;</w:t>
            </w:r>
          </w:p>
          <w:p w:rsidR="00EC5CB7" w:rsidRPr="00B27BB6" w:rsidRDefault="00B27BB6" w:rsidP="000F3849">
            <w:pPr>
              <w:ind w:firstLine="743"/>
              <w:jc w:val="both"/>
              <w:rPr>
                <w:rFonts w:ascii="Times New Roman" w:hAnsi="Times New Roman" w:cs="Times New Roman"/>
                <w:b/>
                <w:bCs/>
                <w:sz w:val="28"/>
                <w:szCs w:val="28"/>
                <w:lang w:val="uk-UA"/>
              </w:rPr>
            </w:pPr>
            <w:r w:rsidRPr="00B27BB6">
              <w:rPr>
                <w:rFonts w:ascii="Times New Roman" w:hAnsi="Times New Roman" w:cs="Times New Roman"/>
                <w:bCs/>
                <w:sz w:val="28"/>
                <w:szCs w:val="28"/>
                <w:shd w:val="clear" w:color="auto" w:fill="FFFFFF"/>
                <w:lang w:val="uk-UA"/>
              </w:rPr>
              <w:t>сумарний обсяг не відпущеної електричної енергії генеруючими одиницями е продавців р, що входять до балансуючої групи гарантованого покупця GB, у розрахунковому періоді t  торговій зоні z в результаті виконання команд ОСП на зменшення навантаження</w:t>
            </w:r>
            <w:r w:rsidR="0017154D">
              <w:rPr>
                <w:rFonts w:ascii="Times New Roman" w:hAnsi="Times New Roman" w:cs="Times New Roman"/>
                <w:bCs/>
                <w:sz w:val="28"/>
                <w:szCs w:val="28"/>
                <w:shd w:val="clear" w:color="auto" w:fill="FFFFFF"/>
                <w:lang w:val="uk-UA"/>
              </w:rPr>
              <w:t>.</w:t>
            </w:r>
          </w:p>
        </w:tc>
      </w:tr>
      <w:tr w:rsidR="00650BA9" w:rsidRPr="00461063" w:rsidTr="00650BA9">
        <w:tc>
          <w:tcPr>
            <w:tcW w:w="5000" w:type="pct"/>
            <w:gridSpan w:val="2"/>
          </w:tcPr>
          <w:p w:rsidR="00650BA9" w:rsidRPr="00650BA9" w:rsidRDefault="00650BA9" w:rsidP="0087511C">
            <w:pPr>
              <w:jc w:val="center"/>
              <w:rPr>
                <w:rFonts w:ascii="Times New Roman" w:hAnsi="Times New Roman"/>
                <w:b/>
                <w:sz w:val="28"/>
                <w:szCs w:val="28"/>
                <w:lang w:val="uk-UA"/>
              </w:rPr>
            </w:pPr>
            <w:r w:rsidRPr="00650BA9">
              <w:rPr>
                <w:rFonts w:ascii="Times New Roman" w:hAnsi="Times New Roman"/>
                <w:b/>
                <w:sz w:val="28"/>
                <w:szCs w:val="28"/>
                <w:lang w:val="uk-UA"/>
              </w:rPr>
              <w:lastRenderedPageBreak/>
              <w:t>Розрахунок вартості Послуги (</w:t>
            </w:r>
            <w:r>
              <w:rPr>
                <w:rFonts w:ascii="Times New Roman" w:hAnsi="Times New Roman"/>
                <w:b/>
                <w:sz w:val="28"/>
                <w:szCs w:val="28"/>
                <w:lang w:val="uk-UA"/>
              </w:rPr>
              <w:t xml:space="preserve">додаток </w:t>
            </w:r>
            <w:r w:rsidRPr="00650BA9">
              <w:rPr>
                <w:rFonts w:ascii="Times New Roman" w:hAnsi="Times New Roman" w:cs="Times New Roman"/>
                <w:b/>
                <w:bCs/>
                <w:sz w:val="28"/>
                <w:szCs w:val="28"/>
                <w:lang w:val="uk-UA"/>
              </w:rPr>
              <w:t>до Акта приймання-передачі наданих послуг із забезпечення збільшення частки виробництва електричної енергії з альтернативних джерел, що є додатком до Типового договору про надання послуг із забезпечення збільшення частки виробництва електричної енергії з альтернативних джерел</w:t>
            </w:r>
            <w:r w:rsidRPr="00650BA9">
              <w:rPr>
                <w:rFonts w:ascii="Times New Roman" w:hAnsi="Times New Roman"/>
                <w:b/>
                <w:sz w:val="28"/>
                <w:szCs w:val="28"/>
                <w:lang w:val="uk-UA"/>
              </w:rPr>
              <w:t>)</w:t>
            </w:r>
          </w:p>
        </w:tc>
      </w:tr>
      <w:tr w:rsidR="00650BA9" w:rsidRPr="00461063" w:rsidTr="00E35235">
        <w:tc>
          <w:tcPr>
            <w:tcW w:w="2531" w:type="pct"/>
          </w:tcPr>
          <w:tbl>
            <w:tblPr>
              <w:tblStyle w:val="a4"/>
              <w:tblW w:w="0" w:type="auto"/>
              <w:jc w:val="center"/>
              <w:tblLook w:val="04A0" w:firstRow="1" w:lastRow="0" w:firstColumn="1" w:lastColumn="0" w:noHBand="0" w:noVBand="1"/>
            </w:tblPr>
            <w:tblGrid>
              <w:gridCol w:w="817"/>
              <w:gridCol w:w="4897"/>
              <w:gridCol w:w="998"/>
            </w:tblGrid>
            <w:tr w:rsidR="00650BA9" w:rsidRPr="00461063" w:rsidTr="00650BA9">
              <w:trPr>
                <w:jc w:val="center"/>
              </w:trPr>
              <w:tc>
                <w:tcPr>
                  <w:tcW w:w="817" w:type="dxa"/>
                  <w:vAlign w:val="center"/>
                </w:tcPr>
                <w:p w:rsidR="00650BA9" w:rsidRPr="00650BA9" w:rsidRDefault="00650BA9" w:rsidP="00650BA9">
                  <w:pPr>
                    <w:pStyle w:val="a5"/>
                    <w:ind w:left="0"/>
                    <w:jc w:val="both"/>
                    <w:rPr>
                      <w:rFonts w:ascii="Times New Roman" w:hAnsi="Times New Roman"/>
                      <w:sz w:val="28"/>
                      <w:szCs w:val="28"/>
                      <w:lang w:val="uk-UA"/>
                    </w:rPr>
                  </w:pPr>
                  <w:r w:rsidRPr="00650BA9">
                    <w:rPr>
                      <w:rFonts w:ascii="Times New Roman" w:hAnsi="Times New Roman"/>
                      <w:sz w:val="28"/>
                      <w:szCs w:val="28"/>
                      <w:lang w:val="uk-UA"/>
                    </w:rPr>
                    <w:t>9</w:t>
                  </w:r>
                </w:p>
              </w:tc>
              <w:tc>
                <w:tcPr>
                  <w:tcW w:w="4897" w:type="dxa"/>
                  <w:vAlign w:val="center"/>
                </w:tcPr>
                <w:p w:rsidR="00650BA9" w:rsidRPr="00650BA9" w:rsidRDefault="00650BA9" w:rsidP="00650BA9">
                  <w:pPr>
                    <w:pStyle w:val="a5"/>
                    <w:ind w:left="0"/>
                    <w:jc w:val="both"/>
                    <w:rPr>
                      <w:rFonts w:ascii="Times New Roman" w:hAnsi="Times New Roman"/>
                      <w:sz w:val="28"/>
                      <w:szCs w:val="28"/>
                      <w:lang w:val="uk-UA"/>
                    </w:rPr>
                  </w:pPr>
                  <w:r w:rsidRPr="00650BA9">
                    <w:rPr>
                      <w:rFonts w:ascii="Times New Roman" w:hAnsi="Times New Roman"/>
                      <w:sz w:val="28"/>
                      <w:szCs w:val="28"/>
                      <w:lang w:val="uk-UA"/>
                    </w:rPr>
                    <w:t xml:space="preserve">Розрахункова вартість послуги із забезпечення збільшення частки виробництва електричної енергії з альтернативних джерел енергії (рядок </w:t>
                  </w:r>
                  <w:r w:rsidRPr="00650BA9">
                    <w:rPr>
                      <w:rFonts w:ascii="Times New Roman" w:hAnsi="Times New Roman"/>
                      <w:sz w:val="28"/>
                      <w:szCs w:val="28"/>
                      <w:lang w:val="uk-UA"/>
                    </w:rPr>
                    <w:lastRenderedPageBreak/>
                    <w:t xml:space="preserve">1 - рядок 2 + рядок 3 + рядок 4 + рядок 5 - рядок 6 - рядок 7 - рядок </w:t>
                  </w:r>
                  <w:r w:rsidR="007C1822">
                    <w:rPr>
                      <w:rFonts w:ascii="Times New Roman" w:hAnsi="Times New Roman"/>
                      <w:sz w:val="28"/>
                      <w:szCs w:val="28"/>
                      <w:lang w:val="uk-UA"/>
                    </w:rPr>
                    <w:t>8</w:t>
                  </w:r>
                  <w:r w:rsidRPr="00650BA9">
                    <w:rPr>
                      <w:rFonts w:ascii="Times New Roman" w:hAnsi="Times New Roman"/>
                      <w:sz w:val="28"/>
                      <w:szCs w:val="28"/>
                      <w:lang w:val="uk-UA"/>
                    </w:rPr>
                    <w:t xml:space="preserve">) </w:t>
                  </w:r>
                  <w:r>
                    <w:rPr>
                      <w:rFonts w:ascii="Times New Roman" w:hAnsi="Times New Roman"/>
                      <w:sz w:val="28"/>
                      <w:szCs w:val="28"/>
                      <w:lang w:val="uk-UA"/>
                    </w:rPr>
                    <w:br/>
                  </w:r>
                  <w:r w:rsidRPr="00650BA9">
                    <w:rPr>
                      <w:rFonts w:ascii="Times New Roman" w:hAnsi="Times New Roman"/>
                      <w:sz w:val="28"/>
                      <w:szCs w:val="28"/>
                      <w:lang w:val="uk-UA"/>
                    </w:rPr>
                    <w:t>(без ПДВ), грн</w:t>
                  </w:r>
                </w:p>
              </w:tc>
              <w:tc>
                <w:tcPr>
                  <w:tcW w:w="998" w:type="dxa"/>
                  <w:vAlign w:val="center"/>
                </w:tcPr>
                <w:p w:rsidR="00650BA9" w:rsidRPr="00650BA9" w:rsidRDefault="00650BA9" w:rsidP="00650BA9">
                  <w:pPr>
                    <w:pStyle w:val="a5"/>
                    <w:ind w:left="0"/>
                    <w:jc w:val="both"/>
                    <w:rPr>
                      <w:rFonts w:ascii="Times New Roman" w:hAnsi="Times New Roman"/>
                      <w:sz w:val="28"/>
                      <w:szCs w:val="28"/>
                      <w:lang w:val="uk-UA"/>
                    </w:rPr>
                  </w:pPr>
                </w:p>
              </w:tc>
            </w:tr>
          </w:tbl>
          <w:p w:rsidR="00650BA9" w:rsidRPr="00650BA9" w:rsidRDefault="00650BA9" w:rsidP="00B54117">
            <w:pPr>
              <w:jc w:val="both"/>
              <w:rPr>
                <w:rFonts w:ascii="Times New Roman" w:hAnsi="Times New Roman" w:cs="Times New Roman"/>
                <w:b/>
                <w:bCs/>
                <w:sz w:val="28"/>
                <w:szCs w:val="28"/>
                <w:lang w:val="ru-RU"/>
              </w:rPr>
            </w:pPr>
          </w:p>
        </w:tc>
        <w:tc>
          <w:tcPr>
            <w:tcW w:w="2469" w:type="pct"/>
          </w:tcPr>
          <w:tbl>
            <w:tblPr>
              <w:tblStyle w:val="a4"/>
              <w:tblW w:w="0" w:type="auto"/>
              <w:tblInd w:w="851" w:type="dxa"/>
              <w:tblLook w:val="04A0" w:firstRow="1" w:lastRow="0" w:firstColumn="1" w:lastColumn="0" w:noHBand="0" w:noVBand="1"/>
            </w:tblPr>
            <w:tblGrid>
              <w:gridCol w:w="801"/>
              <w:gridCol w:w="4761"/>
              <w:gridCol w:w="960"/>
            </w:tblGrid>
            <w:tr w:rsidR="00650BA9" w:rsidRPr="00650BA9" w:rsidTr="00D506A5">
              <w:tc>
                <w:tcPr>
                  <w:tcW w:w="987" w:type="dxa"/>
                </w:tcPr>
                <w:p w:rsidR="00650BA9" w:rsidRPr="00650BA9" w:rsidRDefault="00650BA9" w:rsidP="00650BA9">
                  <w:pPr>
                    <w:pStyle w:val="a5"/>
                    <w:ind w:left="0"/>
                    <w:jc w:val="both"/>
                    <w:rPr>
                      <w:rFonts w:ascii="Times New Roman" w:hAnsi="Times New Roman"/>
                      <w:sz w:val="28"/>
                      <w:szCs w:val="28"/>
                      <w:lang w:val="uk-UA"/>
                    </w:rPr>
                  </w:pPr>
                  <w:r w:rsidRPr="00650BA9">
                    <w:rPr>
                      <w:rFonts w:ascii="Times New Roman" w:hAnsi="Times New Roman"/>
                      <w:sz w:val="28"/>
                      <w:szCs w:val="28"/>
                      <w:lang w:val="uk-UA"/>
                    </w:rPr>
                    <w:lastRenderedPageBreak/>
                    <w:t>9</w:t>
                  </w:r>
                </w:p>
              </w:tc>
              <w:tc>
                <w:tcPr>
                  <w:tcW w:w="6379" w:type="dxa"/>
                </w:tcPr>
                <w:p w:rsidR="00650BA9" w:rsidRPr="00650BA9" w:rsidRDefault="00650BA9" w:rsidP="00650BA9">
                  <w:pPr>
                    <w:pStyle w:val="a5"/>
                    <w:ind w:left="0"/>
                    <w:jc w:val="both"/>
                    <w:rPr>
                      <w:rFonts w:ascii="Times New Roman" w:hAnsi="Times New Roman"/>
                      <w:sz w:val="28"/>
                      <w:szCs w:val="28"/>
                      <w:lang w:val="uk-UA"/>
                    </w:rPr>
                  </w:pPr>
                  <w:r w:rsidRPr="00650BA9">
                    <w:rPr>
                      <w:rFonts w:ascii="Times New Roman" w:hAnsi="Times New Roman" w:cs="Times New Roman"/>
                      <w:bCs/>
                      <w:sz w:val="28"/>
                      <w:szCs w:val="28"/>
                      <w:lang w:val="uk-UA"/>
                    </w:rPr>
                    <w:t>Додатковий прибуток гарантованого покупця</w:t>
                  </w:r>
                </w:p>
              </w:tc>
              <w:tc>
                <w:tcPr>
                  <w:tcW w:w="1411" w:type="dxa"/>
                </w:tcPr>
                <w:p w:rsidR="00650BA9" w:rsidRPr="00650BA9" w:rsidRDefault="00650BA9" w:rsidP="00650BA9">
                  <w:pPr>
                    <w:pStyle w:val="a5"/>
                    <w:ind w:left="0"/>
                    <w:jc w:val="both"/>
                    <w:rPr>
                      <w:rFonts w:ascii="Times New Roman" w:hAnsi="Times New Roman"/>
                      <w:sz w:val="28"/>
                      <w:szCs w:val="28"/>
                      <w:lang w:val="uk-UA"/>
                    </w:rPr>
                  </w:pPr>
                </w:p>
              </w:tc>
            </w:tr>
            <w:tr w:rsidR="00650BA9" w:rsidRPr="00461063" w:rsidTr="00D506A5">
              <w:tc>
                <w:tcPr>
                  <w:tcW w:w="987" w:type="dxa"/>
                </w:tcPr>
                <w:p w:rsidR="00650BA9" w:rsidRPr="00650BA9" w:rsidRDefault="00650BA9" w:rsidP="00650BA9">
                  <w:pPr>
                    <w:pStyle w:val="a5"/>
                    <w:ind w:left="0"/>
                    <w:jc w:val="both"/>
                    <w:rPr>
                      <w:rFonts w:ascii="Times New Roman" w:hAnsi="Times New Roman"/>
                      <w:sz w:val="28"/>
                      <w:szCs w:val="28"/>
                      <w:lang w:val="uk-UA"/>
                    </w:rPr>
                  </w:pPr>
                  <w:r w:rsidRPr="00650BA9">
                    <w:rPr>
                      <w:rFonts w:ascii="Times New Roman" w:hAnsi="Times New Roman"/>
                      <w:sz w:val="28"/>
                      <w:szCs w:val="28"/>
                      <w:lang w:val="uk-UA"/>
                    </w:rPr>
                    <w:t>10</w:t>
                  </w:r>
                </w:p>
              </w:tc>
              <w:tc>
                <w:tcPr>
                  <w:tcW w:w="6379" w:type="dxa"/>
                </w:tcPr>
                <w:p w:rsidR="00650BA9" w:rsidRPr="00650BA9" w:rsidRDefault="00650BA9" w:rsidP="00650BA9">
                  <w:pPr>
                    <w:pStyle w:val="a5"/>
                    <w:ind w:left="0"/>
                    <w:jc w:val="both"/>
                    <w:rPr>
                      <w:rFonts w:ascii="Times New Roman" w:hAnsi="Times New Roman"/>
                      <w:sz w:val="28"/>
                      <w:szCs w:val="28"/>
                      <w:lang w:val="uk-UA"/>
                    </w:rPr>
                  </w:pPr>
                  <w:r w:rsidRPr="00650BA9">
                    <w:rPr>
                      <w:rFonts w:ascii="Times New Roman" w:hAnsi="Times New Roman"/>
                      <w:sz w:val="28"/>
                      <w:szCs w:val="28"/>
                      <w:lang w:val="uk-UA"/>
                    </w:rPr>
                    <w:t xml:space="preserve">Розрахункова вартість послуги із забезпечення збільшення частки </w:t>
                  </w:r>
                  <w:r w:rsidRPr="00650BA9">
                    <w:rPr>
                      <w:rFonts w:ascii="Times New Roman" w:hAnsi="Times New Roman"/>
                      <w:sz w:val="28"/>
                      <w:szCs w:val="28"/>
                      <w:lang w:val="uk-UA"/>
                    </w:rPr>
                    <w:lastRenderedPageBreak/>
                    <w:t xml:space="preserve">виробництва електричної енергії з альтернативних джерел енергії (рядок 1 - рядок 2 + рядок 3 + рядок 4 + рядок 5 - рядок 6 - рядок 7 - рядок 8 </w:t>
                  </w:r>
                  <w:r w:rsidR="007C1822">
                    <w:rPr>
                      <w:rFonts w:ascii="Times New Roman" w:hAnsi="Times New Roman"/>
                      <w:sz w:val="28"/>
                      <w:szCs w:val="28"/>
                      <w:lang w:val="uk-UA"/>
                    </w:rPr>
                    <w:t>-</w:t>
                  </w:r>
                  <w:r w:rsidRPr="00650BA9">
                    <w:rPr>
                      <w:rFonts w:ascii="Times New Roman" w:hAnsi="Times New Roman"/>
                      <w:sz w:val="28"/>
                      <w:szCs w:val="28"/>
                      <w:lang w:val="uk-UA"/>
                    </w:rPr>
                    <w:t xml:space="preserve"> рядок</w:t>
                  </w:r>
                  <w:r w:rsidR="007C1822">
                    <w:rPr>
                      <w:rFonts w:ascii="Times New Roman" w:hAnsi="Times New Roman"/>
                      <w:sz w:val="28"/>
                      <w:szCs w:val="28"/>
                      <w:lang w:val="uk-UA"/>
                    </w:rPr>
                    <w:t xml:space="preserve"> </w:t>
                  </w:r>
                  <w:r w:rsidRPr="00650BA9">
                    <w:rPr>
                      <w:rFonts w:ascii="Times New Roman" w:hAnsi="Times New Roman"/>
                      <w:sz w:val="28"/>
                      <w:szCs w:val="28"/>
                      <w:lang w:val="uk-UA"/>
                    </w:rPr>
                    <w:t>9) (без ПДВ), грн</w:t>
                  </w:r>
                </w:p>
              </w:tc>
              <w:tc>
                <w:tcPr>
                  <w:tcW w:w="1411" w:type="dxa"/>
                </w:tcPr>
                <w:p w:rsidR="00650BA9" w:rsidRPr="00650BA9" w:rsidRDefault="00650BA9" w:rsidP="00650BA9">
                  <w:pPr>
                    <w:pStyle w:val="a5"/>
                    <w:ind w:left="0"/>
                    <w:jc w:val="both"/>
                    <w:rPr>
                      <w:rFonts w:ascii="Times New Roman" w:hAnsi="Times New Roman"/>
                      <w:sz w:val="28"/>
                      <w:szCs w:val="28"/>
                      <w:lang w:val="uk-UA"/>
                    </w:rPr>
                  </w:pPr>
                </w:p>
              </w:tc>
            </w:tr>
          </w:tbl>
          <w:p w:rsidR="00650BA9" w:rsidRPr="00650BA9" w:rsidRDefault="00650BA9" w:rsidP="00B54117">
            <w:pPr>
              <w:jc w:val="both"/>
              <w:rPr>
                <w:rFonts w:ascii="Times New Roman" w:hAnsi="Times New Roman"/>
                <w:b/>
                <w:sz w:val="28"/>
                <w:szCs w:val="28"/>
                <w:lang w:val="ru-RU"/>
              </w:rPr>
            </w:pPr>
          </w:p>
        </w:tc>
      </w:tr>
    </w:tbl>
    <w:p w:rsidR="00946BAD" w:rsidRPr="0007506A" w:rsidRDefault="00946BAD" w:rsidP="0007506A">
      <w:pPr>
        <w:spacing w:after="0"/>
        <w:jc w:val="both"/>
        <w:rPr>
          <w:rFonts w:ascii="Times New Roman" w:hAnsi="Times New Roman" w:cs="Times New Roman"/>
          <w:sz w:val="24"/>
          <w:szCs w:val="24"/>
          <w:lang w:val="ru-RU"/>
        </w:rPr>
      </w:pPr>
    </w:p>
    <w:sectPr w:rsidR="00946BAD" w:rsidRPr="0007506A" w:rsidSect="00B76E16">
      <w:footerReference w:type="default" r:id="rId13"/>
      <w:pgSz w:w="16838" w:h="11906" w:orient="landscape"/>
      <w:pgMar w:top="720"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F3F" w:rsidRDefault="00157F3F" w:rsidP="00B76E16">
      <w:pPr>
        <w:spacing w:after="0" w:line="240" w:lineRule="auto"/>
      </w:pPr>
      <w:r>
        <w:separator/>
      </w:r>
    </w:p>
  </w:endnote>
  <w:endnote w:type="continuationSeparator" w:id="0">
    <w:p w:rsidR="00157F3F" w:rsidRDefault="00157F3F" w:rsidP="00B7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485007"/>
      <w:docPartObj>
        <w:docPartGallery w:val="Page Numbers (Bottom of Page)"/>
        <w:docPartUnique/>
      </w:docPartObj>
    </w:sdtPr>
    <w:sdtEndPr>
      <w:rPr>
        <w:rFonts w:ascii="Times New Roman" w:hAnsi="Times New Roman" w:cs="Times New Roman"/>
      </w:rPr>
    </w:sdtEndPr>
    <w:sdtContent>
      <w:p w:rsidR="00C50D8E" w:rsidRPr="006E1821" w:rsidRDefault="00C50D8E" w:rsidP="0087511C">
        <w:pPr>
          <w:pStyle w:val="af2"/>
          <w:jc w:val="center"/>
          <w:rPr>
            <w:rFonts w:ascii="Times New Roman" w:hAnsi="Times New Roman" w:cs="Times New Roman"/>
          </w:rPr>
        </w:pPr>
        <w:r w:rsidRPr="006E1821">
          <w:rPr>
            <w:rFonts w:ascii="Times New Roman" w:hAnsi="Times New Roman" w:cs="Times New Roman"/>
          </w:rPr>
          <w:fldChar w:fldCharType="begin"/>
        </w:r>
        <w:r w:rsidRPr="006E1821">
          <w:rPr>
            <w:rFonts w:ascii="Times New Roman" w:hAnsi="Times New Roman" w:cs="Times New Roman"/>
          </w:rPr>
          <w:instrText>PAGE   \* MERGEFORMAT</w:instrText>
        </w:r>
        <w:r w:rsidRPr="006E1821">
          <w:rPr>
            <w:rFonts w:ascii="Times New Roman" w:hAnsi="Times New Roman" w:cs="Times New Roman"/>
          </w:rPr>
          <w:fldChar w:fldCharType="separate"/>
        </w:r>
        <w:r w:rsidRPr="006E1821">
          <w:rPr>
            <w:rFonts w:ascii="Times New Roman" w:hAnsi="Times New Roman" w:cs="Times New Roman"/>
            <w:noProof/>
            <w:lang w:val="uk-UA"/>
          </w:rPr>
          <w:t>16</w:t>
        </w:r>
        <w:r w:rsidRPr="006E182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F3F" w:rsidRDefault="00157F3F" w:rsidP="00B76E16">
      <w:pPr>
        <w:spacing w:after="0" w:line="240" w:lineRule="auto"/>
      </w:pPr>
      <w:r>
        <w:separator/>
      </w:r>
    </w:p>
  </w:footnote>
  <w:footnote w:type="continuationSeparator" w:id="0">
    <w:p w:rsidR="00157F3F" w:rsidRDefault="00157F3F" w:rsidP="00B76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140175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pStyle w:val="Normalapplication"/>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abstractNum w:abstractNumId="2" w15:restartNumberingAfterBreak="0">
    <w:nsid w:val="740D5CD9"/>
    <w:multiLevelType w:val="multilevel"/>
    <w:tmpl w:val="D6FAE58C"/>
    <w:numStyleLink w:val="newnumberingapplications"/>
  </w:abstractNum>
  <w:abstractNum w:abstractNumId="3" w15:restartNumberingAfterBreak="0">
    <w:nsid w:val="7C6169FF"/>
    <w:multiLevelType w:val="hybridMultilevel"/>
    <w:tmpl w:val="C226CE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710"/>
          </w:tabs>
          <w:ind w:left="-141" w:firstLine="851"/>
        </w:pPr>
        <w:rPr>
          <w:rFonts w:cs="Times New Roman"/>
          <w:b w:val="0"/>
          <w:bCs/>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4">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851"/>
          </w:tabs>
          <w:ind w:left="0" w:firstLine="851"/>
        </w:pPr>
        <w:rPr>
          <w:rFonts w:cs="Times New Roman"/>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AD"/>
    <w:rsid w:val="000061D6"/>
    <w:rsid w:val="00007C00"/>
    <w:rsid w:val="00031BBA"/>
    <w:rsid w:val="0003447D"/>
    <w:rsid w:val="00037EDB"/>
    <w:rsid w:val="00040306"/>
    <w:rsid w:val="00044F5E"/>
    <w:rsid w:val="0005644B"/>
    <w:rsid w:val="0007506A"/>
    <w:rsid w:val="00081BEB"/>
    <w:rsid w:val="00085361"/>
    <w:rsid w:val="000943B5"/>
    <w:rsid w:val="000B399E"/>
    <w:rsid w:val="000C6A18"/>
    <w:rsid w:val="000D2877"/>
    <w:rsid w:val="000D2916"/>
    <w:rsid w:val="000E0E27"/>
    <w:rsid w:val="000E7624"/>
    <w:rsid w:val="000E7F76"/>
    <w:rsid w:val="000F123D"/>
    <w:rsid w:val="000F3849"/>
    <w:rsid w:val="000F558E"/>
    <w:rsid w:val="000F7EE7"/>
    <w:rsid w:val="0010009F"/>
    <w:rsid w:val="00100E63"/>
    <w:rsid w:val="001026FF"/>
    <w:rsid w:val="00113712"/>
    <w:rsid w:val="00113BD5"/>
    <w:rsid w:val="00113F2D"/>
    <w:rsid w:val="00135F86"/>
    <w:rsid w:val="0014353D"/>
    <w:rsid w:val="001500EF"/>
    <w:rsid w:val="00152096"/>
    <w:rsid w:val="00154938"/>
    <w:rsid w:val="00157B06"/>
    <w:rsid w:val="00157F3F"/>
    <w:rsid w:val="00163B1B"/>
    <w:rsid w:val="0017154D"/>
    <w:rsid w:val="00193014"/>
    <w:rsid w:val="001A2BD7"/>
    <w:rsid w:val="001A764D"/>
    <w:rsid w:val="001B3C7D"/>
    <w:rsid w:val="001B79E7"/>
    <w:rsid w:val="001D0546"/>
    <w:rsid w:val="001D3D96"/>
    <w:rsid w:val="001E1ACA"/>
    <w:rsid w:val="001E3FB2"/>
    <w:rsid w:val="0020212E"/>
    <w:rsid w:val="00204E6E"/>
    <w:rsid w:val="00210FF7"/>
    <w:rsid w:val="002167D0"/>
    <w:rsid w:val="00216FB5"/>
    <w:rsid w:val="00226AA8"/>
    <w:rsid w:val="00227184"/>
    <w:rsid w:val="002553DE"/>
    <w:rsid w:val="0026473E"/>
    <w:rsid w:val="002755E9"/>
    <w:rsid w:val="00284CB2"/>
    <w:rsid w:val="00294CD9"/>
    <w:rsid w:val="002C4F9B"/>
    <w:rsid w:val="002F4539"/>
    <w:rsid w:val="00302BF8"/>
    <w:rsid w:val="003033D4"/>
    <w:rsid w:val="003033E8"/>
    <w:rsid w:val="00315134"/>
    <w:rsid w:val="0031647A"/>
    <w:rsid w:val="0033144E"/>
    <w:rsid w:val="003317F1"/>
    <w:rsid w:val="003318B5"/>
    <w:rsid w:val="0033773B"/>
    <w:rsid w:val="0034169D"/>
    <w:rsid w:val="00342587"/>
    <w:rsid w:val="00343D4B"/>
    <w:rsid w:val="00356D6B"/>
    <w:rsid w:val="0035745F"/>
    <w:rsid w:val="00381006"/>
    <w:rsid w:val="00384BDE"/>
    <w:rsid w:val="003870E7"/>
    <w:rsid w:val="003A4027"/>
    <w:rsid w:val="003B073D"/>
    <w:rsid w:val="003C05BC"/>
    <w:rsid w:val="003C129F"/>
    <w:rsid w:val="003C1816"/>
    <w:rsid w:val="003C4F94"/>
    <w:rsid w:val="003C5B28"/>
    <w:rsid w:val="003D31C7"/>
    <w:rsid w:val="003D7CC2"/>
    <w:rsid w:val="003E0045"/>
    <w:rsid w:val="003E089D"/>
    <w:rsid w:val="003E13CD"/>
    <w:rsid w:val="003E269B"/>
    <w:rsid w:val="003E646E"/>
    <w:rsid w:val="003F3E27"/>
    <w:rsid w:val="003F706A"/>
    <w:rsid w:val="00400E5B"/>
    <w:rsid w:val="004029B5"/>
    <w:rsid w:val="00415814"/>
    <w:rsid w:val="004177B5"/>
    <w:rsid w:val="00422829"/>
    <w:rsid w:val="00424F04"/>
    <w:rsid w:val="00425C4A"/>
    <w:rsid w:val="00430613"/>
    <w:rsid w:val="0043379A"/>
    <w:rsid w:val="004366AC"/>
    <w:rsid w:val="00440E23"/>
    <w:rsid w:val="004432F0"/>
    <w:rsid w:val="00447B34"/>
    <w:rsid w:val="00447FCE"/>
    <w:rsid w:val="00452F07"/>
    <w:rsid w:val="00453011"/>
    <w:rsid w:val="00457664"/>
    <w:rsid w:val="00461063"/>
    <w:rsid w:val="00473674"/>
    <w:rsid w:val="00481D88"/>
    <w:rsid w:val="00487849"/>
    <w:rsid w:val="004B09C0"/>
    <w:rsid w:val="004B6A0E"/>
    <w:rsid w:val="004B74C6"/>
    <w:rsid w:val="004B78FA"/>
    <w:rsid w:val="004C2ABC"/>
    <w:rsid w:val="004C64CC"/>
    <w:rsid w:val="004D758F"/>
    <w:rsid w:val="004F608C"/>
    <w:rsid w:val="00503F76"/>
    <w:rsid w:val="00505473"/>
    <w:rsid w:val="00506D94"/>
    <w:rsid w:val="00512105"/>
    <w:rsid w:val="005127AB"/>
    <w:rsid w:val="00521227"/>
    <w:rsid w:val="00536E41"/>
    <w:rsid w:val="00536EFE"/>
    <w:rsid w:val="00544F33"/>
    <w:rsid w:val="00555DE1"/>
    <w:rsid w:val="005572DD"/>
    <w:rsid w:val="00557FDE"/>
    <w:rsid w:val="005820B2"/>
    <w:rsid w:val="00582FE7"/>
    <w:rsid w:val="00585BDC"/>
    <w:rsid w:val="00586E6F"/>
    <w:rsid w:val="005A4B1C"/>
    <w:rsid w:val="005C16C8"/>
    <w:rsid w:val="005C20D4"/>
    <w:rsid w:val="005D20B5"/>
    <w:rsid w:val="005E18DA"/>
    <w:rsid w:val="005F026D"/>
    <w:rsid w:val="005F0C43"/>
    <w:rsid w:val="006064F1"/>
    <w:rsid w:val="00613DB4"/>
    <w:rsid w:val="00616D6B"/>
    <w:rsid w:val="00620CA8"/>
    <w:rsid w:val="0062690B"/>
    <w:rsid w:val="00633FD4"/>
    <w:rsid w:val="006357BD"/>
    <w:rsid w:val="006406D6"/>
    <w:rsid w:val="00641E77"/>
    <w:rsid w:val="00643DC8"/>
    <w:rsid w:val="00643FFC"/>
    <w:rsid w:val="0064569F"/>
    <w:rsid w:val="00650BA9"/>
    <w:rsid w:val="00652089"/>
    <w:rsid w:val="00656F39"/>
    <w:rsid w:val="006622DF"/>
    <w:rsid w:val="00664962"/>
    <w:rsid w:val="00672EAF"/>
    <w:rsid w:val="00685AE9"/>
    <w:rsid w:val="006860E3"/>
    <w:rsid w:val="006A0FE1"/>
    <w:rsid w:val="006A3ECF"/>
    <w:rsid w:val="006A6769"/>
    <w:rsid w:val="006B2D18"/>
    <w:rsid w:val="006B4A94"/>
    <w:rsid w:val="006B6A12"/>
    <w:rsid w:val="006C1C16"/>
    <w:rsid w:val="006C2BC7"/>
    <w:rsid w:val="006C3C2B"/>
    <w:rsid w:val="006C4EA5"/>
    <w:rsid w:val="006C4FFA"/>
    <w:rsid w:val="006E1821"/>
    <w:rsid w:val="006F0074"/>
    <w:rsid w:val="006F7704"/>
    <w:rsid w:val="00714218"/>
    <w:rsid w:val="00716F89"/>
    <w:rsid w:val="007242EC"/>
    <w:rsid w:val="00730ECF"/>
    <w:rsid w:val="00753FD5"/>
    <w:rsid w:val="0075545A"/>
    <w:rsid w:val="00772803"/>
    <w:rsid w:val="00773049"/>
    <w:rsid w:val="007763E6"/>
    <w:rsid w:val="007A1329"/>
    <w:rsid w:val="007A320D"/>
    <w:rsid w:val="007B32D1"/>
    <w:rsid w:val="007B673C"/>
    <w:rsid w:val="007C1822"/>
    <w:rsid w:val="007C7A23"/>
    <w:rsid w:val="007E0B22"/>
    <w:rsid w:val="007E1B53"/>
    <w:rsid w:val="007E4DD5"/>
    <w:rsid w:val="007F642D"/>
    <w:rsid w:val="008062B4"/>
    <w:rsid w:val="00816C8E"/>
    <w:rsid w:val="00835EF6"/>
    <w:rsid w:val="00843D3B"/>
    <w:rsid w:val="00845997"/>
    <w:rsid w:val="00852541"/>
    <w:rsid w:val="008545DB"/>
    <w:rsid w:val="00857896"/>
    <w:rsid w:val="0086705C"/>
    <w:rsid w:val="0087511C"/>
    <w:rsid w:val="00875CC8"/>
    <w:rsid w:val="00877D56"/>
    <w:rsid w:val="00887662"/>
    <w:rsid w:val="008967CD"/>
    <w:rsid w:val="008A1372"/>
    <w:rsid w:val="008A19C1"/>
    <w:rsid w:val="008A5462"/>
    <w:rsid w:val="008A78FA"/>
    <w:rsid w:val="008B2EF8"/>
    <w:rsid w:val="008B3C81"/>
    <w:rsid w:val="008B4BA2"/>
    <w:rsid w:val="008D5793"/>
    <w:rsid w:val="008D5AD3"/>
    <w:rsid w:val="008E5653"/>
    <w:rsid w:val="008F6B40"/>
    <w:rsid w:val="00911804"/>
    <w:rsid w:val="009151C1"/>
    <w:rsid w:val="009205DB"/>
    <w:rsid w:val="0092087E"/>
    <w:rsid w:val="00924FF1"/>
    <w:rsid w:val="00930174"/>
    <w:rsid w:val="00944E93"/>
    <w:rsid w:val="00945427"/>
    <w:rsid w:val="00946865"/>
    <w:rsid w:val="00946BAD"/>
    <w:rsid w:val="009542EC"/>
    <w:rsid w:val="0096000C"/>
    <w:rsid w:val="009627AD"/>
    <w:rsid w:val="0096780E"/>
    <w:rsid w:val="0098064D"/>
    <w:rsid w:val="009936B1"/>
    <w:rsid w:val="009943B5"/>
    <w:rsid w:val="00996EA9"/>
    <w:rsid w:val="009A49F5"/>
    <w:rsid w:val="009B2CA6"/>
    <w:rsid w:val="009C4414"/>
    <w:rsid w:val="009C62D4"/>
    <w:rsid w:val="009D78DC"/>
    <w:rsid w:val="009E34F6"/>
    <w:rsid w:val="009E615A"/>
    <w:rsid w:val="00A03DBC"/>
    <w:rsid w:val="00A04C99"/>
    <w:rsid w:val="00A06731"/>
    <w:rsid w:val="00A12835"/>
    <w:rsid w:val="00A33A08"/>
    <w:rsid w:val="00A33F42"/>
    <w:rsid w:val="00A366CC"/>
    <w:rsid w:val="00A47EB8"/>
    <w:rsid w:val="00A62205"/>
    <w:rsid w:val="00A62E9E"/>
    <w:rsid w:val="00A702B8"/>
    <w:rsid w:val="00A8221E"/>
    <w:rsid w:val="00A831BF"/>
    <w:rsid w:val="00A844FD"/>
    <w:rsid w:val="00A85484"/>
    <w:rsid w:val="00A858D9"/>
    <w:rsid w:val="00A86BA7"/>
    <w:rsid w:val="00A91F7B"/>
    <w:rsid w:val="00AA615F"/>
    <w:rsid w:val="00AA7F74"/>
    <w:rsid w:val="00AB06C6"/>
    <w:rsid w:val="00AB2F50"/>
    <w:rsid w:val="00AC0B66"/>
    <w:rsid w:val="00AC1466"/>
    <w:rsid w:val="00AC43F2"/>
    <w:rsid w:val="00AD3B26"/>
    <w:rsid w:val="00AD443F"/>
    <w:rsid w:val="00AD50DA"/>
    <w:rsid w:val="00AD556A"/>
    <w:rsid w:val="00AE477B"/>
    <w:rsid w:val="00AE6771"/>
    <w:rsid w:val="00AF2F4D"/>
    <w:rsid w:val="00B0250E"/>
    <w:rsid w:val="00B049A1"/>
    <w:rsid w:val="00B07C9A"/>
    <w:rsid w:val="00B10755"/>
    <w:rsid w:val="00B24288"/>
    <w:rsid w:val="00B252EE"/>
    <w:rsid w:val="00B27BB6"/>
    <w:rsid w:val="00B3051D"/>
    <w:rsid w:val="00B36B53"/>
    <w:rsid w:val="00B45BE7"/>
    <w:rsid w:val="00B54117"/>
    <w:rsid w:val="00B5597F"/>
    <w:rsid w:val="00B60E0F"/>
    <w:rsid w:val="00B6485F"/>
    <w:rsid w:val="00B67A2E"/>
    <w:rsid w:val="00B71624"/>
    <w:rsid w:val="00B73002"/>
    <w:rsid w:val="00B76E16"/>
    <w:rsid w:val="00BA140E"/>
    <w:rsid w:val="00BA6CC8"/>
    <w:rsid w:val="00BC290B"/>
    <w:rsid w:val="00BC3E68"/>
    <w:rsid w:val="00BC6E82"/>
    <w:rsid w:val="00BD4BE2"/>
    <w:rsid w:val="00BD4E49"/>
    <w:rsid w:val="00BF023B"/>
    <w:rsid w:val="00C01155"/>
    <w:rsid w:val="00C0150F"/>
    <w:rsid w:val="00C12843"/>
    <w:rsid w:val="00C13C8C"/>
    <w:rsid w:val="00C15AF4"/>
    <w:rsid w:val="00C234B2"/>
    <w:rsid w:val="00C4151F"/>
    <w:rsid w:val="00C468C3"/>
    <w:rsid w:val="00C50865"/>
    <w:rsid w:val="00C50D8E"/>
    <w:rsid w:val="00C51578"/>
    <w:rsid w:val="00C560B3"/>
    <w:rsid w:val="00C9661F"/>
    <w:rsid w:val="00CB5E14"/>
    <w:rsid w:val="00CC0D41"/>
    <w:rsid w:val="00CE284E"/>
    <w:rsid w:val="00CF1A91"/>
    <w:rsid w:val="00CF24DF"/>
    <w:rsid w:val="00D07089"/>
    <w:rsid w:val="00D21B56"/>
    <w:rsid w:val="00D53F06"/>
    <w:rsid w:val="00D54F24"/>
    <w:rsid w:val="00D55F81"/>
    <w:rsid w:val="00D6781F"/>
    <w:rsid w:val="00D71D16"/>
    <w:rsid w:val="00D768C6"/>
    <w:rsid w:val="00D823AA"/>
    <w:rsid w:val="00D906B6"/>
    <w:rsid w:val="00D9322C"/>
    <w:rsid w:val="00D96D41"/>
    <w:rsid w:val="00DA155E"/>
    <w:rsid w:val="00DA34BF"/>
    <w:rsid w:val="00DA5A24"/>
    <w:rsid w:val="00DB214F"/>
    <w:rsid w:val="00DB58A8"/>
    <w:rsid w:val="00DC500B"/>
    <w:rsid w:val="00DD2466"/>
    <w:rsid w:val="00DD2761"/>
    <w:rsid w:val="00DD7979"/>
    <w:rsid w:val="00DF66FA"/>
    <w:rsid w:val="00DF73A2"/>
    <w:rsid w:val="00E064F2"/>
    <w:rsid w:val="00E07061"/>
    <w:rsid w:val="00E1301D"/>
    <w:rsid w:val="00E145B0"/>
    <w:rsid w:val="00E20258"/>
    <w:rsid w:val="00E22861"/>
    <w:rsid w:val="00E26CF0"/>
    <w:rsid w:val="00E33897"/>
    <w:rsid w:val="00E35235"/>
    <w:rsid w:val="00E36ADA"/>
    <w:rsid w:val="00E40E98"/>
    <w:rsid w:val="00E4607D"/>
    <w:rsid w:val="00E647F5"/>
    <w:rsid w:val="00E761AC"/>
    <w:rsid w:val="00EA12BD"/>
    <w:rsid w:val="00EA2495"/>
    <w:rsid w:val="00EB3253"/>
    <w:rsid w:val="00EC0408"/>
    <w:rsid w:val="00EC2669"/>
    <w:rsid w:val="00EC5CB7"/>
    <w:rsid w:val="00ED366F"/>
    <w:rsid w:val="00EE1106"/>
    <w:rsid w:val="00EE1B07"/>
    <w:rsid w:val="00EE5129"/>
    <w:rsid w:val="00EE5A5B"/>
    <w:rsid w:val="00EF2342"/>
    <w:rsid w:val="00F13164"/>
    <w:rsid w:val="00F158FA"/>
    <w:rsid w:val="00F52381"/>
    <w:rsid w:val="00F63F67"/>
    <w:rsid w:val="00F738CB"/>
    <w:rsid w:val="00F75645"/>
    <w:rsid w:val="00F77B6A"/>
    <w:rsid w:val="00F92543"/>
    <w:rsid w:val="00F97D03"/>
    <w:rsid w:val="00FC1621"/>
    <w:rsid w:val="00FC3047"/>
    <w:rsid w:val="00FC5C04"/>
    <w:rsid w:val="00FD3B6D"/>
    <w:rsid w:val="00FD539F"/>
    <w:rsid w:val="00FE6A01"/>
    <w:rsid w:val="00FE7618"/>
    <w:rsid w:val="00FF160A"/>
    <w:rsid w:val="00FF1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80683E-A39B-42C2-8B90-825846B2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03F76"/>
  </w:style>
  <w:style w:type="paragraph" w:styleId="1">
    <w:name w:val="heading 1"/>
    <w:basedOn w:val="a0"/>
    <w:next w:val="a0"/>
    <w:link w:val="10"/>
    <w:uiPriority w:val="9"/>
    <w:qFormat/>
    <w:rsid w:val="00A12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semiHidden/>
    <w:unhideWhenUsed/>
    <w:qFormat/>
    <w:rsid w:val="00A128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46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AF2F4D"/>
    <w:pPr>
      <w:ind w:left="720"/>
      <w:contextualSpacing/>
    </w:pPr>
  </w:style>
  <w:style w:type="character" w:styleId="a6">
    <w:name w:val="annotation reference"/>
    <w:basedOn w:val="a1"/>
    <w:uiPriority w:val="99"/>
    <w:semiHidden/>
    <w:unhideWhenUsed/>
    <w:rsid w:val="00BC6E82"/>
    <w:rPr>
      <w:sz w:val="16"/>
      <w:szCs w:val="16"/>
    </w:rPr>
  </w:style>
  <w:style w:type="paragraph" w:styleId="a7">
    <w:name w:val="annotation text"/>
    <w:basedOn w:val="a0"/>
    <w:link w:val="a8"/>
    <w:uiPriority w:val="99"/>
    <w:unhideWhenUsed/>
    <w:rsid w:val="00BC6E82"/>
    <w:pPr>
      <w:spacing w:line="240" w:lineRule="auto"/>
    </w:pPr>
    <w:rPr>
      <w:sz w:val="20"/>
      <w:szCs w:val="20"/>
    </w:rPr>
  </w:style>
  <w:style w:type="character" w:customStyle="1" w:styleId="a8">
    <w:name w:val="Текст примітки Знак"/>
    <w:basedOn w:val="a1"/>
    <w:link w:val="a7"/>
    <w:uiPriority w:val="99"/>
    <w:rsid w:val="00BC6E82"/>
    <w:rPr>
      <w:sz w:val="20"/>
      <w:szCs w:val="20"/>
    </w:rPr>
  </w:style>
  <w:style w:type="paragraph" w:styleId="a9">
    <w:name w:val="annotation subject"/>
    <w:basedOn w:val="a7"/>
    <w:next w:val="a7"/>
    <w:link w:val="aa"/>
    <w:uiPriority w:val="99"/>
    <w:semiHidden/>
    <w:unhideWhenUsed/>
    <w:rsid w:val="00BC6E82"/>
    <w:rPr>
      <w:b/>
      <w:bCs/>
    </w:rPr>
  </w:style>
  <w:style w:type="character" w:customStyle="1" w:styleId="aa">
    <w:name w:val="Тема примітки Знак"/>
    <w:basedOn w:val="a8"/>
    <w:link w:val="a9"/>
    <w:uiPriority w:val="99"/>
    <w:semiHidden/>
    <w:rsid w:val="00BC6E82"/>
    <w:rPr>
      <w:b/>
      <w:bCs/>
      <w:sz w:val="20"/>
      <w:szCs w:val="20"/>
    </w:rPr>
  </w:style>
  <w:style w:type="paragraph" w:styleId="ab">
    <w:name w:val="Balloon Text"/>
    <w:basedOn w:val="a0"/>
    <w:link w:val="ac"/>
    <w:uiPriority w:val="99"/>
    <w:semiHidden/>
    <w:unhideWhenUsed/>
    <w:rsid w:val="00422829"/>
    <w:pPr>
      <w:spacing w:after="0" w:line="240" w:lineRule="auto"/>
    </w:pPr>
    <w:rPr>
      <w:rFonts w:ascii="Segoe UI" w:hAnsi="Segoe UI" w:cs="Segoe UI"/>
      <w:sz w:val="18"/>
      <w:szCs w:val="18"/>
    </w:rPr>
  </w:style>
  <w:style w:type="character" w:customStyle="1" w:styleId="ac">
    <w:name w:val="Текст у виносці Знак"/>
    <w:basedOn w:val="a1"/>
    <w:link w:val="ab"/>
    <w:uiPriority w:val="99"/>
    <w:semiHidden/>
    <w:rsid w:val="00422829"/>
    <w:rPr>
      <w:rFonts w:ascii="Segoe UI" w:hAnsi="Segoe UI" w:cs="Segoe UI"/>
      <w:sz w:val="18"/>
      <w:szCs w:val="18"/>
    </w:rPr>
  </w:style>
  <w:style w:type="paragraph" w:styleId="ad">
    <w:name w:val="Revision"/>
    <w:hidden/>
    <w:uiPriority w:val="99"/>
    <w:semiHidden/>
    <w:rsid w:val="00E647F5"/>
    <w:pPr>
      <w:spacing w:after="0" w:line="240" w:lineRule="auto"/>
    </w:pPr>
  </w:style>
  <w:style w:type="paragraph" w:styleId="a">
    <w:name w:val="List Bullet"/>
    <w:basedOn w:val="a0"/>
    <w:uiPriority w:val="99"/>
    <w:unhideWhenUsed/>
    <w:rsid w:val="00430613"/>
    <w:pPr>
      <w:numPr>
        <w:numId w:val="1"/>
      </w:numPr>
      <w:contextualSpacing/>
    </w:pPr>
  </w:style>
  <w:style w:type="paragraph" w:customStyle="1" w:styleId="Normalwithoutnum">
    <w:name w:val="Normal without num"/>
    <w:basedOn w:val="a0"/>
    <w:qFormat/>
    <w:rsid w:val="00E20258"/>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customStyle="1" w:styleId="rvps2">
    <w:name w:val="rvps2"/>
    <w:basedOn w:val="a0"/>
    <w:rsid w:val="00A858D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
    <w:name w:val="rvts11"/>
    <w:basedOn w:val="a1"/>
    <w:rsid w:val="00A858D9"/>
  </w:style>
  <w:style w:type="character" w:styleId="ae">
    <w:name w:val="Hyperlink"/>
    <w:basedOn w:val="a1"/>
    <w:uiPriority w:val="99"/>
    <w:semiHidden/>
    <w:unhideWhenUsed/>
    <w:rsid w:val="00A858D9"/>
    <w:rPr>
      <w:color w:val="0000FF"/>
      <w:u w:val="single"/>
    </w:rPr>
  </w:style>
  <w:style w:type="paragraph" w:customStyle="1" w:styleId="af">
    <w:name w:val="Обычный формула"/>
    <w:basedOn w:val="a0"/>
    <w:uiPriority w:val="99"/>
    <w:rsid w:val="008B4BA2"/>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rPr>
  </w:style>
  <w:style w:type="paragraph" w:styleId="af0">
    <w:name w:val="header"/>
    <w:basedOn w:val="a0"/>
    <w:link w:val="af1"/>
    <w:uiPriority w:val="99"/>
    <w:unhideWhenUsed/>
    <w:rsid w:val="00B76E16"/>
    <w:pPr>
      <w:tabs>
        <w:tab w:val="center" w:pos="4819"/>
        <w:tab w:val="right" w:pos="9639"/>
      </w:tabs>
      <w:spacing w:after="0" w:line="240" w:lineRule="auto"/>
    </w:pPr>
  </w:style>
  <w:style w:type="character" w:customStyle="1" w:styleId="af1">
    <w:name w:val="Верхній колонтитул Знак"/>
    <w:basedOn w:val="a1"/>
    <w:link w:val="af0"/>
    <w:uiPriority w:val="99"/>
    <w:rsid w:val="00B76E16"/>
  </w:style>
  <w:style w:type="paragraph" w:styleId="af2">
    <w:name w:val="footer"/>
    <w:basedOn w:val="a0"/>
    <w:link w:val="af3"/>
    <w:uiPriority w:val="99"/>
    <w:unhideWhenUsed/>
    <w:rsid w:val="00B76E16"/>
    <w:pPr>
      <w:tabs>
        <w:tab w:val="center" w:pos="4819"/>
        <w:tab w:val="right" w:pos="9639"/>
      </w:tabs>
      <w:spacing w:after="0" w:line="240" w:lineRule="auto"/>
    </w:pPr>
  </w:style>
  <w:style w:type="character" w:customStyle="1" w:styleId="af3">
    <w:name w:val="Нижній колонтитул Знак"/>
    <w:basedOn w:val="a1"/>
    <w:link w:val="af2"/>
    <w:uiPriority w:val="99"/>
    <w:rsid w:val="00B76E16"/>
  </w:style>
  <w:style w:type="paragraph" w:customStyle="1" w:styleId="Normalnumberingapplication">
    <w:name w:val="Normal numbering application"/>
    <w:basedOn w:val="a0"/>
    <w:rsid w:val="00A12835"/>
    <w:pPr>
      <w:widowControl w:val="0"/>
      <w:numPr>
        <w:ilvl w:val="3"/>
        <w:numId w:val="3"/>
      </w:numPr>
      <w:spacing w:before="240" w:after="240" w:line="240" w:lineRule="auto"/>
      <w:jc w:val="both"/>
      <w:outlineLvl w:val="2"/>
    </w:pPr>
    <w:rPr>
      <w:rFonts w:ascii="Times New Roman" w:eastAsia="Calibri" w:hAnsi="Times New Roman" w:cs="Helvetica"/>
      <w:sz w:val="28"/>
      <w:szCs w:val="24"/>
      <w:lang w:val="uk-UA"/>
    </w:rPr>
  </w:style>
  <w:style w:type="paragraph" w:customStyle="1" w:styleId="Heading2application">
    <w:name w:val="Heading 2 application"/>
    <w:basedOn w:val="2"/>
    <w:qFormat/>
    <w:rsid w:val="00A12835"/>
    <w:pPr>
      <w:widowControl w:val="0"/>
      <w:numPr>
        <w:ilvl w:val="1"/>
        <w:numId w:val="3"/>
      </w:numPr>
      <w:tabs>
        <w:tab w:val="clear" w:pos="851"/>
        <w:tab w:val="num" w:pos="360"/>
        <w:tab w:val="left" w:pos="1418"/>
      </w:tabs>
      <w:spacing w:before="120" w:after="120" w:line="240" w:lineRule="auto"/>
      <w:ind w:firstLine="0"/>
      <w:jc w:val="center"/>
    </w:pPr>
    <w:rPr>
      <w:rFonts w:ascii="Times New Roman" w:eastAsia="Calibri" w:hAnsi="Times New Roman" w:cs="Times New Roman"/>
      <w:b/>
      <w:color w:val="000000"/>
      <w:sz w:val="28"/>
      <w:lang w:val="uk-UA"/>
    </w:rPr>
  </w:style>
  <w:style w:type="paragraph" w:customStyle="1" w:styleId="Heading1application">
    <w:name w:val="Heading 1 application"/>
    <w:basedOn w:val="1"/>
    <w:qFormat/>
    <w:rsid w:val="00A12835"/>
    <w:pPr>
      <w:widowControl w:val="0"/>
      <w:numPr>
        <w:numId w:val="3"/>
      </w:numPr>
      <w:tabs>
        <w:tab w:val="clear" w:pos="851"/>
        <w:tab w:val="num" w:pos="360"/>
      </w:tabs>
      <w:spacing w:before="120" w:after="120" w:line="240" w:lineRule="auto"/>
      <w:ind w:left="720" w:hanging="360"/>
      <w:jc w:val="center"/>
    </w:pPr>
    <w:rPr>
      <w:rFonts w:ascii="Times New Roman" w:eastAsia="Calibri" w:hAnsi="Times New Roman" w:cs="Helvetica"/>
      <w:b/>
      <w:color w:val="000000"/>
      <w:sz w:val="28"/>
      <w:lang w:val="uk-UA"/>
    </w:rPr>
  </w:style>
  <w:style w:type="paragraph" w:customStyle="1" w:styleId="Normalapplication">
    <w:name w:val="Normal application"/>
    <w:basedOn w:val="a0"/>
    <w:qFormat/>
    <w:rsid w:val="00A12835"/>
    <w:pPr>
      <w:widowControl w:val="0"/>
      <w:numPr>
        <w:ilvl w:val="2"/>
        <w:numId w:val="3"/>
      </w:numPr>
      <w:tabs>
        <w:tab w:val="clear" w:pos="710"/>
        <w:tab w:val="num" w:pos="851"/>
        <w:tab w:val="left" w:pos="1701"/>
      </w:tabs>
      <w:spacing w:before="120" w:after="120" w:line="240" w:lineRule="auto"/>
      <w:ind w:left="0"/>
      <w:jc w:val="both"/>
      <w:outlineLvl w:val="2"/>
    </w:pPr>
    <w:rPr>
      <w:rFonts w:ascii="Times New Roman" w:eastAsia="Calibri" w:hAnsi="Times New Roman" w:cs="Helvetica"/>
      <w:sz w:val="28"/>
      <w:szCs w:val="24"/>
      <w:lang w:val="uk-UA"/>
    </w:rPr>
  </w:style>
  <w:style w:type="numbering" w:customStyle="1" w:styleId="newnumberingapplications">
    <w:name w:val="new numbering applications"/>
    <w:rsid w:val="00A12835"/>
    <w:pPr>
      <w:numPr>
        <w:numId w:val="2"/>
      </w:numPr>
    </w:pPr>
  </w:style>
  <w:style w:type="character" w:customStyle="1" w:styleId="20">
    <w:name w:val="Заголовок 2 Знак"/>
    <w:basedOn w:val="a1"/>
    <w:link w:val="2"/>
    <w:uiPriority w:val="9"/>
    <w:semiHidden/>
    <w:rsid w:val="00A12835"/>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1"/>
    <w:link w:val="1"/>
    <w:uiPriority w:val="9"/>
    <w:rsid w:val="00A12835"/>
    <w:rPr>
      <w:rFonts w:asciiTheme="majorHAnsi" w:eastAsiaTheme="majorEastAsia" w:hAnsiTheme="majorHAnsi" w:cstheme="majorBidi"/>
      <w:color w:val="2F5496" w:themeColor="accent1" w:themeShade="BF"/>
      <w:sz w:val="32"/>
      <w:szCs w:val="32"/>
    </w:rPr>
  </w:style>
  <w:style w:type="paragraph" w:styleId="af4">
    <w:name w:val="Normal (Web)"/>
    <w:basedOn w:val="a0"/>
    <w:link w:val="af5"/>
    <w:uiPriority w:val="99"/>
    <w:unhideWhenUsed/>
    <w:qFormat/>
    <w:rsid w:val="00EC5CB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f5">
    <w:name w:val="Звичайний (веб) Знак"/>
    <w:link w:val="af4"/>
    <w:locked/>
    <w:rsid w:val="00EC5CB7"/>
    <w:rPr>
      <w:rFonts w:ascii="Times New Roman" w:eastAsia="Times New Roman" w:hAnsi="Times New Roman" w:cs="Times New Roman"/>
      <w:sz w:val="24"/>
      <w:szCs w:val="24"/>
      <w:lang w:val="uk-UA" w:eastAsia="uk-UA"/>
    </w:rPr>
  </w:style>
  <w:style w:type="character" w:styleId="af6">
    <w:name w:val="Strong"/>
    <w:uiPriority w:val="22"/>
    <w:qFormat/>
    <w:rsid w:val="00EC5C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860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CAF144024D0C4DA09B0B14A2E51BD7" ma:contentTypeVersion="14" ma:contentTypeDescription="Create a new document." ma:contentTypeScope="" ma:versionID="7b067b514de174e97f9d80ade2ce64db">
  <xsd:schema xmlns:xsd="http://www.w3.org/2001/XMLSchema" xmlns:xs="http://www.w3.org/2001/XMLSchema" xmlns:p="http://schemas.microsoft.com/office/2006/metadata/properties" xmlns:ns3="40a54370-db23-421a-b2aa-eabbcfe0d530" xmlns:ns4="d7552e16-6425-49bd-a7a1-0fb716db7d1d" targetNamespace="http://schemas.microsoft.com/office/2006/metadata/properties" ma:root="true" ma:fieldsID="8683ceea4458e20758ddd850a1ca649d" ns3:_="" ns4:_="">
    <xsd:import namespace="40a54370-db23-421a-b2aa-eabbcfe0d530"/>
    <xsd:import namespace="d7552e16-6425-49bd-a7a1-0fb716db7d1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54370-db23-421a-b2aa-eabbcfe0d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552e16-6425-49bd-a7a1-0fb716db7d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5BCC1-DF12-4529-8C79-99ABFB91C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54370-db23-421a-b2aa-eabbcfe0d530"/>
    <ds:schemaRef ds:uri="d7552e16-6425-49bd-a7a1-0fb716db7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42DD9-3EE2-44AA-9F44-4A98821AD3C5}">
  <ds:schemaRefs>
    <ds:schemaRef ds:uri="http://schemas.microsoft.com/sharepoint/v3/contenttype/forms"/>
  </ds:schemaRefs>
</ds:datastoreItem>
</file>

<file path=customXml/itemProps3.xml><?xml version="1.0" encoding="utf-8"?>
<ds:datastoreItem xmlns:ds="http://schemas.openxmlformats.org/officeDocument/2006/customXml" ds:itemID="{0B31E71D-659C-4206-B3D9-69ED810F4D3B}">
  <ds:schemaRefs>
    <ds:schemaRef ds:uri="http://www.w3.org/XML/1998/namespace"/>
    <ds:schemaRef ds:uri="http://purl.org/dc/terms/"/>
    <ds:schemaRef ds:uri="d7552e16-6425-49bd-a7a1-0fb716db7d1d"/>
    <ds:schemaRef ds:uri="http://schemas.microsoft.com/office/infopath/2007/PartnerControls"/>
    <ds:schemaRef ds:uri="http://schemas.openxmlformats.org/package/2006/metadata/core-properties"/>
    <ds:schemaRef ds:uri="http://schemas.microsoft.com/office/2006/documentManagement/types"/>
    <ds:schemaRef ds:uri="40a54370-db23-421a-b2aa-eabbcfe0d530"/>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F27D3F0F-90EA-407B-8254-44EC148A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2536</Words>
  <Characters>1447</Characters>
  <Application>Microsoft Office Word</Application>
  <DocSecurity>0</DocSecurity>
  <Lines>12</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 Дмитро Олександрович</dc:creator>
  <cp:lastModifiedBy>Ольга Прихід</cp:lastModifiedBy>
  <cp:revision>8</cp:revision>
  <cp:lastPrinted>2022-06-15T09:19:00Z</cp:lastPrinted>
  <dcterms:created xsi:type="dcterms:W3CDTF">2022-08-31T10:02:00Z</dcterms:created>
  <dcterms:modified xsi:type="dcterms:W3CDTF">2022-09-02T06:25:00Z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0x010100E0CAF144024D0C4DA09B0B14A2E51BD7</vt:lpwstr>
  </property>
</Properties>
</file>