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5240" w:rsidRPr="00B531A2" w:rsidRDefault="0075642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 w:rsidRPr="00B531A2">
        <w:rPr>
          <w:b/>
          <w:sz w:val="28"/>
          <w:szCs w:val="28"/>
        </w:rPr>
        <w:t xml:space="preserve">АНАЛІЗ ВПЛИВУ </w:t>
      </w:r>
    </w:p>
    <w:p w:rsidR="00C75240" w:rsidRPr="00B531A2" w:rsidRDefault="0013215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  <w:r w:rsidRPr="00B531A2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</w:t>
      </w:r>
      <w:r w:rsidRPr="00B531A2">
        <w:rPr>
          <w:b/>
          <w:sz w:val="28"/>
          <w:szCs w:val="28"/>
        </w:rPr>
        <w:t xml:space="preserve">кту </w:t>
      </w:r>
      <w:r w:rsidR="0046390C" w:rsidRPr="00B531A2">
        <w:rPr>
          <w:b/>
          <w:sz w:val="28"/>
          <w:szCs w:val="28"/>
        </w:rPr>
        <w:t xml:space="preserve">рішення НКРЕКП, що має ознаки регуляторного </w:t>
      </w:r>
      <w:proofErr w:type="spellStart"/>
      <w:r w:rsidR="0046390C" w:rsidRPr="00B531A2">
        <w:rPr>
          <w:b/>
          <w:sz w:val="28"/>
          <w:szCs w:val="28"/>
        </w:rPr>
        <w:t>акта</w:t>
      </w:r>
      <w:proofErr w:type="spellEnd"/>
      <w:r w:rsidR="0046390C" w:rsidRPr="00B531A2">
        <w:rPr>
          <w:b/>
          <w:sz w:val="28"/>
          <w:szCs w:val="28"/>
        </w:rPr>
        <w:t>, – постанови НКРЕКП «Про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ринку»</w:t>
      </w:r>
    </w:p>
    <w:p w:rsidR="0046390C" w:rsidRPr="00B531A2" w:rsidRDefault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</w:p>
    <w:p w:rsidR="00C75240" w:rsidRPr="00B531A2" w:rsidRDefault="0075642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t>Визначення проблеми</w:t>
      </w:r>
    </w:p>
    <w:p w:rsidR="00C75240" w:rsidRPr="00B531A2" w:rsidRDefault="00C752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8"/>
          <w:szCs w:val="28"/>
        </w:rPr>
      </w:pPr>
    </w:p>
    <w:p w:rsidR="0046390C" w:rsidRPr="00B531A2" w:rsidRDefault="0046390C" w:rsidP="0046390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Відповідно до пункту 9 розділу XVII «Прикінцеві та перехідні положення» Закону України «Про ринок електричної енергії»</w:t>
      </w:r>
      <w:r w:rsidR="00D17245" w:rsidRPr="00B531A2">
        <w:rPr>
          <w:sz w:val="28"/>
          <w:szCs w:val="28"/>
        </w:rPr>
        <w:t xml:space="preserve"> (далі – Закон)</w:t>
      </w:r>
      <w:r w:rsidRPr="00B531A2">
        <w:rPr>
          <w:sz w:val="28"/>
          <w:szCs w:val="28"/>
        </w:rPr>
        <w:t xml:space="preserve"> у разі істотного коливання цін на ринку «на добу наперед», внутрішньодобовому ринку та балансуючому ринку та відповідно до методики, визначеної Регулятором, Регулятор має право встановлювати граничні ціни (тимчасові мінімальні та/або максимальні цінові межі) на ринку «на добу наперед», внутрішньодобовому ринку та балансуючому ринку для кожної торгової зони з відповідним обґрунтуванням. Рівень граничних цін має впливати на формування вільної (ринкової) ціни у мінімальний спосіб. Доцільність встановлення і рівень граничних цін у разі їх встановлення мають переглядатися Регулятором не менше одного разу на шість місяців. Граничні ціни встановлюються Регулятором після консультацій з Антимонопольним комітетом України.</w:t>
      </w:r>
    </w:p>
    <w:p w:rsidR="00D17245" w:rsidRPr="00B531A2" w:rsidRDefault="00D17245" w:rsidP="0046390C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Разом з цим, відповідно пункту 6 частини четвертої статті 6 Закону Регулятор має право вживати заходів для запобігання неефективному функціонуванню ринку електричної енергії, зокрема внаслідок дій та будь-якої поведінки учасників ринку, спрямованих на завищення цін та заподіяння економічної шкоди споживачам. </w:t>
      </w:r>
    </w:p>
    <w:p w:rsidR="0046390C" w:rsidRPr="00B531A2" w:rsidRDefault="001E62C5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1E62C5">
        <w:rPr>
          <w:sz w:val="28"/>
          <w:szCs w:val="28"/>
          <w:lang w:val="ru-RU"/>
        </w:rPr>
        <w:t>НКРЕКП</w:t>
      </w:r>
      <w:r w:rsidR="0046390C" w:rsidRPr="00B531A2">
        <w:rPr>
          <w:sz w:val="28"/>
          <w:szCs w:val="28"/>
        </w:rPr>
        <w:t xml:space="preserve"> розроблено проєкт рішення, що має ознаки регуляторного </w:t>
      </w:r>
      <w:proofErr w:type="spellStart"/>
      <w:r w:rsidR="0046390C" w:rsidRPr="00B531A2">
        <w:rPr>
          <w:sz w:val="28"/>
          <w:szCs w:val="28"/>
        </w:rPr>
        <w:t>акта</w:t>
      </w:r>
      <w:proofErr w:type="spellEnd"/>
      <w:r w:rsidR="0046390C" w:rsidRPr="00B531A2">
        <w:rPr>
          <w:sz w:val="28"/>
          <w:szCs w:val="28"/>
        </w:rPr>
        <w:t xml:space="preserve">, – постанову НКРЕКП «Про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ринку» (далі – Проєкт постанови). </w:t>
      </w:r>
    </w:p>
    <w:p w:rsidR="0046390C" w:rsidRPr="00B531A2" w:rsidRDefault="0046390C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Проєктом постанови передбачається:</w:t>
      </w:r>
    </w:p>
    <w:p w:rsidR="0046390C" w:rsidRPr="00B531A2" w:rsidRDefault="0046390C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1)</w:t>
      </w:r>
      <w:r w:rsidRPr="00B531A2">
        <w:rPr>
          <w:sz w:val="28"/>
          <w:szCs w:val="28"/>
        </w:rPr>
        <w:tab/>
        <w:t>порядок визначення істотного коливання цін на ринку «на добу наперед» (далі – РДН), внутрішньодобовому ринку (далі – ВДР) та балансуючому ринку;</w:t>
      </w:r>
    </w:p>
    <w:p w:rsidR="0046390C" w:rsidRPr="00B531A2" w:rsidRDefault="0046390C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2)</w:t>
      </w:r>
      <w:r w:rsidRPr="00B531A2">
        <w:rPr>
          <w:sz w:val="28"/>
          <w:szCs w:val="28"/>
        </w:rPr>
        <w:tab/>
        <w:t>процедуру встановлення граничних цін на РДН, ВДР та балансуючому ринку.</w:t>
      </w:r>
    </w:p>
    <w:p w:rsidR="00C75240" w:rsidRPr="00B531A2" w:rsidRDefault="00756426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Основні групи (підгрупи), на які проблема справляє вплив:</w:t>
      </w:r>
    </w:p>
    <w:p w:rsidR="00D17245" w:rsidRPr="00B531A2" w:rsidRDefault="00D17245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</w:p>
    <w:tbl>
      <w:tblPr>
        <w:tblStyle w:val="aff6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5958"/>
        <w:gridCol w:w="1276"/>
      </w:tblGrid>
      <w:tr w:rsidR="00B531A2" w:rsidRPr="00B531A2" w:rsidTr="0046390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463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9" w:firstLine="21"/>
              <w:jc w:val="center"/>
              <w:rPr>
                <w:sz w:val="23"/>
                <w:szCs w:val="23"/>
              </w:rPr>
            </w:pPr>
            <w:r w:rsidRPr="00B531A2">
              <w:rPr>
                <w:b/>
                <w:sz w:val="23"/>
                <w:szCs w:val="23"/>
              </w:rPr>
              <w:t>Групи (підгрупи)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  <w:r w:rsidRPr="00B531A2">
              <w:rPr>
                <w:b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  <w:r w:rsidRPr="00B531A2">
              <w:rPr>
                <w:b/>
                <w:sz w:val="23"/>
                <w:szCs w:val="23"/>
              </w:rPr>
              <w:t>Ні</w:t>
            </w:r>
          </w:p>
        </w:tc>
      </w:tr>
      <w:tr w:rsidR="00B531A2" w:rsidRPr="00B531A2" w:rsidTr="0046390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463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9" w:firstLine="21"/>
              <w:rPr>
                <w:sz w:val="23"/>
                <w:szCs w:val="23"/>
              </w:rPr>
            </w:pPr>
            <w:r w:rsidRPr="00B531A2">
              <w:rPr>
                <w:sz w:val="23"/>
                <w:szCs w:val="23"/>
              </w:rPr>
              <w:t>Громадяни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C75240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  <w:r w:rsidRPr="00B531A2">
              <w:rPr>
                <w:sz w:val="23"/>
                <w:szCs w:val="23"/>
              </w:rPr>
              <w:t>Ні</w:t>
            </w:r>
          </w:p>
        </w:tc>
      </w:tr>
      <w:tr w:rsidR="00B531A2" w:rsidRPr="00B531A2" w:rsidTr="0046390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463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9" w:firstLine="21"/>
              <w:rPr>
                <w:sz w:val="23"/>
                <w:szCs w:val="23"/>
              </w:rPr>
            </w:pPr>
            <w:r w:rsidRPr="00B531A2">
              <w:rPr>
                <w:sz w:val="23"/>
                <w:szCs w:val="23"/>
              </w:rPr>
              <w:t>Держава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  <w:r w:rsidRPr="00B531A2">
              <w:rPr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C75240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</w:p>
        </w:tc>
      </w:tr>
      <w:tr w:rsidR="00C75240" w:rsidRPr="00B531A2" w:rsidTr="0046390C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463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9" w:firstLine="21"/>
              <w:rPr>
                <w:sz w:val="23"/>
                <w:szCs w:val="23"/>
              </w:rPr>
            </w:pPr>
            <w:r w:rsidRPr="00B531A2">
              <w:rPr>
                <w:sz w:val="23"/>
                <w:szCs w:val="23"/>
              </w:rPr>
              <w:t>Суб’єкти господарювання</w:t>
            </w:r>
          </w:p>
        </w:tc>
        <w:tc>
          <w:tcPr>
            <w:tcW w:w="5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  <w:r w:rsidRPr="00B531A2">
              <w:rPr>
                <w:sz w:val="23"/>
                <w:szCs w:val="23"/>
              </w:rPr>
              <w:t>Так</w:t>
            </w:r>
          </w:p>
          <w:p w:rsidR="00C75240" w:rsidRPr="00B531A2" w:rsidRDefault="00C75240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5240" w:rsidRPr="00B531A2" w:rsidRDefault="00C75240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3"/>
                <w:szCs w:val="23"/>
              </w:rPr>
            </w:pPr>
          </w:p>
        </w:tc>
      </w:tr>
    </w:tbl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132152" w:rsidRDefault="00132152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b/>
          <w:sz w:val="28"/>
          <w:szCs w:val="28"/>
        </w:rPr>
      </w:pPr>
    </w:p>
    <w:p w:rsidR="00C75240" w:rsidRPr="00B531A2" w:rsidRDefault="00756426" w:rsidP="0046390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lastRenderedPageBreak/>
        <w:t>ІІ. Цілі державного регулювання</w:t>
      </w:r>
    </w:p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C75240" w:rsidRPr="00B531A2" w:rsidRDefault="005A1A6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Прийняття регуляторного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має на меті реалізацію </w:t>
      </w:r>
      <w:r w:rsidRPr="00E31B99">
        <w:rPr>
          <w:sz w:val="28"/>
          <w:szCs w:val="28"/>
        </w:rPr>
        <w:t xml:space="preserve">положень Закону в </w:t>
      </w:r>
      <w:r w:rsidRPr="00B531A2">
        <w:rPr>
          <w:sz w:val="28"/>
          <w:szCs w:val="28"/>
        </w:rPr>
        <w:t xml:space="preserve">частині затвердження Методики визначення істотного коливання цін та встановлення граничних цін на РДН, ВДР та балансуючому ринку (далі – Методика), </w:t>
      </w:r>
      <w:r>
        <w:rPr>
          <w:sz w:val="28"/>
          <w:szCs w:val="28"/>
        </w:rPr>
        <w:t xml:space="preserve">що передбачає </w:t>
      </w:r>
      <w:r w:rsidRPr="00B531A2">
        <w:rPr>
          <w:sz w:val="28"/>
          <w:szCs w:val="28"/>
        </w:rPr>
        <w:t xml:space="preserve">порядок визначення </w:t>
      </w:r>
      <w:r w:rsidRPr="00E31B99">
        <w:rPr>
          <w:sz w:val="28"/>
          <w:szCs w:val="28"/>
        </w:rPr>
        <w:t>випадків істотного коливання ціни електричної енергії на організованих сегментах ринку електричної енергії та</w:t>
      </w:r>
      <w:r>
        <w:rPr>
          <w:sz w:val="28"/>
          <w:szCs w:val="28"/>
        </w:rPr>
        <w:t xml:space="preserve"> </w:t>
      </w:r>
      <w:r w:rsidR="00903AE1" w:rsidRPr="00B531A2">
        <w:rPr>
          <w:sz w:val="28"/>
          <w:szCs w:val="28"/>
        </w:rPr>
        <w:t>процедуру встановлення граничних цін на РДН, ВДР та балансуючому ринку.</w:t>
      </w:r>
    </w:p>
    <w:p w:rsidR="00F22ECF" w:rsidRDefault="00F22ECF" w:rsidP="0046390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Chars="0" w:left="1" w:firstLineChars="0"/>
        <w:jc w:val="center"/>
        <w:rPr>
          <w:b/>
          <w:sz w:val="28"/>
          <w:szCs w:val="28"/>
        </w:rPr>
      </w:pPr>
    </w:p>
    <w:p w:rsidR="00C75240" w:rsidRPr="00B531A2" w:rsidRDefault="00756426" w:rsidP="0046390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Chars="0" w:left="1" w:firstLineChars="0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C75240" w:rsidRPr="00B531A2" w:rsidRDefault="00756426" w:rsidP="00F2388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Визначення альтернативних способів</w:t>
      </w:r>
    </w:p>
    <w:tbl>
      <w:tblPr>
        <w:tblStyle w:val="aff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07"/>
        <w:gridCol w:w="4788"/>
      </w:tblGrid>
      <w:tr w:rsidR="00B531A2" w:rsidRPr="00B531A2" w:rsidTr="00D673CF">
        <w:trPr>
          <w:trHeight w:val="241"/>
        </w:trPr>
        <w:tc>
          <w:tcPr>
            <w:tcW w:w="4707" w:type="dxa"/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788" w:type="dxa"/>
          </w:tcPr>
          <w:p w:rsidR="00C75240" w:rsidRPr="00B531A2" w:rsidRDefault="00756426" w:rsidP="00D172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Опис альтернативи</w:t>
            </w:r>
          </w:p>
        </w:tc>
      </w:tr>
      <w:tr w:rsidR="00B531A2" w:rsidRPr="00B531A2" w:rsidTr="00D673CF">
        <w:tc>
          <w:tcPr>
            <w:tcW w:w="4707" w:type="dxa"/>
          </w:tcPr>
          <w:p w:rsidR="00C75240" w:rsidRPr="00B531A2" w:rsidRDefault="00756426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</w:t>
            </w:r>
          </w:p>
          <w:p w:rsidR="00C75240" w:rsidRPr="00B531A2" w:rsidRDefault="00756426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  <w:p w:rsidR="00D17245" w:rsidRPr="00B531A2" w:rsidRDefault="00D17245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:rsidR="00FD54FF" w:rsidRPr="00B531A2" w:rsidRDefault="00D17245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Не затверджувати </w:t>
            </w:r>
            <w:r w:rsidR="00E61EC9" w:rsidRPr="00B531A2">
              <w:rPr>
                <w:sz w:val="22"/>
                <w:szCs w:val="22"/>
              </w:rPr>
              <w:t xml:space="preserve">Методику та </w:t>
            </w:r>
            <w:r w:rsidR="00DC54D3" w:rsidRPr="00B531A2">
              <w:rPr>
                <w:sz w:val="22"/>
                <w:szCs w:val="22"/>
              </w:rPr>
              <w:t>відмовитис</w:t>
            </w:r>
            <w:r w:rsidR="00DC54D3">
              <w:rPr>
                <w:sz w:val="22"/>
                <w:szCs w:val="22"/>
              </w:rPr>
              <w:t>ь від</w:t>
            </w:r>
            <w:r w:rsidR="00DC54D3" w:rsidRPr="00B531A2">
              <w:rPr>
                <w:sz w:val="22"/>
                <w:szCs w:val="22"/>
              </w:rPr>
              <w:t xml:space="preserve"> </w:t>
            </w:r>
            <w:r w:rsidR="00FD54FF">
              <w:rPr>
                <w:sz w:val="22"/>
                <w:szCs w:val="22"/>
              </w:rPr>
              <w:t>механізму виявлення</w:t>
            </w:r>
            <w:r w:rsidR="00FD54FF" w:rsidRPr="00B531A2">
              <w:rPr>
                <w:sz w:val="22"/>
                <w:szCs w:val="22"/>
              </w:rPr>
              <w:t xml:space="preserve"> істотного </w:t>
            </w:r>
            <w:r w:rsidR="00FD54FF">
              <w:rPr>
                <w:sz w:val="22"/>
                <w:szCs w:val="22"/>
              </w:rPr>
              <w:t>коливання</w:t>
            </w:r>
            <w:r w:rsidR="00FD54FF"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846449">
              <w:rPr>
                <w:sz w:val="22"/>
                <w:szCs w:val="22"/>
              </w:rPr>
              <w:t xml:space="preserve">на </w:t>
            </w:r>
            <w:r w:rsidR="00FD54FF" w:rsidRPr="00B531A2">
              <w:rPr>
                <w:sz w:val="22"/>
                <w:szCs w:val="22"/>
              </w:rPr>
              <w:t xml:space="preserve">РДН, ВДР та балансуючому ринку, а також </w:t>
            </w:r>
            <w:r w:rsidR="00FD54FF">
              <w:rPr>
                <w:sz w:val="22"/>
                <w:szCs w:val="22"/>
              </w:rPr>
              <w:t xml:space="preserve">процедури встановлення </w:t>
            </w:r>
            <w:r w:rsidR="00FD54FF" w:rsidRPr="00B531A2">
              <w:rPr>
                <w:sz w:val="22"/>
                <w:szCs w:val="22"/>
              </w:rPr>
              <w:t>Регулятор</w:t>
            </w:r>
            <w:r w:rsidR="00FD54FF">
              <w:rPr>
                <w:sz w:val="22"/>
                <w:szCs w:val="22"/>
              </w:rPr>
              <w:t>ом граничних цін на організованих сегментах ринку</w:t>
            </w:r>
          </w:p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</w:tr>
      <w:tr w:rsidR="00B531A2" w:rsidRPr="00B531A2" w:rsidTr="00D673CF">
        <w:tc>
          <w:tcPr>
            <w:tcW w:w="4707" w:type="dxa"/>
          </w:tcPr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</w:t>
            </w:r>
            <w:r w:rsidR="00D673CF" w:rsidRPr="00B531A2">
              <w:rPr>
                <w:sz w:val="22"/>
                <w:szCs w:val="22"/>
              </w:rPr>
              <w:t>2</w:t>
            </w:r>
            <w:r w:rsidRPr="00B531A2">
              <w:rPr>
                <w:sz w:val="22"/>
                <w:szCs w:val="22"/>
              </w:rPr>
              <w:t xml:space="preserve"> </w:t>
            </w:r>
          </w:p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Затвердження Методики</w:t>
            </w:r>
            <w:r w:rsidR="00D673CF" w:rsidRPr="00B531A2">
              <w:rPr>
                <w:sz w:val="22"/>
                <w:szCs w:val="22"/>
              </w:rPr>
              <w:t>.</w:t>
            </w:r>
          </w:p>
        </w:tc>
      </w:tr>
      <w:tr w:rsidR="00B531A2" w:rsidRPr="00B531A2" w:rsidTr="00D673CF">
        <w:tc>
          <w:tcPr>
            <w:tcW w:w="4707" w:type="dxa"/>
          </w:tcPr>
          <w:p w:rsidR="00C75240" w:rsidRPr="00B531A2" w:rsidRDefault="00756426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</w:p>
          <w:p w:rsidR="00C75240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Попередження випадків істотного </w:t>
            </w:r>
            <w:r w:rsidR="00DC54D3"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846449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 шляхом використання інших інструментів державного регулювання на ринку електричної енергії.</w:t>
            </w:r>
          </w:p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788" w:type="dxa"/>
          </w:tcPr>
          <w:p w:rsidR="00E61EC9" w:rsidRPr="00B531A2" w:rsidRDefault="00E61EC9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Прийняття Регулятором інших регуляторних актів та/або рішень, не пов’язаних із затвердженням Методики.</w:t>
            </w:r>
          </w:p>
          <w:p w:rsidR="00D17245" w:rsidRPr="00B531A2" w:rsidRDefault="00D17245" w:rsidP="00E61E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</w:tr>
    </w:tbl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</w:p>
    <w:p w:rsidR="00C75240" w:rsidRPr="00B531A2" w:rsidRDefault="00756426" w:rsidP="00F23884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  <w:r w:rsidRPr="00B531A2">
        <w:rPr>
          <w:sz w:val="28"/>
          <w:szCs w:val="28"/>
        </w:rPr>
        <w:t>Оцінка вибраних альтернативних способів досягнення цілей</w:t>
      </w:r>
    </w:p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</w:p>
    <w:p w:rsidR="00C75240" w:rsidRPr="00B531A2" w:rsidRDefault="00756426" w:rsidP="00F2388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  <w:r w:rsidRPr="00B531A2">
        <w:rPr>
          <w:sz w:val="28"/>
          <w:szCs w:val="28"/>
        </w:rPr>
        <w:t>Оцінка впливу на сферу інтересів держави:</w:t>
      </w:r>
    </w:p>
    <w:tbl>
      <w:tblPr>
        <w:tblStyle w:val="aff8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3715"/>
        <w:gridCol w:w="3373"/>
      </w:tblGrid>
      <w:tr w:rsidR="00B531A2" w:rsidRPr="00B531A2" w:rsidTr="00D673CF">
        <w:tc>
          <w:tcPr>
            <w:tcW w:w="2410" w:type="dxa"/>
          </w:tcPr>
          <w:p w:rsidR="00C75240" w:rsidRPr="00B531A2" w:rsidRDefault="00756426" w:rsidP="00D17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3715" w:type="dxa"/>
          </w:tcPr>
          <w:p w:rsidR="00C75240" w:rsidRPr="00B531A2" w:rsidRDefault="00756426" w:rsidP="00D17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right="-108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Вигоди</w:t>
            </w:r>
          </w:p>
        </w:tc>
        <w:tc>
          <w:tcPr>
            <w:tcW w:w="3373" w:type="dxa"/>
          </w:tcPr>
          <w:p w:rsidR="00C75240" w:rsidRPr="00B531A2" w:rsidRDefault="00756426" w:rsidP="00D172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Витрати</w:t>
            </w:r>
          </w:p>
        </w:tc>
      </w:tr>
      <w:tr w:rsidR="00B531A2" w:rsidRPr="00B531A2" w:rsidTr="00D673CF">
        <w:trPr>
          <w:trHeight w:val="1070"/>
        </w:trPr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3373" w:type="dxa"/>
          </w:tcPr>
          <w:p w:rsidR="00D673CF" w:rsidRPr="00B531A2" w:rsidRDefault="009E1414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Відсутність</w:t>
            </w:r>
            <w:r w:rsidR="0095011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механізму виявлення </w:t>
            </w:r>
            <w:r w:rsidR="00D673CF" w:rsidRPr="00B531A2">
              <w:rPr>
                <w:sz w:val="22"/>
                <w:szCs w:val="22"/>
              </w:rPr>
              <w:t xml:space="preserve"> істотного </w:t>
            </w:r>
            <w:r>
              <w:rPr>
                <w:sz w:val="22"/>
                <w:szCs w:val="22"/>
              </w:rPr>
              <w:t>коливання</w:t>
            </w:r>
            <w:r w:rsidR="00D673CF"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846449">
              <w:rPr>
                <w:sz w:val="22"/>
                <w:szCs w:val="22"/>
              </w:rPr>
              <w:t xml:space="preserve">на </w:t>
            </w:r>
            <w:r w:rsidR="00D673CF" w:rsidRPr="00B531A2">
              <w:rPr>
                <w:sz w:val="22"/>
                <w:szCs w:val="22"/>
              </w:rPr>
              <w:t xml:space="preserve">РДН, ВДР та балансуючому ринку, а також </w:t>
            </w:r>
            <w:r>
              <w:rPr>
                <w:sz w:val="22"/>
                <w:szCs w:val="22"/>
              </w:rPr>
              <w:t xml:space="preserve">процедури встановлення </w:t>
            </w:r>
            <w:r w:rsidRPr="00B531A2">
              <w:rPr>
                <w:sz w:val="22"/>
                <w:szCs w:val="22"/>
              </w:rPr>
              <w:t>Регулятор</w:t>
            </w:r>
            <w:r>
              <w:rPr>
                <w:sz w:val="22"/>
                <w:szCs w:val="22"/>
              </w:rPr>
              <w:t>ом граничних цін на організованих сегментах ринку</w:t>
            </w:r>
            <w:r w:rsidR="00D673CF" w:rsidRPr="00B531A2">
              <w:rPr>
                <w:sz w:val="22"/>
                <w:szCs w:val="22"/>
              </w:rPr>
              <w:t>.</w:t>
            </w:r>
          </w:p>
        </w:tc>
      </w:tr>
      <w:tr w:rsidR="00B531A2" w:rsidRPr="00B531A2" w:rsidTr="00D673CF"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2 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:rsidR="00D673CF" w:rsidRPr="00B531A2" w:rsidRDefault="009E1414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D673CF" w:rsidRPr="00B531A2">
              <w:rPr>
                <w:sz w:val="22"/>
                <w:szCs w:val="22"/>
              </w:rPr>
              <w:t xml:space="preserve">еалізація </w:t>
            </w:r>
            <w:r>
              <w:rPr>
                <w:sz w:val="22"/>
                <w:szCs w:val="22"/>
              </w:rPr>
              <w:t>положень Закону</w:t>
            </w:r>
            <w:r w:rsidR="00D673CF" w:rsidRPr="00B531A2">
              <w:rPr>
                <w:sz w:val="22"/>
                <w:szCs w:val="22"/>
              </w:rPr>
              <w:t xml:space="preserve"> </w:t>
            </w:r>
            <w:r w:rsidR="00CF39DC">
              <w:rPr>
                <w:sz w:val="22"/>
                <w:szCs w:val="22"/>
              </w:rPr>
              <w:t>в</w:t>
            </w:r>
            <w:r w:rsidR="00CF39DC" w:rsidRPr="00B531A2">
              <w:rPr>
                <w:sz w:val="22"/>
                <w:szCs w:val="22"/>
              </w:rPr>
              <w:t xml:space="preserve"> </w:t>
            </w:r>
            <w:r w:rsidR="00D673CF" w:rsidRPr="00B531A2">
              <w:rPr>
                <w:sz w:val="22"/>
                <w:szCs w:val="22"/>
              </w:rPr>
              <w:t xml:space="preserve">частині затвердження Методики, </w:t>
            </w:r>
            <w:r>
              <w:rPr>
                <w:sz w:val="22"/>
                <w:szCs w:val="22"/>
              </w:rPr>
              <w:t>запровадження механізму виявлення</w:t>
            </w:r>
            <w:r w:rsidR="00D673CF" w:rsidRPr="00B531A2">
              <w:rPr>
                <w:sz w:val="22"/>
                <w:szCs w:val="22"/>
              </w:rPr>
              <w:t xml:space="preserve"> випадків істотного </w:t>
            </w:r>
            <w:r>
              <w:rPr>
                <w:sz w:val="22"/>
                <w:szCs w:val="22"/>
              </w:rPr>
              <w:t>коливання</w:t>
            </w:r>
            <w:r w:rsidR="00D673CF" w:rsidRPr="00B531A2">
              <w:rPr>
                <w:sz w:val="22"/>
                <w:szCs w:val="22"/>
              </w:rPr>
              <w:t xml:space="preserve"> ціни електричної енергії на організованих сегментах ринку електричної енергії</w:t>
            </w:r>
            <w:r>
              <w:rPr>
                <w:sz w:val="22"/>
                <w:szCs w:val="22"/>
              </w:rPr>
              <w:t xml:space="preserve"> та встановлення граничних цін</w:t>
            </w:r>
            <w:r w:rsidR="00A75C6C">
              <w:rPr>
                <w:sz w:val="22"/>
                <w:szCs w:val="22"/>
              </w:rPr>
              <w:t xml:space="preserve"> у випадку</w:t>
            </w:r>
            <w:r w:rsidR="00CF39DC">
              <w:rPr>
                <w:sz w:val="22"/>
                <w:szCs w:val="22"/>
              </w:rPr>
              <w:t xml:space="preserve"> їх</w:t>
            </w:r>
            <w:r w:rsidR="00A75C6C">
              <w:rPr>
                <w:sz w:val="22"/>
                <w:szCs w:val="22"/>
              </w:rPr>
              <w:t xml:space="preserve"> істотного коливання</w:t>
            </w:r>
            <w:r w:rsidR="00D673CF" w:rsidRPr="00B531A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3373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</w:tr>
      <w:tr w:rsidR="00B531A2" w:rsidRPr="00B531A2" w:rsidTr="00D673CF"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lastRenderedPageBreak/>
              <w:t xml:space="preserve">Попередження випадків істотного </w:t>
            </w:r>
            <w:r w:rsidR="00DC54D3"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</w:t>
            </w:r>
            <w:r w:rsidR="006F063F">
              <w:rPr>
                <w:sz w:val="22"/>
                <w:szCs w:val="22"/>
              </w:rPr>
              <w:t xml:space="preserve"> на</w:t>
            </w:r>
            <w:r w:rsidRPr="00B531A2">
              <w:rPr>
                <w:sz w:val="22"/>
                <w:szCs w:val="22"/>
              </w:rPr>
              <w:t xml:space="preserve"> РДН, ВДР та балансуючому ринку шляхом використання інших</w:t>
            </w:r>
            <w:r w:rsidR="009E1414">
              <w:rPr>
                <w:sz w:val="22"/>
                <w:szCs w:val="22"/>
              </w:rPr>
              <w:t xml:space="preserve"> </w:t>
            </w:r>
            <w:r w:rsidRPr="00B531A2">
              <w:rPr>
                <w:sz w:val="22"/>
                <w:szCs w:val="22"/>
              </w:rPr>
              <w:t>інструментів державного регулювання на ринку електричної енергії.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71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lastRenderedPageBreak/>
              <w:t>Відсутні</w:t>
            </w:r>
          </w:p>
        </w:tc>
        <w:tc>
          <w:tcPr>
            <w:tcW w:w="3373" w:type="dxa"/>
          </w:tcPr>
          <w:p w:rsidR="009E1414" w:rsidRDefault="00950114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Встановлення </w:t>
            </w:r>
            <w:r w:rsidRPr="00B531A2">
              <w:rPr>
                <w:sz w:val="22"/>
                <w:szCs w:val="22"/>
              </w:rPr>
              <w:t>Регулятор</w:t>
            </w:r>
            <w:r>
              <w:rPr>
                <w:sz w:val="22"/>
                <w:szCs w:val="22"/>
              </w:rPr>
              <w:t xml:space="preserve">ом </w:t>
            </w:r>
            <w:r>
              <w:rPr>
                <w:sz w:val="22"/>
                <w:szCs w:val="22"/>
              </w:rPr>
              <w:lastRenderedPageBreak/>
              <w:t>граничних цін на організованих сегментах ринку</w:t>
            </w:r>
            <w:r w:rsidR="009E1414">
              <w:rPr>
                <w:sz w:val="22"/>
                <w:szCs w:val="22"/>
              </w:rPr>
              <w:t xml:space="preserve"> </w:t>
            </w:r>
            <w:r w:rsidRPr="00B531A2">
              <w:rPr>
                <w:sz w:val="22"/>
                <w:szCs w:val="22"/>
              </w:rPr>
              <w:t>шляхом використання інших</w:t>
            </w:r>
            <w:r>
              <w:rPr>
                <w:sz w:val="22"/>
                <w:szCs w:val="22"/>
              </w:rPr>
              <w:t xml:space="preserve"> </w:t>
            </w:r>
            <w:r w:rsidRPr="00B531A2">
              <w:rPr>
                <w:sz w:val="22"/>
                <w:szCs w:val="22"/>
              </w:rPr>
              <w:t>інструментів державного регулювання на ринку електричної енергії</w:t>
            </w:r>
            <w:r>
              <w:rPr>
                <w:sz w:val="22"/>
                <w:szCs w:val="22"/>
              </w:rPr>
              <w:t xml:space="preserve"> за в</w:t>
            </w:r>
            <w:r w:rsidR="009E1414">
              <w:rPr>
                <w:sz w:val="22"/>
                <w:szCs w:val="22"/>
              </w:rPr>
              <w:t>ідсутн</w:t>
            </w:r>
            <w:r>
              <w:rPr>
                <w:sz w:val="22"/>
                <w:szCs w:val="22"/>
              </w:rPr>
              <w:t>о</w:t>
            </w:r>
            <w:r w:rsidR="009E1414">
              <w:rPr>
                <w:sz w:val="22"/>
                <w:szCs w:val="22"/>
              </w:rPr>
              <w:t>ст</w:t>
            </w:r>
            <w:r>
              <w:rPr>
                <w:sz w:val="22"/>
                <w:szCs w:val="22"/>
              </w:rPr>
              <w:t>і</w:t>
            </w:r>
            <w:r w:rsidR="009E1414">
              <w:rPr>
                <w:sz w:val="22"/>
                <w:szCs w:val="22"/>
              </w:rPr>
              <w:t xml:space="preserve"> механізму виявлення </w:t>
            </w:r>
            <w:r w:rsidR="009E1414" w:rsidRPr="00B531A2">
              <w:rPr>
                <w:sz w:val="22"/>
                <w:szCs w:val="22"/>
              </w:rPr>
              <w:t xml:space="preserve"> істотного </w:t>
            </w:r>
            <w:r w:rsidR="009E1414">
              <w:rPr>
                <w:sz w:val="22"/>
                <w:szCs w:val="22"/>
              </w:rPr>
              <w:t>коливання</w:t>
            </w:r>
            <w:r w:rsidR="009E1414" w:rsidRPr="00B531A2">
              <w:rPr>
                <w:sz w:val="22"/>
                <w:szCs w:val="22"/>
              </w:rPr>
              <w:t xml:space="preserve"> ціни електричної енергії РДН, ВДР та балансуючому ринку</w:t>
            </w:r>
            <w:r>
              <w:rPr>
                <w:sz w:val="22"/>
                <w:szCs w:val="22"/>
              </w:rPr>
              <w:t>.</w:t>
            </w:r>
          </w:p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</w:tr>
    </w:tbl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</w:p>
    <w:p w:rsidR="00C75240" w:rsidRPr="00B531A2" w:rsidRDefault="00756426" w:rsidP="00F2388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  <w:r w:rsidRPr="00B531A2">
        <w:rPr>
          <w:sz w:val="28"/>
          <w:szCs w:val="28"/>
        </w:rPr>
        <w:t>Оцінка впливу на сферу інтересів громадян:</w:t>
      </w:r>
    </w:p>
    <w:tbl>
      <w:tblPr>
        <w:tblStyle w:val="aff9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B531A2" w:rsidRPr="00B531A2">
        <w:tc>
          <w:tcPr>
            <w:tcW w:w="2410" w:type="dxa"/>
          </w:tcPr>
          <w:p w:rsidR="00C75240" w:rsidRPr="00B531A2" w:rsidRDefault="00756426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Вид альтернативи</w:t>
            </w:r>
          </w:p>
          <w:p w:rsidR="00C75240" w:rsidRPr="00B531A2" w:rsidRDefault="00C75240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C75240" w:rsidRPr="00B531A2" w:rsidRDefault="00756426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right="-109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C75240" w:rsidRPr="00B531A2" w:rsidRDefault="00756426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Витрати</w:t>
            </w:r>
          </w:p>
        </w:tc>
      </w:tr>
      <w:tr w:rsidR="00B531A2" w:rsidRPr="00B531A2"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</w:tr>
      <w:tr w:rsidR="00B531A2" w:rsidRPr="00B531A2">
        <w:trPr>
          <w:trHeight w:val="986"/>
        </w:trPr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2 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</w:p>
        </w:tc>
      </w:tr>
      <w:tr w:rsidR="00B531A2" w:rsidRPr="00B531A2">
        <w:trPr>
          <w:trHeight w:val="986"/>
        </w:trPr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Попередження випадків істотного </w:t>
            </w:r>
            <w:r w:rsidR="00A75C6C"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6F063F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 шляхом використання інших інструментів державного регулювання на ринку електричної енергії.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</w:tr>
    </w:tbl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</w:p>
    <w:p w:rsidR="00C75240" w:rsidRPr="00B531A2" w:rsidRDefault="00756426" w:rsidP="00F2388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  <w:r w:rsidRPr="00B531A2">
        <w:rPr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affa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B531A2" w:rsidRPr="00B531A2" w:rsidTr="00D673CF">
        <w:trPr>
          <w:trHeight w:val="395"/>
        </w:trPr>
        <w:tc>
          <w:tcPr>
            <w:tcW w:w="2410" w:type="dxa"/>
          </w:tcPr>
          <w:p w:rsidR="00C75240" w:rsidRPr="00B531A2" w:rsidRDefault="00756426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Вид альтернативи</w:t>
            </w:r>
          </w:p>
        </w:tc>
        <w:tc>
          <w:tcPr>
            <w:tcW w:w="4395" w:type="dxa"/>
          </w:tcPr>
          <w:p w:rsidR="00C75240" w:rsidRPr="00B531A2" w:rsidRDefault="00756426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right="-108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:rsidR="00C75240" w:rsidRPr="00B531A2" w:rsidRDefault="00756426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Витрати</w:t>
            </w:r>
          </w:p>
        </w:tc>
      </w:tr>
      <w:tr w:rsidR="00B531A2" w:rsidRPr="00B531A2"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950114" w:rsidRDefault="00950114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Відсутність механізму виявлення </w:t>
            </w:r>
            <w:r w:rsidRPr="00B531A2">
              <w:rPr>
                <w:sz w:val="22"/>
                <w:szCs w:val="22"/>
              </w:rPr>
              <w:t xml:space="preserve"> істотного </w:t>
            </w:r>
            <w:r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6F063F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 xml:space="preserve">РДН, ВДР та балансуючому ринку, а також </w:t>
            </w:r>
            <w:r>
              <w:rPr>
                <w:sz w:val="22"/>
                <w:szCs w:val="22"/>
              </w:rPr>
              <w:t xml:space="preserve">процедури встановлення </w:t>
            </w:r>
            <w:r w:rsidRPr="00B531A2">
              <w:rPr>
                <w:sz w:val="22"/>
                <w:szCs w:val="22"/>
              </w:rPr>
              <w:t>Регулятор</w:t>
            </w:r>
            <w:r>
              <w:rPr>
                <w:sz w:val="22"/>
                <w:szCs w:val="22"/>
              </w:rPr>
              <w:t xml:space="preserve">ом граничних цін на організованих сегментах ринку </w:t>
            </w:r>
            <w:r w:rsidRPr="00B531A2">
              <w:rPr>
                <w:sz w:val="22"/>
                <w:szCs w:val="22"/>
              </w:rPr>
              <w:t xml:space="preserve">може призводити до несвоєчасного державного регулювання на ринку електричної </w:t>
            </w:r>
            <w:r w:rsidRPr="00B531A2">
              <w:rPr>
                <w:sz w:val="22"/>
                <w:szCs w:val="22"/>
              </w:rPr>
              <w:lastRenderedPageBreak/>
              <w:t>енергії</w:t>
            </w:r>
            <w:r>
              <w:rPr>
                <w:sz w:val="22"/>
                <w:szCs w:val="22"/>
              </w:rPr>
              <w:t xml:space="preserve"> та</w:t>
            </w:r>
            <w:r w:rsidR="00CA12A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як наслідок</w:t>
            </w:r>
            <w:r w:rsidR="00CA12A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CA12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фінансової незбалансованості учасників ринку</w:t>
            </w:r>
            <w:r w:rsidRPr="00B531A2">
              <w:rPr>
                <w:sz w:val="22"/>
                <w:szCs w:val="22"/>
              </w:rPr>
              <w:t>.</w:t>
            </w:r>
          </w:p>
          <w:p w:rsidR="00D673CF" w:rsidRPr="00B531A2" w:rsidRDefault="00D673CF" w:rsidP="009501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B531A2" w:rsidRPr="00B531A2">
        <w:trPr>
          <w:trHeight w:val="701"/>
        </w:trPr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lastRenderedPageBreak/>
              <w:t xml:space="preserve">Альтернатива 2 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950114" w:rsidRDefault="00950114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B531A2">
              <w:rPr>
                <w:sz w:val="22"/>
                <w:szCs w:val="22"/>
              </w:rPr>
              <w:t xml:space="preserve">еалізація </w:t>
            </w:r>
            <w:r>
              <w:rPr>
                <w:sz w:val="22"/>
                <w:szCs w:val="22"/>
              </w:rPr>
              <w:t>положень Закону</w:t>
            </w:r>
            <w:r w:rsidRPr="00B531A2">
              <w:rPr>
                <w:sz w:val="22"/>
                <w:szCs w:val="22"/>
              </w:rPr>
              <w:t xml:space="preserve"> </w:t>
            </w:r>
            <w:r w:rsidR="00CF39DC">
              <w:rPr>
                <w:sz w:val="22"/>
                <w:szCs w:val="22"/>
              </w:rPr>
              <w:t>в</w:t>
            </w:r>
            <w:r w:rsidRPr="00B531A2">
              <w:rPr>
                <w:sz w:val="22"/>
                <w:szCs w:val="22"/>
              </w:rPr>
              <w:t xml:space="preserve"> частині затвердження Методики, </w:t>
            </w:r>
            <w:r>
              <w:rPr>
                <w:sz w:val="22"/>
                <w:szCs w:val="22"/>
              </w:rPr>
              <w:t>запровадження механізму виявлення</w:t>
            </w:r>
            <w:r w:rsidRPr="00B531A2">
              <w:rPr>
                <w:sz w:val="22"/>
                <w:szCs w:val="22"/>
              </w:rPr>
              <w:t xml:space="preserve"> випадків істотного </w:t>
            </w:r>
            <w:r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 на організованих сегментах ринку електричної енергії</w:t>
            </w:r>
            <w:r>
              <w:rPr>
                <w:sz w:val="22"/>
                <w:szCs w:val="22"/>
              </w:rPr>
              <w:t xml:space="preserve"> та</w:t>
            </w:r>
            <w:r w:rsidR="00A75C6C">
              <w:rPr>
                <w:sz w:val="22"/>
                <w:szCs w:val="22"/>
              </w:rPr>
              <w:t xml:space="preserve"> можливість</w:t>
            </w:r>
            <w:r>
              <w:rPr>
                <w:sz w:val="22"/>
                <w:szCs w:val="22"/>
              </w:rPr>
              <w:t xml:space="preserve"> оперативн</w:t>
            </w:r>
            <w:r w:rsidR="005E3F42">
              <w:rPr>
                <w:sz w:val="22"/>
                <w:szCs w:val="22"/>
              </w:rPr>
              <w:t>ого</w:t>
            </w:r>
            <w:r>
              <w:rPr>
                <w:sz w:val="22"/>
                <w:szCs w:val="22"/>
              </w:rPr>
              <w:t xml:space="preserve"> встановлення граничних цін</w:t>
            </w:r>
            <w:r w:rsidR="00A75C6C">
              <w:rPr>
                <w:sz w:val="22"/>
                <w:szCs w:val="22"/>
              </w:rPr>
              <w:t xml:space="preserve"> у випадку </w:t>
            </w:r>
            <w:r w:rsidR="00CF39DC">
              <w:rPr>
                <w:sz w:val="22"/>
                <w:szCs w:val="22"/>
              </w:rPr>
              <w:t xml:space="preserve">їх </w:t>
            </w:r>
            <w:r w:rsidR="00A75C6C">
              <w:rPr>
                <w:sz w:val="22"/>
                <w:szCs w:val="22"/>
              </w:rPr>
              <w:t>істотного коливання</w:t>
            </w:r>
            <w:r w:rsidRPr="00B531A2">
              <w:rPr>
                <w:sz w:val="22"/>
                <w:szCs w:val="22"/>
              </w:rPr>
              <w:t>.</w:t>
            </w:r>
          </w:p>
          <w:p w:rsidR="00D673CF" w:rsidRPr="00B531A2" w:rsidRDefault="00D673CF" w:rsidP="00A75C6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</w:tr>
      <w:tr w:rsidR="00B531A2" w:rsidRPr="00B531A2">
        <w:trPr>
          <w:trHeight w:val="701"/>
        </w:trPr>
        <w:tc>
          <w:tcPr>
            <w:tcW w:w="2410" w:type="dxa"/>
          </w:tcPr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Попередження випадків істотного </w:t>
            </w:r>
            <w:r w:rsidR="00A75C6C"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A04938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 шляхом використання інших інструментів державного регулювання на ринку електричної енергії.</w:t>
            </w:r>
          </w:p>
          <w:p w:rsidR="00D673CF" w:rsidRPr="00B531A2" w:rsidRDefault="00D673CF" w:rsidP="00D673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D673CF" w:rsidRPr="00B531A2" w:rsidRDefault="00D673CF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:rsidR="00A75C6C" w:rsidRDefault="00A75C6C" w:rsidP="00A75C6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Встановлення </w:t>
            </w:r>
            <w:r w:rsidRPr="00B531A2">
              <w:rPr>
                <w:sz w:val="22"/>
                <w:szCs w:val="22"/>
              </w:rPr>
              <w:t>Регулятор</w:t>
            </w:r>
            <w:r>
              <w:rPr>
                <w:sz w:val="22"/>
                <w:szCs w:val="22"/>
              </w:rPr>
              <w:t xml:space="preserve">ом граничних цін на організованих сегментах ринку </w:t>
            </w:r>
            <w:r w:rsidRPr="00B531A2">
              <w:rPr>
                <w:sz w:val="22"/>
                <w:szCs w:val="22"/>
              </w:rPr>
              <w:t>шляхом використання інших</w:t>
            </w:r>
            <w:r>
              <w:rPr>
                <w:sz w:val="22"/>
                <w:szCs w:val="22"/>
              </w:rPr>
              <w:t xml:space="preserve"> </w:t>
            </w:r>
            <w:r w:rsidRPr="00B531A2">
              <w:rPr>
                <w:sz w:val="22"/>
                <w:szCs w:val="22"/>
              </w:rPr>
              <w:t>інструментів державного регулювання на ринку електричної енергії</w:t>
            </w:r>
            <w:r>
              <w:rPr>
                <w:sz w:val="22"/>
                <w:szCs w:val="22"/>
              </w:rPr>
              <w:t xml:space="preserve"> за відсутності механізму виявлення </w:t>
            </w:r>
            <w:r w:rsidRPr="00B531A2">
              <w:rPr>
                <w:sz w:val="22"/>
                <w:szCs w:val="22"/>
              </w:rPr>
              <w:t xml:space="preserve"> істотного </w:t>
            </w:r>
            <w:r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</w:t>
            </w:r>
            <w:r w:rsidR="00A04938">
              <w:rPr>
                <w:sz w:val="22"/>
                <w:szCs w:val="22"/>
              </w:rPr>
              <w:t xml:space="preserve"> на</w:t>
            </w:r>
            <w:r w:rsidRPr="00B531A2">
              <w:rPr>
                <w:sz w:val="22"/>
                <w:szCs w:val="22"/>
              </w:rPr>
              <w:t xml:space="preserve"> РДН, ВДР та балансуючому ринку</w:t>
            </w:r>
            <w:r>
              <w:rPr>
                <w:sz w:val="22"/>
                <w:szCs w:val="22"/>
              </w:rPr>
              <w:t>.</w:t>
            </w:r>
          </w:p>
          <w:p w:rsidR="00A75C6C" w:rsidRPr="00B531A2" w:rsidRDefault="00A75C6C" w:rsidP="00D673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</w:tr>
    </w:tbl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C75240" w:rsidRPr="00B531A2" w:rsidRDefault="00756426" w:rsidP="00292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b/>
          <w:sz w:val="28"/>
          <w:szCs w:val="28"/>
        </w:rPr>
      </w:pPr>
      <w:r w:rsidRPr="00B531A2">
        <w:rPr>
          <w:b/>
          <w:sz w:val="28"/>
          <w:szCs w:val="28"/>
        </w:rPr>
        <w:t>IV. Вибір найбільш оптимального альтернативного способу досягнення цілей</w:t>
      </w:r>
    </w:p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52"/>
        <w:jc w:val="center"/>
        <w:rPr>
          <w:b/>
          <w:sz w:val="28"/>
          <w:szCs w:val="28"/>
        </w:rPr>
      </w:pPr>
    </w:p>
    <w:tbl>
      <w:tblPr>
        <w:tblStyle w:val="affb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B531A2" w:rsidRPr="00B531A2">
        <w:tc>
          <w:tcPr>
            <w:tcW w:w="3686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410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 w:rsidRPr="00B531A2">
              <w:rPr>
                <w:sz w:val="22"/>
                <w:szCs w:val="22"/>
              </w:rPr>
              <w:t>бала</w:t>
            </w:r>
            <w:proofErr w:type="spellEnd"/>
          </w:p>
        </w:tc>
      </w:tr>
      <w:tr w:rsidR="00B531A2" w:rsidRPr="00B531A2">
        <w:trPr>
          <w:trHeight w:val="854"/>
        </w:trPr>
        <w:tc>
          <w:tcPr>
            <w:tcW w:w="3686" w:type="dxa"/>
          </w:tcPr>
          <w:p w:rsidR="00C75240" w:rsidRPr="00B531A2" w:rsidRDefault="00756426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</w:t>
            </w:r>
          </w:p>
          <w:p w:rsidR="00C75240" w:rsidRPr="00B531A2" w:rsidRDefault="00756426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1</w:t>
            </w:r>
          </w:p>
          <w:p w:rsidR="00C75240" w:rsidRPr="00B531A2" w:rsidRDefault="00C75240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B531A2" w:rsidRPr="00B531A2">
        <w:trPr>
          <w:trHeight w:val="1263"/>
        </w:trPr>
        <w:tc>
          <w:tcPr>
            <w:tcW w:w="3686" w:type="dxa"/>
          </w:tcPr>
          <w:p w:rsidR="00C75240" w:rsidRPr="00B531A2" w:rsidRDefault="00756426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2</w:t>
            </w:r>
          </w:p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(обрана альтернатива) </w:t>
            </w:r>
          </w:p>
          <w:p w:rsidR="00C75240" w:rsidRPr="00B531A2" w:rsidRDefault="00292F25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2410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C75240" w:rsidRPr="00B531A2" w:rsidRDefault="00756426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Дозволяє вирішити питання найбільш ефективним шляхом.</w:t>
            </w:r>
          </w:p>
        </w:tc>
      </w:tr>
      <w:tr w:rsidR="00B531A2" w:rsidRPr="00B531A2">
        <w:trPr>
          <w:trHeight w:val="998"/>
        </w:trPr>
        <w:tc>
          <w:tcPr>
            <w:tcW w:w="3686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</w:p>
          <w:p w:rsidR="00292F25" w:rsidRPr="00B531A2" w:rsidRDefault="00292F25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Попередження випадків істотного зростання/падіння ціни електричної енергії </w:t>
            </w:r>
            <w:r w:rsidR="003A47FD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 шляхом використання інших інструментів державного регулювання на ринку електричної енергії.</w:t>
            </w:r>
          </w:p>
          <w:p w:rsidR="00C75240" w:rsidRPr="00B531A2" w:rsidRDefault="00C75240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C75240" w:rsidRPr="00B531A2" w:rsidRDefault="00756426" w:rsidP="00292F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-37" w:left="1" w:hangingChars="34" w:hanging="75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:rsidR="00C75240" w:rsidRPr="00B531A2" w:rsidRDefault="00756426" w:rsidP="00292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Захід є надмірним.</w:t>
            </w:r>
          </w:p>
        </w:tc>
      </w:tr>
    </w:tbl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303" w:firstLine="727"/>
        <w:jc w:val="both"/>
        <w:rPr>
          <w:sz w:val="24"/>
          <w:szCs w:val="24"/>
        </w:rPr>
      </w:pPr>
    </w:p>
    <w:tbl>
      <w:tblPr>
        <w:tblStyle w:val="affc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3402"/>
        <w:gridCol w:w="1559"/>
        <w:gridCol w:w="2381"/>
      </w:tblGrid>
      <w:tr w:rsidR="00B531A2" w:rsidRPr="00B531A2" w:rsidTr="00DC7D11">
        <w:tc>
          <w:tcPr>
            <w:tcW w:w="2156" w:type="dxa"/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402" w:type="dxa"/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Вигоди (підсумок)</w:t>
            </w:r>
          </w:p>
        </w:tc>
        <w:tc>
          <w:tcPr>
            <w:tcW w:w="1559" w:type="dxa"/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Витрати (підсумок)</w:t>
            </w:r>
          </w:p>
        </w:tc>
        <w:tc>
          <w:tcPr>
            <w:tcW w:w="2381" w:type="dxa"/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Обґрунтування відповідного місця </w:t>
            </w:r>
            <w:r w:rsidRPr="00B531A2">
              <w:rPr>
                <w:sz w:val="22"/>
                <w:szCs w:val="22"/>
              </w:rPr>
              <w:lastRenderedPageBreak/>
              <w:t>альтернативи в рейтингу</w:t>
            </w:r>
          </w:p>
          <w:p w:rsidR="00C75240" w:rsidRPr="00B531A2" w:rsidRDefault="00C75240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</w:p>
        </w:tc>
      </w:tr>
      <w:tr w:rsidR="00B531A2" w:rsidRPr="00B531A2" w:rsidTr="00DC7D11">
        <w:trPr>
          <w:trHeight w:val="1213"/>
        </w:trPr>
        <w:tc>
          <w:tcPr>
            <w:tcW w:w="2156" w:type="dxa"/>
          </w:tcPr>
          <w:p w:rsidR="00751FE2" w:rsidRPr="00B531A2" w:rsidRDefault="00751FE2" w:rsidP="00751F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lastRenderedPageBreak/>
              <w:t>Альтернатива 1</w:t>
            </w:r>
          </w:p>
          <w:p w:rsidR="00751FE2" w:rsidRPr="00B531A2" w:rsidRDefault="00751FE2" w:rsidP="00751F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402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1559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2381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 не дозволяє вирішити поставлену задачу.</w:t>
            </w:r>
          </w:p>
        </w:tc>
      </w:tr>
      <w:tr w:rsidR="00B531A2" w:rsidRPr="00B531A2" w:rsidTr="00DC7D11">
        <w:trPr>
          <w:trHeight w:val="1930"/>
        </w:trPr>
        <w:tc>
          <w:tcPr>
            <w:tcW w:w="2156" w:type="dxa"/>
          </w:tcPr>
          <w:p w:rsidR="00751FE2" w:rsidRPr="00B531A2" w:rsidRDefault="00751FE2" w:rsidP="00751F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2</w:t>
            </w:r>
          </w:p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(обрана альтернатива) </w:t>
            </w:r>
          </w:p>
          <w:p w:rsidR="00751FE2" w:rsidRPr="00B531A2" w:rsidRDefault="00751FE2" w:rsidP="00751F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3402" w:type="dxa"/>
          </w:tcPr>
          <w:p w:rsidR="00BD6429" w:rsidRPr="00B531A2" w:rsidRDefault="00DC7D11" w:rsidP="00BD64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Прийняття</w:t>
            </w:r>
            <w:r w:rsidR="00751FE2" w:rsidRPr="00B531A2">
              <w:rPr>
                <w:sz w:val="22"/>
                <w:szCs w:val="22"/>
              </w:rPr>
              <w:t xml:space="preserve"> регуляторного </w:t>
            </w:r>
            <w:proofErr w:type="spellStart"/>
            <w:r w:rsidR="00751FE2" w:rsidRPr="00B531A2">
              <w:rPr>
                <w:sz w:val="22"/>
                <w:szCs w:val="22"/>
              </w:rPr>
              <w:t>акта</w:t>
            </w:r>
            <w:proofErr w:type="spellEnd"/>
            <w:r w:rsidR="00751FE2" w:rsidRPr="00B531A2">
              <w:rPr>
                <w:sz w:val="22"/>
                <w:szCs w:val="22"/>
              </w:rPr>
              <w:t xml:space="preserve"> дозволить забезпечити </w:t>
            </w:r>
            <w:r w:rsidR="00BD6429" w:rsidRPr="00B531A2">
              <w:rPr>
                <w:sz w:val="22"/>
                <w:szCs w:val="22"/>
              </w:rPr>
              <w:t>повну реалізацію повноважень Регулятора у частині затвердження Методики, удосконалення державного регулювання ринку електричної енергії та попередження випадків істотного зростання та/або падіння ціни електричної енергії на організованих сегментах ринку електричної енергії, що</w:t>
            </w:r>
            <w:r w:rsidR="003A47FD">
              <w:rPr>
                <w:sz w:val="22"/>
                <w:szCs w:val="22"/>
              </w:rPr>
              <w:t>,</w:t>
            </w:r>
            <w:r w:rsidR="00BD6429" w:rsidRPr="00B531A2">
              <w:rPr>
                <w:sz w:val="22"/>
                <w:szCs w:val="22"/>
              </w:rPr>
              <w:t xml:space="preserve"> в свою чергу</w:t>
            </w:r>
            <w:r w:rsidR="003A47FD">
              <w:rPr>
                <w:sz w:val="22"/>
                <w:szCs w:val="22"/>
              </w:rPr>
              <w:t>,</w:t>
            </w:r>
            <w:r w:rsidR="00BD6429" w:rsidRPr="00B531A2">
              <w:rPr>
                <w:sz w:val="22"/>
                <w:szCs w:val="22"/>
              </w:rPr>
              <w:t xml:space="preserve"> забезпечить можливість </w:t>
            </w:r>
            <w:r w:rsidRPr="00B531A2">
              <w:rPr>
                <w:sz w:val="22"/>
                <w:szCs w:val="22"/>
              </w:rPr>
              <w:t>своєчасного</w:t>
            </w:r>
            <w:r w:rsidR="00BD6429" w:rsidRPr="00B531A2">
              <w:rPr>
                <w:sz w:val="22"/>
                <w:szCs w:val="22"/>
              </w:rPr>
              <w:t xml:space="preserve"> державного регулювання на ринку електричної енергії.</w:t>
            </w:r>
          </w:p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B531A2" w:rsidRPr="00B531A2" w:rsidTr="00DC7D11">
        <w:trPr>
          <w:trHeight w:val="2022"/>
        </w:trPr>
        <w:tc>
          <w:tcPr>
            <w:tcW w:w="2156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</w:p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Попередження випадків істотного зростання/падіння ціни електричної енергії </w:t>
            </w:r>
            <w:r w:rsidR="00F64F84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 шляхом використання інших інструментів державного регулювання на ринку електричної енергії.</w:t>
            </w:r>
          </w:p>
          <w:p w:rsidR="00751FE2" w:rsidRPr="00B531A2" w:rsidRDefault="00751FE2" w:rsidP="00751F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</w:p>
        </w:tc>
        <w:tc>
          <w:tcPr>
            <w:tcW w:w="3402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</w:t>
            </w:r>
          </w:p>
        </w:tc>
        <w:tc>
          <w:tcPr>
            <w:tcW w:w="1559" w:type="dxa"/>
          </w:tcPr>
          <w:p w:rsidR="00751FE2" w:rsidRPr="00B531A2" w:rsidRDefault="00751FE2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381" w:type="dxa"/>
          </w:tcPr>
          <w:p w:rsidR="00751FE2" w:rsidRPr="00B531A2" w:rsidRDefault="00751FE2" w:rsidP="00856F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Альтернатива 3 </w:t>
            </w:r>
            <w:r w:rsidR="00BD6429" w:rsidRPr="00B531A2">
              <w:rPr>
                <w:sz w:val="22"/>
                <w:szCs w:val="22"/>
              </w:rPr>
              <w:t xml:space="preserve">потенційно </w:t>
            </w:r>
            <w:r w:rsidRPr="00B531A2">
              <w:rPr>
                <w:sz w:val="22"/>
                <w:szCs w:val="22"/>
              </w:rPr>
              <w:t>дозвол</w:t>
            </w:r>
            <w:r w:rsidR="00BD6429" w:rsidRPr="00B531A2">
              <w:rPr>
                <w:sz w:val="22"/>
                <w:szCs w:val="22"/>
              </w:rPr>
              <w:t>яє</w:t>
            </w:r>
            <w:r w:rsidRPr="00B531A2">
              <w:rPr>
                <w:sz w:val="22"/>
                <w:szCs w:val="22"/>
              </w:rPr>
              <w:t xml:space="preserve"> досягнути мети, разом з цим її досягнення </w:t>
            </w:r>
            <w:r w:rsidR="00A75C6C">
              <w:rPr>
                <w:sz w:val="22"/>
                <w:szCs w:val="22"/>
              </w:rPr>
              <w:t xml:space="preserve">не </w:t>
            </w:r>
            <w:r w:rsidRPr="00B531A2">
              <w:rPr>
                <w:sz w:val="22"/>
                <w:szCs w:val="22"/>
              </w:rPr>
              <w:t>буде</w:t>
            </w:r>
            <w:r w:rsidR="00A75C6C">
              <w:rPr>
                <w:sz w:val="22"/>
                <w:szCs w:val="22"/>
              </w:rPr>
              <w:t xml:space="preserve"> визначен</w:t>
            </w:r>
            <w:r w:rsidR="00F64F84">
              <w:rPr>
                <w:sz w:val="22"/>
                <w:szCs w:val="22"/>
              </w:rPr>
              <w:t>о</w:t>
            </w:r>
            <w:r w:rsidR="00A75C6C">
              <w:rPr>
                <w:sz w:val="22"/>
                <w:szCs w:val="22"/>
              </w:rPr>
              <w:t xml:space="preserve"> процедурно</w:t>
            </w:r>
          </w:p>
        </w:tc>
      </w:tr>
    </w:tbl>
    <w:p w:rsidR="00C75240" w:rsidRPr="00B531A2" w:rsidRDefault="00C75240" w:rsidP="00751F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p w:rsidR="00C75240" w:rsidRPr="00B531A2" w:rsidRDefault="00C75240" w:rsidP="00751FE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</w:pPr>
    </w:p>
    <w:tbl>
      <w:tblPr>
        <w:tblStyle w:val="affd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B531A2" w:rsidRPr="00B531A2">
        <w:tc>
          <w:tcPr>
            <w:tcW w:w="2410" w:type="dxa"/>
            <w:tcBorders>
              <w:bottom w:val="single" w:sz="4" w:space="0" w:color="000000"/>
            </w:tcBorders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C75240" w:rsidRPr="00B531A2" w:rsidRDefault="00756426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  <w:p w:rsidR="00C75240" w:rsidRPr="00B531A2" w:rsidRDefault="00C75240" w:rsidP="00751F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center"/>
              <w:rPr>
                <w:sz w:val="22"/>
                <w:szCs w:val="22"/>
              </w:rPr>
            </w:pPr>
          </w:p>
        </w:tc>
      </w:tr>
      <w:tr w:rsidR="00B531A2" w:rsidRPr="00B531A2">
        <w:tc>
          <w:tcPr>
            <w:tcW w:w="2410" w:type="dxa"/>
          </w:tcPr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1</w:t>
            </w:r>
          </w:p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Збереження чинного регулювання</w:t>
            </w:r>
          </w:p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Потенційна невизначеність можливості вирішення питання та несвоєчасність державного регулювання.</w:t>
            </w:r>
          </w:p>
        </w:tc>
      </w:tr>
      <w:tr w:rsidR="00B531A2" w:rsidRPr="00B531A2">
        <w:tc>
          <w:tcPr>
            <w:tcW w:w="2410" w:type="dxa"/>
          </w:tcPr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Альтернатива 2</w:t>
            </w:r>
          </w:p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(обрана альтернатива) </w:t>
            </w:r>
          </w:p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Прийняття нового регуляторного </w:t>
            </w:r>
            <w:proofErr w:type="spellStart"/>
            <w:r w:rsidRPr="00B531A2">
              <w:rPr>
                <w:sz w:val="22"/>
                <w:szCs w:val="22"/>
              </w:rPr>
              <w:t>акта</w:t>
            </w:r>
            <w:proofErr w:type="spellEnd"/>
          </w:p>
        </w:tc>
        <w:tc>
          <w:tcPr>
            <w:tcW w:w="4394" w:type="dxa"/>
          </w:tcPr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Обрана альтернатива дозволить вирішити проблему найефективнішим шляхом. Забезпечує досягнення цілей державного регулювання.</w:t>
            </w:r>
          </w:p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Відсутній</w:t>
            </w:r>
          </w:p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</w:p>
        </w:tc>
      </w:tr>
      <w:tr w:rsidR="00B531A2" w:rsidRPr="00B531A2">
        <w:tc>
          <w:tcPr>
            <w:tcW w:w="2410" w:type="dxa"/>
            <w:tcBorders>
              <w:bottom w:val="single" w:sz="4" w:space="0" w:color="000000"/>
            </w:tcBorders>
          </w:tcPr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1" w:firstLineChars="0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lastRenderedPageBreak/>
              <w:t xml:space="preserve">Альтернатива 3 </w:t>
            </w:r>
          </w:p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 xml:space="preserve">Попередження випадків істотного зростання/падіння ціни електричної енергії </w:t>
            </w:r>
            <w:r w:rsidR="000130F0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 шляхом використання інших інструментів державного регулювання на ринку електричної енергії.</w:t>
            </w:r>
          </w:p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:rsidR="00DC7D11" w:rsidRPr="00B531A2" w:rsidRDefault="00DC7D11" w:rsidP="00DC7D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 w:rsidRPr="00B531A2">
              <w:rPr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:rsidR="00933FBF" w:rsidRDefault="00933FBF" w:rsidP="00933F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Встановлення </w:t>
            </w:r>
            <w:r w:rsidRPr="00B531A2">
              <w:rPr>
                <w:sz w:val="22"/>
                <w:szCs w:val="22"/>
              </w:rPr>
              <w:t>Регулятор</w:t>
            </w:r>
            <w:r>
              <w:rPr>
                <w:sz w:val="22"/>
                <w:szCs w:val="22"/>
              </w:rPr>
              <w:t xml:space="preserve">ом граничних цін на організованих сегментах ринку </w:t>
            </w:r>
            <w:r w:rsidRPr="00B531A2">
              <w:rPr>
                <w:sz w:val="22"/>
                <w:szCs w:val="22"/>
              </w:rPr>
              <w:t>шляхом використання інших</w:t>
            </w:r>
            <w:r>
              <w:rPr>
                <w:sz w:val="22"/>
                <w:szCs w:val="22"/>
              </w:rPr>
              <w:t xml:space="preserve"> </w:t>
            </w:r>
            <w:r w:rsidRPr="00B531A2">
              <w:rPr>
                <w:sz w:val="22"/>
                <w:szCs w:val="22"/>
              </w:rPr>
              <w:t>інструментів державного регулювання на ринку електричної енергії</w:t>
            </w:r>
            <w:r>
              <w:rPr>
                <w:sz w:val="22"/>
                <w:szCs w:val="22"/>
              </w:rPr>
              <w:t xml:space="preserve"> за відсутності механізму виявлення </w:t>
            </w:r>
            <w:r w:rsidRPr="00B531A2">
              <w:rPr>
                <w:sz w:val="22"/>
                <w:szCs w:val="22"/>
              </w:rPr>
              <w:t xml:space="preserve"> істотного </w:t>
            </w:r>
            <w:r>
              <w:rPr>
                <w:sz w:val="22"/>
                <w:szCs w:val="22"/>
              </w:rPr>
              <w:t>коливання</w:t>
            </w:r>
            <w:r w:rsidRPr="00B531A2">
              <w:rPr>
                <w:sz w:val="22"/>
                <w:szCs w:val="22"/>
              </w:rPr>
              <w:t xml:space="preserve"> ціни електричної енергії </w:t>
            </w:r>
            <w:r w:rsidR="000130F0">
              <w:rPr>
                <w:sz w:val="22"/>
                <w:szCs w:val="22"/>
              </w:rPr>
              <w:t xml:space="preserve">на </w:t>
            </w:r>
            <w:r w:rsidRPr="00B531A2">
              <w:rPr>
                <w:sz w:val="22"/>
                <w:szCs w:val="22"/>
              </w:rPr>
              <w:t>РДН, ВДР та балансуючому ринку</w:t>
            </w:r>
            <w:r>
              <w:rPr>
                <w:sz w:val="22"/>
                <w:szCs w:val="22"/>
              </w:rPr>
              <w:t>.</w:t>
            </w:r>
          </w:p>
          <w:p w:rsidR="00DC7D11" w:rsidRPr="00B531A2" w:rsidRDefault="00DC7D11" w:rsidP="00DC7D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sz w:val="22"/>
                <w:szCs w:val="22"/>
                <w:highlight w:val="yellow"/>
              </w:rPr>
            </w:pPr>
          </w:p>
        </w:tc>
      </w:tr>
    </w:tbl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rPr>
          <w:sz w:val="28"/>
          <w:szCs w:val="28"/>
        </w:rPr>
      </w:pPr>
    </w:p>
    <w:p w:rsidR="00C75240" w:rsidRPr="00B531A2" w:rsidRDefault="00756426" w:rsidP="00BD64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276A56" w:rsidRPr="00B531A2" w:rsidRDefault="00276A56" w:rsidP="00276A5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Для досягнення поставленої мети пропонується прийняти новий регуляторний акт, </w:t>
      </w:r>
      <w:r w:rsidR="00316B88">
        <w:rPr>
          <w:sz w:val="28"/>
          <w:szCs w:val="28"/>
        </w:rPr>
        <w:t>що передбачає</w:t>
      </w:r>
      <w:r w:rsidR="00316B88" w:rsidRPr="00B531A2">
        <w:rPr>
          <w:sz w:val="28"/>
          <w:szCs w:val="28"/>
        </w:rPr>
        <w:t xml:space="preserve"> </w:t>
      </w:r>
      <w:r w:rsidRPr="00B531A2">
        <w:rPr>
          <w:sz w:val="28"/>
          <w:szCs w:val="28"/>
        </w:rPr>
        <w:t>порядок визначення істотного коливання цін на РДН, ВДР та балансуючому ринку та процедуру встановлення граничних цін на РДН, ВДР та балансуючому ринку</w:t>
      </w:r>
      <w:r w:rsidR="00316B88">
        <w:rPr>
          <w:sz w:val="28"/>
          <w:szCs w:val="28"/>
        </w:rPr>
        <w:t>.</w:t>
      </w:r>
    </w:p>
    <w:p w:rsidR="00C75240" w:rsidRPr="00B531A2" w:rsidRDefault="00756426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Впливу зовнішніх факторів, що можуть мати негативний вплив на виконання вимог регуляторного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>, не очікується.</w:t>
      </w:r>
    </w:p>
    <w:p w:rsidR="00C75240" w:rsidRPr="00B531A2" w:rsidRDefault="00756426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не розроблялась, оскільки введення в дію положень регуляторного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не призведе до настання будь-яких негативних наслідків.</w:t>
      </w:r>
    </w:p>
    <w:p w:rsidR="00C75240" w:rsidRPr="00B531A2" w:rsidRDefault="00756426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будуть </w:t>
      </w:r>
      <w:proofErr w:type="spellStart"/>
      <w:r w:rsidRPr="00B531A2">
        <w:rPr>
          <w:sz w:val="28"/>
          <w:szCs w:val="28"/>
        </w:rPr>
        <w:t>здійснюватись</w:t>
      </w:r>
      <w:proofErr w:type="spellEnd"/>
      <w:r w:rsidRPr="00B531A2">
        <w:rPr>
          <w:sz w:val="28"/>
          <w:szCs w:val="28"/>
        </w:rPr>
        <w:t xml:space="preserve"> державними органами, яким, відповідно до законодавства, надані такі повноваження.</w:t>
      </w:r>
    </w:p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</w:p>
    <w:p w:rsidR="00C75240" w:rsidRPr="00B531A2" w:rsidRDefault="00756426" w:rsidP="00BD64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t xml:space="preserve">VI. Обґрунтування запропонованого строку дії регуляторного </w:t>
      </w:r>
      <w:proofErr w:type="spellStart"/>
      <w:r w:rsidRPr="00B531A2">
        <w:rPr>
          <w:b/>
          <w:sz w:val="28"/>
          <w:szCs w:val="28"/>
        </w:rPr>
        <w:t>акта</w:t>
      </w:r>
      <w:proofErr w:type="spellEnd"/>
    </w:p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C75240" w:rsidRPr="00B531A2" w:rsidRDefault="00756426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Строк дії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необмежений.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</w:p>
    <w:p w:rsidR="00C75240" w:rsidRPr="00B531A2" w:rsidRDefault="00756426" w:rsidP="00BD642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t xml:space="preserve">VII. Визначення показників результативності дії регуляторного </w:t>
      </w:r>
      <w:proofErr w:type="spellStart"/>
      <w:r w:rsidRPr="00B531A2">
        <w:rPr>
          <w:b/>
          <w:sz w:val="28"/>
          <w:szCs w:val="28"/>
        </w:rPr>
        <w:t>акта</w:t>
      </w:r>
      <w:proofErr w:type="spellEnd"/>
    </w:p>
    <w:p w:rsidR="00C75240" w:rsidRPr="00B531A2" w:rsidRDefault="00C75240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  <w:bookmarkStart w:id="1" w:name="_heading=h.30j0zll" w:colFirst="0" w:colLast="0"/>
      <w:bookmarkEnd w:id="1"/>
    </w:p>
    <w:p w:rsidR="00C75240" w:rsidRPr="00B531A2" w:rsidRDefault="00756426" w:rsidP="00F2388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>Після набрання чинності регуляторним актом, його результативність визначатиметься такими показниками:</w:t>
      </w:r>
    </w:p>
    <w:p w:rsidR="00C75240" w:rsidRPr="00B531A2" w:rsidRDefault="00756426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дія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не передбачає надходжень та/або видатків з/до державного та місцевих бюджетів і державних цільових фондів, пов’язаних з дією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>;</w:t>
      </w:r>
    </w:p>
    <w:p w:rsidR="00C75240" w:rsidRPr="00B531A2" w:rsidRDefault="00756426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t xml:space="preserve">кількість суб'єктів господарювання та/або фізичних осіб, на яких поширюватиметься дія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>, – суб’єкти господарювання, що провадять діяльність у сферах енергетики та комунальних послуг;</w:t>
      </w:r>
    </w:p>
    <w:p w:rsidR="00C75240" w:rsidRPr="00B531A2" w:rsidRDefault="00756426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 w:rsidRPr="00B531A2">
        <w:rPr>
          <w:sz w:val="28"/>
          <w:szCs w:val="28"/>
        </w:rPr>
        <w:lastRenderedPageBreak/>
        <w:t xml:space="preserve">рівень поінформованості суб'єктів господарювання та/або фізичних осіб з основних положень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«</w:t>
      </w:r>
      <w:r w:rsidR="00856F41" w:rsidRPr="00856F41">
        <w:rPr>
          <w:sz w:val="28"/>
          <w:szCs w:val="28"/>
        </w:rPr>
        <w:t>Про затвердження Методики визначення істотного коливання цін та встановлення граничних цін на ринку «на добу наперед», внутрішньодобовому ринку та балансуючому ринку</w:t>
      </w:r>
      <w:r w:rsidRPr="00B531A2">
        <w:rPr>
          <w:sz w:val="28"/>
          <w:szCs w:val="28"/>
        </w:rPr>
        <w:t xml:space="preserve">», що має ознаки регуляторного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, разом з матеріалами, що обґрунтовують необхідність його прийняття, та аналізом впливу оприлюднено на офіційному вебсайті НКРЕКП в мережі Інтернет: </w:t>
      </w:r>
      <w:hyperlink r:id="rId8">
        <w:r w:rsidRPr="00B531A2">
          <w:rPr>
            <w:sz w:val="28"/>
            <w:szCs w:val="28"/>
          </w:rPr>
          <w:t>http://nerc.gov.ua</w:t>
        </w:r>
      </w:hyperlink>
      <w:r w:rsidRPr="00B531A2">
        <w:rPr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 НКРЕКП у межах компетенції надає необхідні роз’яснення щодо норм регуляторного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Pr="00B531A2">
        <w:rPr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B531A2">
        <w:rPr>
          <w:sz w:val="28"/>
          <w:szCs w:val="28"/>
        </w:rPr>
        <w:t>акта</w:t>
      </w:r>
      <w:proofErr w:type="spellEnd"/>
      <w:r w:rsidR="00856F41">
        <w:rPr>
          <w:sz w:val="28"/>
          <w:szCs w:val="28"/>
        </w:rPr>
        <w:t xml:space="preserve"> </w:t>
      </w:r>
      <w:r w:rsidRPr="00B531A2">
        <w:rPr>
          <w:sz w:val="28"/>
          <w:szCs w:val="28"/>
        </w:rPr>
        <w:t>після його прийняття.</w:t>
      </w:r>
    </w:p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C75240" w:rsidRPr="00B531A2" w:rsidRDefault="00756426" w:rsidP="00BD642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0"/>
        <w:jc w:val="center"/>
        <w:rPr>
          <w:sz w:val="28"/>
          <w:szCs w:val="28"/>
        </w:rPr>
      </w:pPr>
      <w:r w:rsidRPr="00B531A2">
        <w:rPr>
          <w:b/>
          <w:sz w:val="28"/>
          <w:szCs w:val="28"/>
        </w:rPr>
        <w:t xml:space="preserve">VІII. Очікувані результати прийняття регуляторного </w:t>
      </w:r>
      <w:proofErr w:type="spellStart"/>
      <w:r w:rsidRPr="00B531A2">
        <w:rPr>
          <w:b/>
          <w:sz w:val="28"/>
          <w:szCs w:val="28"/>
        </w:rPr>
        <w:t>акта</w:t>
      </w:r>
      <w:proofErr w:type="spellEnd"/>
    </w:p>
    <w:p w:rsidR="00C75240" w:rsidRPr="00B531A2" w:rsidRDefault="00C75240" w:rsidP="00F2388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center"/>
        <w:rPr>
          <w:sz w:val="28"/>
          <w:szCs w:val="28"/>
        </w:rPr>
      </w:pPr>
    </w:p>
    <w:p w:rsidR="00316B88" w:rsidRPr="007A71DE" w:rsidRDefault="00970205" w:rsidP="00316B8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1" w:firstLineChars="303" w:firstLine="84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2" w:name="_GoBack"/>
      <w:r>
        <w:rPr>
          <w:sz w:val="28"/>
          <w:szCs w:val="28"/>
        </w:rPr>
        <w:t>чі</w:t>
      </w:r>
      <w:bookmarkEnd w:id="2"/>
      <w:r>
        <w:rPr>
          <w:sz w:val="28"/>
          <w:szCs w:val="28"/>
        </w:rPr>
        <w:t>куваним результатом п</w:t>
      </w:r>
      <w:r w:rsidR="00316B88" w:rsidRPr="007A71DE">
        <w:rPr>
          <w:sz w:val="28"/>
          <w:szCs w:val="28"/>
        </w:rPr>
        <w:t xml:space="preserve">рийняття регуляторного </w:t>
      </w:r>
      <w:proofErr w:type="spellStart"/>
      <w:r w:rsidR="00316B88" w:rsidRPr="007A71DE">
        <w:rPr>
          <w:sz w:val="28"/>
          <w:szCs w:val="28"/>
        </w:rPr>
        <w:t>акта</w:t>
      </w:r>
      <w:proofErr w:type="spellEnd"/>
      <w:r w:rsidR="00316B88" w:rsidRPr="007A71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є </w:t>
      </w:r>
      <w:r w:rsidR="005A1A60" w:rsidRPr="007A71DE">
        <w:rPr>
          <w:sz w:val="28"/>
          <w:szCs w:val="28"/>
        </w:rPr>
        <w:t>реалізаці</w:t>
      </w:r>
      <w:r>
        <w:rPr>
          <w:sz w:val="28"/>
          <w:szCs w:val="28"/>
        </w:rPr>
        <w:t>я</w:t>
      </w:r>
      <w:r w:rsidR="005A1A60" w:rsidRPr="007A71DE">
        <w:rPr>
          <w:sz w:val="28"/>
          <w:szCs w:val="28"/>
        </w:rPr>
        <w:t xml:space="preserve"> положень Закону</w:t>
      </w:r>
      <w:r w:rsidR="005A1A60">
        <w:rPr>
          <w:sz w:val="28"/>
          <w:szCs w:val="28"/>
        </w:rPr>
        <w:t xml:space="preserve"> щодо </w:t>
      </w:r>
      <w:r w:rsidR="005A1A60" w:rsidRPr="007A71DE">
        <w:rPr>
          <w:sz w:val="28"/>
          <w:szCs w:val="28"/>
        </w:rPr>
        <w:t>затвердження Методики</w:t>
      </w:r>
      <w:r w:rsidR="005A1A60">
        <w:rPr>
          <w:sz w:val="28"/>
          <w:szCs w:val="28"/>
        </w:rPr>
        <w:t xml:space="preserve"> та </w:t>
      </w:r>
      <w:r w:rsidR="00316B88" w:rsidRPr="007A71DE">
        <w:rPr>
          <w:sz w:val="28"/>
          <w:szCs w:val="28"/>
        </w:rPr>
        <w:t>позитивн</w:t>
      </w:r>
      <w:r w:rsidR="00B22B1A">
        <w:rPr>
          <w:sz w:val="28"/>
          <w:szCs w:val="28"/>
        </w:rPr>
        <w:t>ий</w:t>
      </w:r>
      <w:r w:rsidR="00316B88" w:rsidRPr="007A71DE">
        <w:rPr>
          <w:sz w:val="28"/>
          <w:szCs w:val="28"/>
        </w:rPr>
        <w:t xml:space="preserve"> впли</w:t>
      </w:r>
      <w:r w:rsidR="00B22B1A">
        <w:rPr>
          <w:sz w:val="28"/>
          <w:szCs w:val="28"/>
        </w:rPr>
        <w:t>в</w:t>
      </w:r>
      <w:r w:rsidR="00316B88" w:rsidRPr="007A71DE">
        <w:rPr>
          <w:sz w:val="28"/>
          <w:szCs w:val="28"/>
        </w:rPr>
        <w:t xml:space="preserve"> на </w:t>
      </w:r>
      <w:r w:rsidR="00316B88">
        <w:rPr>
          <w:sz w:val="28"/>
          <w:szCs w:val="28"/>
        </w:rPr>
        <w:t xml:space="preserve">функціонування </w:t>
      </w:r>
      <w:r w:rsidR="00316B88" w:rsidRPr="007A71DE">
        <w:rPr>
          <w:sz w:val="28"/>
          <w:szCs w:val="28"/>
        </w:rPr>
        <w:t xml:space="preserve"> ринку електричної енергії, зокрема </w:t>
      </w:r>
      <w:r w:rsidR="00316B88">
        <w:rPr>
          <w:sz w:val="28"/>
          <w:szCs w:val="28"/>
        </w:rPr>
        <w:t>шляхом</w:t>
      </w:r>
      <w:r w:rsidR="00316B88" w:rsidRPr="004C2AB5">
        <w:rPr>
          <w:sz w:val="28"/>
          <w:szCs w:val="28"/>
        </w:rPr>
        <w:t xml:space="preserve"> </w:t>
      </w:r>
      <w:r w:rsidR="00316B88" w:rsidRPr="007A71DE">
        <w:rPr>
          <w:sz w:val="28"/>
          <w:szCs w:val="28"/>
        </w:rPr>
        <w:t xml:space="preserve">запровадження механізму виявлення випадків істотного коливання ціни електричної енергії на організованих сегментах ринку електричної енергії та </w:t>
      </w:r>
      <w:r w:rsidR="00316B88">
        <w:rPr>
          <w:sz w:val="28"/>
          <w:szCs w:val="28"/>
        </w:rPr>
        <w:t>забезпечення</w:t>
      </w:r>
      <w:r w:rsidR="00316B88" w:rsidRPr="007A71DE">
        <w:rPr>
          <w:sz w:val="28"/>
          <w:szCs w:val="28"/>
        </w:rPr>
        <w:t xml:space="preserve"> можлив</w:t>
      </w:r>
      <w:r w:rsidR="00316B88">
        <w:rPr>
          <w:sz w:val="28"/>
          <w:szCs w:val="28"/>
        </w:rPr>
        <w:t>ості</w:t>
      </w:r>
      <w:r w:rsidR="00316B88" w:rsidRPr="007A71DE">
        <w:rPr>
          <w:sz w:val="28"/>
          <w:szCs w:val="28"/>
        </w:rPr>
        <w:t xml:space="preserve"> оперативного встановлення граничних цін у випадку істотного коливання цін</w:t>
      </w:r>
      <w:r w:rsidR="005A1A60">
        <w:rPr>
          <w:sz w:val="28"/>
          <w:szCs w:val="28"/>
        </w:rPr>
        <w:t>и.</w:t>
      </w:r>
      <w:r w:rsidR="00316B88">
        <w:rPr>
          <w:sz w:val="28"/>
          <w:szCs w:val="28"/>
        </w:rPr>
        <w:t xml:space="preserve"> </w:t>
      </w:r>
    </w:p>
    <w:p w:rsidR="00316B88" w:rsidRPr="007A71DE" w:rsidRDefault="00316B88" w:rsidP="00316B8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303" w:firstLine="852"/>
        <w:jc w:val="both"/>
        <w:rPr>
          <w:b/>
          <w:sz w:val="28"/>
          <w:szCs w:val="28"/>
        </w:rPr>
      </w:pPr>
    </w:p>
    <w:p w:rsidR="00316B88" w:rsidRPr="007A71DE" w:rsidRDefault="00316B88" w:rsidP="00316B8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303" w:firstLine="852"/>
        <w:jc w:val="both"/>
        <w:rPr>
          <w:b/>
          <w:sz w:val="28"/>
          <w:szCs w:val="28"/>
        </w:rPr>
      </w:pPr>
    </w:p>
    <w:p w:rsidR="00C75240" w:rsidRPr="00DC70B7" w:rsidRDefault="00C75240" w:rsidP="00F2388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303" w:firstLine="852"/>
        <w:jc w:val="both"/>
        <w:rPr>
          <w:b/>
          <w:sz w:val="28"/>
          <w:szCs w:val="28"/>
        </w:rPr>
      </w:pPr>
    </w:p>
    <w:p w:rsidR="00C75240" w:rsidRPr="00B531A2" w:rsidRDefault="00756426" w:rsidP="00DC7D11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Chars="0" w:left="1" w:firstLineChars="0"/>
        <w:jc w:val="both"/>
        <w:rPr>
          <w:rFonts w:ascii="Arial" w:eastAsia="Arial" w:hAnsi="Arial" w:cs="Arial"/>
          <w:b/>
          <w:i/>
          <w:sz w:val="28"/>
          <w:szCs w:val="28"/>
        </w:rPr>
      </w:pPr>
      <w:r w:rsidRPr="00B531A2">
        <w:rPr>
          <w:b/>
          <w:sz w:val="28"/>
          <w:szCs w:val="28"/>
        </w:rPr>
        <w:t xml:space="preserve">Голова НКРЕКП </w:t>
      </w:r>
      <w:r w:rsidRPr="00B531A2">
        <w:rPr>
          <w:b/>
          <w:sz w:val="28"/>
          <w:szCs w:val="28"/>
        </w:rPr>
        <w:tab/>
        <w:t>К. Ущаповський</w:t>
      </w:r>
    </w:p>
    <w:sectPr w:rsidR="00C75240" w:rsidRPr="00B531A2">
      <w:headerReference w:type="default" r:id="rId9"/>
      <w:pgSz w:w="11907" w:h="16840"/>
      <w:pgMar w:top="426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3B9F" w:rsidRDefault="00A53B9F">
      <w:pPr>
        <w:spacing w:line="240" w:lineRule="auto"/>
        <w:ind w:left="0" w:hanging="2"/>
      </w:pPr>
      <w:r>
        <w:separator/>
      </w:r>
    </w:p>
  </w:endnote>
  <w:endnote w:type="continuationSeparator" w:id="0">
    <w:p w:rsidR="00A53B9F" w:rsidRDefault="00A53B9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3B9F" w:rsidRDefault="00A53B9F">
      <w:pPr>
        <w:spacing w:line="240" w:lineRule="auto"/>
        <w:ind w:left="0" w:hanging="2"/>
      </w:pPr>
      <w:r>
        <w:separator/>
      </w:r>
    </w:p>
  </w:footnote>
  <w:footnote w:type="continuationSeparator" w:id="0">
    <w:p w:rsidR="00A53B9F" w:rsidRDefault="00A53B9F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5240" w:rsidRDefault="007564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22B1A">
      <w:rPr>
        <w:noProof/>
        <w:color w:val="000000"/>
      </w:rPr>
      <w:t>7</w:t>
    </w:r>
    <w:r>
      <w:rPr>
        <w:color w:val="000000"/>
      </w:rPr>
      <w:fldChar w:fldCharType="end"/>
    </w:r>
  </w:p>
  <w:p w:rsidR="00C75240" w:rsidRDefault="00C752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C43BA"/>
    <w:multiLevelType w:val="multilevel"/>
    <w:tmpl w:val="D8FCBBA8"/>
    <w:lvl w:ilvl="0">
      <w:start w:val="1"/>
      <w:numFmt w:val="decimal"/>
      <w:lvlText w:val="%1.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" w15:restartNumberingAfterBreak="0">
    <w:nsid w:val="23B33332"/>
    <w:multiLevelType w:val="multilevel"/>
    <w:tmpl w:val="9AC4DA6E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2" w15:restartNumberingAfterBreak="0">
    <w:nsid w:val="41D71C65"/>
    <w:multiLevelType w:val="multilevel"/>
    <w:tmpl w:val="A16C5568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4D8D5691"/>
    <w:multiLevelType w:val="multilevel"/>
    <w:tmpl w:val="79701908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4" w15:restartNumberingAfterBreak="0">
    <w:nsid w:val="59182552"/>
    <w:multiLevelType w:val="multilevel"/>
    <w:tmpl w:val="DDF8F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240"/>
    <w:rsid w:val="000130F0"/>
    <w:rsid w:val="000548D3"/>
    <w:rsid w:val="00132152"/>
    <w:rsid w:val="001E62C5"/>
    <w:rsid w:val="00276A56"/>
    <w:rsid w:val="00292F25"/>
    <w:rsid w:val="002B77D6"/>
    <w:rsid w:val="00316B88"/>
    <w:rsid w:val="003A47FD"/>
    <w:rsid w:val="00417024"/>
    <w:rsid w:val="0046390C"/>
    <w:rsid w:val="004E2366"/>
    <w:rsid w:val="004E7A26"/>
    <w:rsid w:val="005A1A60"/>
    <w:rsid w:val="005E3F42"/>
    <w:rsid w:val="00655E00"/>
    <w:rsid w:val="00662494"/>
    <w:rsid w:val="006F063F"/>
    <w:rsid w:val="00751FE2"/>
    <w:rsid w:val="00756426"/>
    <w:rsid w:val="00787658"/>
    <w:rsid w:val="007E2067"/>
    <w:rsid w:val="00846449"/>
    <w:rsid w:val="00856F41"/>
    <w:rsid w:val="00861CC3"/>
    <w:rsid w:val="00897CAB"/>
    <w:rsid w:val="008E44A5"/>
    <w:rsid w:val="00903AE1"/>
    <w:rsid w:val="00933FBF"/>
    <w:rsid w:val="00950114"/>
    <w:rsid w:val="00970205"/>
    <w:rsid w:val="009E1414"/>
    <w:rsid w:val="00A04938"/>
    <w:rsid w:val="00A53B9F"/>
    <w:rsid w:val="00A75C6C"/>
    <w:rsid w:val="00B049B1"/>
    <w:rsid w:val="00B22B1A"/>
    <w:rsid w:val="00B531A2"/>
    <w:rsid w:val="00BA4696"/>
    <w:rsid w:val="00BC30E7"/>
    <w:rsid w:val="00BD6429"/>
    <w:rsid w:val="00C20D87"/>
    <w:rsid w:val="00C75240"/>
    <w:rsid w:val="00CA12A6"/>
    <w:rsid w:val="00CF39DC"/>
    <w:rsid w:val="00D17245"/>
    <w:rsid w:val="00D673CF"/>
    <w:rsid w:val="00D73771"/>
    <w:rsid w:val="00DC54D3"/>
    <w:rsid w:val="00DC70B7"/>
    <w:rsid w:val="00DC7D11"/>
    <w:rsid w:val="00DF7B25"/>
    <w:rsid w:val="00E23353"/>
    <w:rsid w:val="00E31B99"/>
    <w:rsid w:val="00E61EC9"/>
    <w:rsid w:val="00F22ECF"/>
    <w:rsid w:val="00F23884"/>
    <w:rsid w:val="00F417E3"/>
    <w:rsid w:val="00F64F84"/>
    <w:rsid w:val="00FD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1DE5"/>
  <w15:docId w15:val="{32F792FD-9431-43CD-985E-4B7EE697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6429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  <w:lang w:eastAsia="ru-RU"/>
    </w:rPr>
  </w:style>
  <w:style w:type="paragraph" w:styleId="1">
    <w:name w:val="heading 1"/>
    <w:basedOn w:val="a"/>
    <w:next w:val="a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uiPriority w:val="10"/>
    <w:qFormat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ru-RU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U8b0I45k3duciAt6rZ/AY8TOPw==">AMUW2mWSVGcjavoh9TwHKpBOsvVE1z6BG3yMjEaXycbr3SyRgEhnZtNGvA8LXeNwMsawuOv3Yz47sGCB4/IvM8jq6iQ1l3eo0MebrMWwRTBwlPaA1zpU5UGcxaMNpmcM/V5it2ij22KO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8049</Words>
  <Characters>4589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Rusnak</dc:creator>
  <cp:lastModifiedBy>Дмитро Рохвадзе</cp:lastModifiedBy>
  <cp:revision>2</cp:revision>
  <dcterms:created xsi:type="dcterms:W3CDTF">2022-09-02T07:31:00Z</dcterms:created>
  <dcterms:modified xsi:type="dcterms:W3CDTF">2022-09-02T07:31:00Z</dcterms:modified>
</cp:coreProperties>
</file>