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2D58" w:rsidRPr="00940683" w:rsidRDefault="001F2D58" w:rsidP="001F2D58">
      <w:pPr>
        <w:spacing w:after="0" w:line="240" w:lineRule="auto"/>
        <w:jc w:val="center"/>
        <w:rPr>
          <w:rFonts w:ascii="Times New Roman" w:hAnsi="Times New Roman" w:cs="Times New Roman"/>
          <w:b/>
          <w:sz w:val="26"/>
          <w:szCs w:val="26"/>
        </w:rPr>
      </w:pPr>
      <w:r w:rsidRPr="00940683">
        <w:rPr>
          <w:rFonts w:ascii="Times New Roman" w:hAnsi="Times New Roman" w:cs="Times New Roman"/>
          <w:b/>
          <w:sz w:val="26"/>
          <w:szCs w:val="26"/>
        </w:rPr>
        <w:t>ПОРІВНЯЛЬНА ТАБЛИЦЯ</w:t>
      </w:r>
    </w:p>
    <w:p w:rsidR="001F2D58" w:rsidRDefault="001F2D58" w:rsidP="001F2D58">
      <w:pPr>
        <w:spacing w:after="0" w:line="240" w:lineRule="auto"/>
        <w:jc w:val="center"/>
        <w:rPr>
          <w:rFonts w:ascii="Times New Roman" w:hAnsi="Times New Roman" w:cs="Times New Roman"/>
          <w:b/>
          <w:sz w:val="26"/>
          <w:szCs w:val="26"/>
        </w:rPr>
      </w:pPr>
      <w:r w:rsidRPr="001F2D58">
        <w:rPr>
          <w:rFonts w:ascii="Times New Roman" w:hAnsi="Times New Roman" w:cs="Times New Roman"/>
          <w:b/>
          <w:sz w:val="26"/>
          <w:szCs w:val="26"/>
        </w:rPr>
        <w:t xml:space="preserve">проєкту </w:t>
      </w:r>
      <w:r w:rsidRPr="00A017D1">
        <w:rPr>
          <w:rFonts w:ascii="Times New Roman" w:hAnsi="Times New Roman" w:cs="Times New Roman"/>
          <w:b/>
          <w:sz w:val="26"/>
          <w:szCs w:val="26"/>
        </w:rPr>
        <w:t xml:space="preserve">постанови НКРЕКП, що має ознаки регуляторного </w:t>
      </w:r>
      <w:proofErr w:type="spellStart"/>
      <w:r w:rsidRPr="00A017D1">
        <w:rPr>
          <w:rFonts w:ascii="Times New Roman" w:hAnsi="Times New Roman" w:cs="Times New Roman"/>
          <w:b/>
          <w:sz w:val="26"/>
          <w:szCs w:val="26"/>
        </w:rPr>
        <w:t>акта</w:t>
      </w:r>
      <w:proofErr w:type="spellEnd"/>
    </w:p>
    <w:p w:rsidR="001F2D58" w:rsidRPr="001F2D58" w:rsidRDefault="001F2D58" w:rsidP="001F2D58">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w:t>
      </w:r>
      <w:r w:rsidRPr="001F2D58">
        <w:rPr>
          <w:rFonts w:ascii="Times New Roman" w:hAnsi="Times New Roman" w:cs="Times New Roman"/>
          <w:b/>
          <w:sz w:val="26"/>
          <w:szCs w:val="26"/>
        </w:rPr>
        <w:t>Про затвердження Змін до   Методики обрахування плати за спільне використання технологічних електричних мереж</w:t>
      </w:r>
      <w:r>
        <w:rPr>
          <w:rFonts w:ascii="Times New Roman" w:hAnsi="Times New Roman" w:cs="Times New Roman"/>
          <w:b/>
          <w:sz w:val="26"/>
          <w:szCs w:val="26"/>
        </w:rPr>
        <w:t>"</w:t>
      </w:r>
    </w:p>
    <w:p w:rsidR="000774FD" w:rsidRPr="001F2D58" w:rsidRDefault="000774FD" w:rsidP="001F2D58">
      <w:pPr>
        <w:spacing w:after="0" w:line="240" w:lineRule="auto"/>
        <w:jc w:val="center"/>
        <w:rPr>
          <w:rFonts w:ascii="Times New Roman" w:hAnsi="Times New Roman" w:cs="Times New Roman"/>
          <w:b/>
          <w:sz w:val="26"/>
          <w:szCs w:val="26"/>
        </w:rPr>
      </w:pPr>
    </w:p>
    <w:tbl>
      <w:tblPr>
        <w:tblStyle w:val="a3"/>
        <w:tblW w:w="14596" w:type="dxa"/>
        <w:tblLook w:val="04A0" w:firstRow="1" w:lastRow="0" w:firstColumn="1" w:lastColumn="0" w:noHBand="0" w:noVBand="1"/>
      </w:tblPr>
      <w:tblGrid>
        <w:gridCol w:w="7366"/>
        <w:gridCol w:w="7230"/>
      </w:tblGrid>
      <w:tr w:rsidR="00C157E5" w:rsidRPr="001F699C" w:rsidTr="00A0379C">
        <w:tc>
          <w:tcPr>
            <w:tcW w:w="7366" w:type="dxa"/>
          </w:tcPr>
          <w:p w:rsidR="00C157E5" w:rsidRPr="001F699C" w:rsidRDefault="00C157E5" w:rsidP="00E70461">
            <w:pPr>
              <w:ind w:firstLine="284"/>
              <w:jc w:val="center"/>
              <w:rPr>
                <w:rFonts w:ascii="Times New Roman" w:hAnsi="Times New Roman" w:cs="Times New Roman"/>
                <w:b/>
                <w:sz w:val="24"/>
                <w:szCs w:val="24"/>
              </w:rPr>
            </w:pPr>
            <w:r w:rsidRPr="001F699C">
              <w:rPr>
                <w:rFonts w:ascii="Times New Roman" w:hAnsi="Times New Roman" w:cs="Times New Roman"/>
                <w:b/>
                <w:sz w:val="24"/>
                <w:szCs w:val="24"/>
              </w:rPr>
              <w:t>Чинна редакція пунктів, до яких пропонуються зміни</w:t>
            </w:r>
          </w:p>
        </w:tc>
        <w:tc>
          <w:tcPr>
            <w:tcW w:w="7230" w:type="dxa"/>
          </w:tcPr>
          <w:p w:rsidR="00C157E5" w:rsidRPr="001F699C" w:rsidRDefault="00C157E5" w:rsidP="00E70461">
            <w:pPr>
              <w:ind w:firstLine="284"/>
              <w:jc w:val="center"/>
              <w:rPr>
                <w:rFonts w:ascii="Times New Roman" w:hAnsi="Times New Roman" w:cs="Times New Roman"/>
                <w:b/>
                <w:sz w:val="24"/>
                <w:szCs w:val="24"/>
              </w:rPr>
            </w:pPr>
            <w:r w:rsidRPr="001F699C">
              <w:rPr>
                <w:rFonts w:ascii="Times New Roman" w:hAnsi="Times New Roman" w:cs="Times New Roman"/>
                <w:b/>
                <w:sz w:val="24"/>
                <w:szCs w:val="24"/>
              </w:rPr>
              <w:t>Редакція із змінами</w:t>
            </w:r>
          </w:p>
        </w:tc>
      </w:tr>
      <w:tr w:rsidR="001C7BBD" w:rsidRPr="001F699C" w:rsidTr="00A0379C">
        <w:tc>
          <w:tcPr>
            <w:tcW w:w="14596" w:type="dxa"/>
            <w:gridSpan w:val="2"/>
          </w:tcPr>
          <w:p w:rsidR="001C7BBD" w:rsidRPr="001F699C" w:rsidRDefault="001C7BBD" w:rsidP="001C7BBD">
            <w:pPr>
              <w:ind w:firstLine="284"/>
              <w:jc w:val="center"/>
              <w:rPr>
                <w:rFonts w:ascii="Times New Roman" w:hAnsi="Times New Roman" w:cs="Times New Roman"/>
                <w:sz w:val="24"/>
                <w:szCs w:val="24"/>
              </w:rPr>
            </w:pPr>
            <w:r>
              <w:rPr>
                <w:rFonts w:ascii="Times New Roman" w:hAnsi="Times New Roman" w:cs="Times New Roman"/>
                <w:sz w:val="24"/>
                <w:szCs w:val="24"/>
              </w:rPr>
              <w:t>Зміни до Методики</w:t>
            </w:r>
          </w:p>
        </w:tc>
      </w:tr>
      <w:tr w:rsidR="00C157E5" w:rsidRPr="001F699C" w:rsidTr="00A0379C">
        <w:trPr>
          <w:trHeight w:val="1366"/>
        </w:trPr>
        <w:tc>
          <w:tcPr>
            <w:tcW w:w="7366" w:type="dxa"/>
          </w:tcPr>
          <w:p w:rsidR="00C157E5" w:rsidRDefault="00C157E5" w:rsidP="00E70461">
            <w:pPr>
              <w:ind w:firstLine="284"/>
              <w:jc w:val="both"/>
              <w:rPr>
                <w:rFonts w:ascii="Times New Roman" w:hAnsi="Times New Roman" w:cs="Times New Roman"/>
                <w:sz w:val="24"/>
                <w:szCs w:val="24"/>
              </w:rPr>
            </w:pPr>
            <w:r w:rsidRPr="002B7DBC">
              <w:rPr>
                <w:rFonts w:ascii="Times New Roman" w:hAnsi="Times New Roman" w:cs="Times New Roman"/>
                <w:sz w:val="24"/>
                <w:szCs w:val="24"/>
              </w:rPr>
              <w:t>1.4. Перелік операційних витрат, що включаються до кошторису витрат на утримання технологічних електричних мереж спільного використання основного споживача, визначається відповідно до розділу II "Порядок складення кошторису обґрунтованих річних витрат основного споживача на утримання електричних мереж спільного використання" цієї Методики за формою, наведеною в додатку 1.</w:t>
            </w:r>
          </w:p>
        </w:tc>
        <w:tc>
          <w:tcPr>
            <w:tcW w:w="7230" w:type="dxa"/>
          </w:tcPr>
          <w:p w:rsidR="00C157E5" w:rsidRDefault="00C157E5" w:rsidP="0083246E">
            <w:pPr>
              <w:ind w:firstLine="284"/>
              <w:jc w:val="both"/>
              <w:rPr>
                <w:rFonts w:ascii="Times New Roman" w:hAnsi="Times New Roman" w:cs="Times New Roman"/>
                <w:sz w:val="24"/>
                <w:szCs w:val="24"/>
              </w:rPr>
            </w:pPr>
            <w:r w:rsidRPr="002B7DBC">
              <w:rPr>
                <w:rFonts w:ascii="Times New Roman" w:hAnsi="Times New Roman" w:cs="Times New Roman"/>
                <w:sz w:val="24"/>
                <w:szCs w:val="24"/>
              </w:rPr>
              <w:t>1.4. Перелік операційних витрат, що включаються до кошторису витрат на утримання технологічних електричних мереж спільного використання основного споживача, визначається відповідно до розділу II "Порядок складення кошторису обґрунтованих річних витрат основного споживача на утримання електричних мереж спільного використання" цієї Методики за формою, наведеною в додатку 1</w:t>
            </w:r>
            <w:r>
              <w:rPr>
                <w:rFonts w:ascii="Times New Roman" w:hAnsi="Times New Roman" w:cs="Times New Roman"/>
                <w:sz w:val="24"/>
                <w:szCs w:val="24"/>
              </w:rPr>
              <w:t xml:space="preserve"> </w:t>
            </w:r>
            <w:r w:rsidRPr="002B7DBC">
              <w:rPr>
                <w:rFonts w:ascii="Times New Roman" w:hAnsi="Times New Roman" w:cs="Times New Roman"/>
                <w:b/>
                <w:sz w:val="24"/>
                <w:szCs w:val="24"/>
                <w:highlight w:val="yellow"/>
              </w:rPr>
              <w:t>до цієї Методики</w:t>
            </w:r>
            <w:r w:rsidRPr="002B7DBC">
              <w:rPr>
                <w:rFonts w:ascii="Times New Roman" w:hAnsi="Times New Roman" w:cs="Times New Roman"/>
                <w:sz w:val="24"/>
                <w:szCs w:val="24"/>
              </w:rPr>
              <w:t>.</w:t>
            </w:r>
          </w:p>
        </w:tc>
      </w:tr>
      <w:tr w:rsidR="00C157E5" w:rsidRPr="001F699C" w:rsidTr="00A0379C">
        <w:trPr>
          <w:trHeight w:val="1366"/>
        </w:trPr>
        <w:tc>
          <w:tcPr>
            <w:tcW w:w="7366" w:type="dxa"/>
          </w:tcPr>
          <w:p w:rsidR="00C157E5" w:rsidRDefault="00C157E5" w:rsidP="00E70461">
            <w:pPr>
              <w:ind w:firstLine="284"/>
              <w:jc w:val="both"/>
              <w:rPr>
                <w:rFonts w:ascii="Times New Roman" w:hAnsi="Times New Roman" w:cs="Times New Roman"/>
                <w:sz w:val="24"/>
                <w:szCs w:val="24"/>
              </w:rPr>
            </w:pPr>
            <w:r>
              <w:rPr>
                <w:rFonts w:ascii="Times New Roman" w:hAnsi="Times New Roman" w:cs="Times New Roman"/>
                <w:sz w:val="24"/>
                <w:szCs w:val="24"/>
              </w:rPr>
              <w:t>1.8 …</w:t>
            </w:r>
          </w:p>
          <w:p w:rsidR="00C157E5" w:rsidRPr="0083246E" w:rsidRDefault="00C157E5" w:rsidP="0083246E">
            <w:pPr>
              <w:ind w:firstLine="284"/>
              <w:jc w:val="both"/>
              <w:rPr>
                <w:rFonts w:ascii="Times New Roman" w:hAnsi="Times New Roman" w:cs="Times New Roman"/>
                <w:sz w:val="24"/>
                <w:szCs w:val="24"/>
              </w:rPr>
            </w:pPr>
            <w:r w:rsidRPr="0083246E">
              <w:rPr>
                <w:rFonts w:ascii="Times New Roman" w:hAnsi="Times New Roman" w:cs="Times New Roman"/>
                <w:sz w:val="24"/>
                <w:szCs w:val="24"/>
              </w:rPr>
              <w:t xml:space="preserve">Для обґрунтування статей витрат використовуються галузеві нормативи, установлені Міністерством палива та енергетики України для операторів системи. </w:t>
            </w:r>
          </w:p>
          <w:p w:rsidR="00C157E5" w:rsidRPr="001F699C" w:rsidRDefault="00C157E5" w:rsidP="0083246E">
            <w:pPr>
              <w:ind w:firstLine="284"/>
              <w:jc w:val="both"/>
              <w:rPr>
                <w:rFonts w:ascii="Times New Roman" w:hAnsi="Times New Roman" w:cs="Times New Roman"/>
                <w:sz w:val="24"/>
                <w:szCs w:val="24"/>
              </w:rPr>
            </w:pPr>
            <w:r w:rsidRPr="0083246E">
              <w:rPr>
                <w:rFonts w:ascii="Times New Roman" w:hAnsi="Times New Roman" w:cs="Times New Roman"/>
                <w:sz w:val="24"/>
                <w:szCs w:val="24"/>
              </w:rPr>
              <w:t>Якщо для окремих видів витрат відсутні встановлені Міністерством палива та енергетики України галузеві нормативи для операторів системи, величина цих витрат установлюється залежно від значення нормативу, розрахованого виходячи з витраченого часу, трудомісткості робіт, кількості матеріалів, комплектуючих та їх звичайних цін тощо. Складові для розрахунку такого нормативу підтверджуються протоколами хронометричних спостережень або оприлюдненими статистичними даними або технічною документацією (паспортною документацією) заводів - виробників відповідного обладнання.</w:t>
            </w:r>
          </w:p>
        </w:tc>
        <w:tc>
          <w:tcPr>
            <w:tcW w:w="7230" w:type="dxa"/>
          </w:tcPr>
          <w:p w:rsidR="00C157E5" w:rsidRDefault="00C157E5" w:rsidP="0083246E">
            <w:pPr>
              <w:ind w:firstLine="284"/>
              <w:jc w:val="both"/>
              <w:rPr>
                <w:rFonts w:ascii="Times New Roman" w:hAnsi="Times New Roman" w:cs="Times New Roman"/>
                <w:sz w:val="24"/>
                <w:szCs w:val="24"/>
              </w:rPr>
            </w:pPr>
            <w:r>
              <w:rPr>
                <w:rFonts w:ascii="Times New Roman" w:hAnsi="Times New Roman" w:cs="Times New Roman"/>
                <w:sz w:val="24"/>
                <w:szCs w:val="24"/>
              </w:rPr>
              <w:t>1.8 …</w:t>
            </w:r>
          </w:p>
          <w:p w:rsidR="00C157E5" w:rsidRPr="0083246E" w:rsidRDefault="00C157E5" w:rsidP="0083246E">
            <w:pPr>
              <w:ind w:firstLine="284"/>
              <w:jc w:val="both"/>
              <w:rPr>
                <w:rFonts w:ascii="Times New Roman" w:hAnsi="Times New Roman" w:cs="Times New Roman"/>
                <w:sz w:val="24"/>
                <w:szCs w:val="24"/>
              </w:rPr>
            </w:pPr>
            <w:r w:rsidRPr="0083246E">
              <w:rPr>
                <w:rFonts w:ascii="Times New Roman" w:hAnsi="Times New Roman" w:cs="Times New Roman"/>
                <w:sz w:val="24"/>
                <w:szCs w:val="24"/>
              </w:rPr>
              <w:t xml:space="preserve">Для обґрунтування статей витрат використовуються галузеві нормативи, установлені </w:t>
            </w:r>
            <w:r w:rsidRPr="0083246E">
              <w:rPr>
                <w:rFonts w:ascii="Times New Roman" w:hAnsi="Times New Roman" w:cs="Times New Roman"/>
                <w:b/>
                <w:strike/>
                <w:sz w:val="24"/>
                <w:szCs w:val="24"/>
                <w:highlight w:val="yellow"/>
              </w:rPr>
              <w:t>Міністерством палива та енергетики України</w:t>
            </w:r>
            <w:r w:rsidRPr="0083246E">
              <w:rPr>
                <w:rFonts w:ascii="Times New Roman" w:hAnsi="Times New Roman" w:cs="Times New Roman"/>
                <w:sz w:val="24"/>
                <w:szCs w:val="24"/>
                <w:highlight w:val="yellow"/>
              </w:rPr>
              <w:t xml:space="preserve"> </w:t>
            </w:r>
            <w:r w:rsidRPr="0083246E">
              <w:rPr>
                <w:rFonts w:ascii="Times New Roman" w:hAnsi="Times New Roman" w:cs="Times New Roman"/>
                <w:b/>
                <w:sz w:val="24"/>
                <w:szCs w:val="24"/>
                <w:highlight w:val="yellow"/>
              </w:rPr>
              <w:t>центральним органом виконавчої влади, що забезпечує формування та реалізацію державної політики в електроенергетичному комплексі,</w:t>
            </w:r>
            <w:r w:rsidRPr="0083246E">
              <w:rPr>
                <w:rFonts w:ascii="Times New Roman" w:hAnsi="Times New Roman" w:cs="Times New Roman"/>
                <w:sz w:val="24"/>
                <w:szCs w:val="24"/>
              </w:rPr>
              <w:t xml:space="preserve"> для операторів систем</w:t>
            </w:r>
            <w:r w:rsidRPr="0083246E">
              <w:rPr>
                <w:rFonts w:ascii="Times New Roman" w:hAnsi="Times New Roman" w:cs="Times New Roman"/>
                <w:b/>
                <w:strike/>
                <w:sz w:val="24"/>
                <w:szCs w:val="24"/>
                <w:highlight w:val="yellow"/>
              </w:rPr>
              <w:t>и</w:t>
            </w:r>
            <w:r w:rsidRPr="0083246E">
              <w:rPr>
                <w:rFonts w:ascii="Times New Roman" w:hAnsi="Times New Roman" w:cs="Times New Roman"/>
                <w:sz w:val="24"/>
                <w:szCs w:val="24"/>
              </w:rPr>
              <w:t xml:space="preserve">. </w:t>
            </w:r>
          </w:p>
          <w:p w:rsidR="00C157E5" w:rsidRPr="001F699C" w:rsidRDefault="00C157E5" w:rsidP="0083246E">
            <w:pPr>
              <w:ind w:firstLine="284"/>
              <w:jc w:val="both"/>
              <w:rPr>
                <w:rFonts w:ascii="Times New Roman" w:hAnsi="Times New Roman" w:cs="Times New Roman"/>
                <w:color w:val="000000"/>
                <w:sz w:val="24"/>
                <w:szCs w:val="24"/>
              </w:rPr>
            </w:pPr>
            <w:r w:rsidRPr="0083246E">
              <w:rPr>
                <w:rFonts w:ascii="Times New Roman" w:hAnsi="Times New Roman" w:cs="Times New Roman"/>
                <w:sz w:val="24"/>
                <w:szCs w:val="24"/>
              </w:rPr>
              <w:t xml:space="preserve">Якщо для окремих видів витрат відсутні встановлені </w:t>
            </w:r>
            <w:r w:rsidRPr="00A62597">
              <w:rPr>
                <w:rFonts w:ascii="Times New Roman" w:hAnsi="Times New Roman" w:cs="Times New Roman"/>
                <w:b/>
                <w:strike/>
                <w:sz w:val="24"/>
                <w:szCs w:val="24"/>
                <w:highlight w:val="yellow"/>
              </w:rPr>
              <w:t>Міністерством палива та енергетики України</w:t>
            </w:r>
            <w:r w:rsidRPr="00A62597">
              <w:rPr>
                <w:rFonts w:ascii="Times New Roman" w:hAnsi="Times New Roman" w:cs="Times New Roman"/>
                <w:sz w:val="24"/>
                <w:szCs w:val="24"/>
                <w:highlight w:val="yellow"/>
              </w:rPr>
              <w:t xml:space="preserve"> </w:t>
            </w:r>
            <w:r w:rsidRPr="00A62597">
              <w:rPr>
                <w:rFonts w:ascii="Times New Roman" w:hAnsi="Times New Roman" w:cs="Times New Roman"/>
                <w:b/>
                <w:sz w:val="24"/>
                <w:szCs w:val="24"/>
                <w:highlight w:val="yellow"/>
              </w:rPr>
              <w:t xml:space="preserve">центральним органом виконавчої влади, що забезпечує </w:t>
            </w:r>
            <w:r w:rsidRPr="0083246E">
              <w:rPr>
                <w:rFonts w:ascii="Times New Roman" w:hAnsi="Times New Roman" w:cs="Times New Roman"/>
                <w:b/>
                <w:sz w:val="24"/>
                <w:szCs w:val="24"/>
                <w:highlight w:val="yellow"/>
              </w:rPr>
              <w:t>формування та реалізацію державної політики в електроенергетичному комплексі</w:t>
            </w:r>
            <w:r>
              <w:rPr>
                <w:rFonts w:ascii="Times New Roman" w:hAnsi="Times New Roman" w:cs="Times New Roman"/>
                <w:sz w:val="24"/>
                <w:szCs w:val="24"/>
              </w:rPr>
              <w:t xml:space="preserve">, </w:t>
            </w:r>
            <w:r w:rsidRPr="0083246E">
              <w:rPr>
                <w:rFonts w:ascii="Times New Roman" w:hAnsi="Times New Roman" w:cs="Times New Roman"/>
                <w:sz w:val="24"/>
                <w:szCs w:val="24"/>
              </w:rPr>
              <w:t>галузеві нормативи для операторів систем</w:t>
            </w:r>
            <w:r w:rsidRPr="00A62597">
              <w:rPr>
                <w:rFonts w:ascii="Times New Roman" w:hAnsi="Times New Roman" w:cs="Times New Roman"/>
                <w:b/>
                <w:strike/>
                <w:sz w:val="24"/>
                <w:szCs w:val="24"/>
                <w:highlight w:val="yellow"/>
              </w:rPr>
              <w:t>и</w:t>
            </w:r>
            <w:r w:rsidRPr="0083246E">
              <w:rPr>
                <w:rFonts w:ascii="Times New Roman" w:hAnsi="Times New Roman" w:cs="Times New Roman"/>
                <w:sz w:val="24"/>
                <w:szCs w:val="24"/>
              </w:rPr>
              <w:t>, величина цих витрат установлюється залежно від значення нормативу, розрахованого виходячи з витраченого часу, трудомісткості робіт, кількості матеріалів, комплектуючих та їх звичайних цін тощо. Складові для розрахунку такого нормативу підтверджуються протоколами хронометричних спостережень або оприлюдненими статистичними даними або технічною документацією (паспортною документацією) заводів - виробників відповідного обладнання.</w:t>
            </w:r>
          </w:p>
        </w:tc>
      </w:tr>
      <w:tr w:rsidR="00C157E5" w:rsidRPr="001F699C" w:rsidTr="00A0379C">
        <w:trPr>
          <w:trHeight w:val="1366"/>
        </w:trPr>
        <w:tc>
          <w:tcPr>
            <w:tcW w:w="7366" w:type="dxa"/>
          </w:tcPr>
          <w:p w:rsidR="00C157E5" w:rsidRDefault="00C157E5" w:rsidP="00E70461">
            <w:pPr>
              <w:ind w:firstLine="284"/>
              <w:jc w:val="both"/>
              <w:rPr>
                <w:rFonts w:ascii="Times New Roman" w:hAnsi="Times New Roman" w:cs="Times New Roman"/>
                <w:sz w:val="24"/>
                <w:szCs w:val="24"/>
              </w:rPr>
            </w:pPr>
            <w:r>
              <w:rPr>
                <w:rFonts w:ascii="Times New Roman" w:hAnsi="Times New Roman" w:cs="Times New Roman"/>
                <w:sz w:val="24"/>
                <w:szCs w:val="24"/>
              </w:rPr>
              <w:t>2.2.1….</w:t>
            </w:r>
          </w:p>
          <w:p w:rsidR="00C157E5" w:rsidRDefault="00C157E5" w:rsidP="00E70461">
            <w:pPr>
              <w:ind w:firstLine="284"/>
              <w:jc w:val="both"/>
              <w:rPr>
                <w:rFonts w:ascii="Times New Roman" w:hAnsi="Times New Roman" w:cs="Times New Roman"/>
                <w:sz w:val="24"/>
                <w:szCs w:val="24"/>
              </w:rPr>
            </w:pPr>
            <w:r w:rsidRPr="001912DD">
              <w:rPr>
                <w:rFonts w:ascii="Times New Roman" w:hAnsi="Times New Roman" w:cs="Times New Roman"/>
                <w:sz w:val="24"/>
                <w:szCs w:val="24"/>
              </w:rPr>
              <w:t xml:space="preserve">витрати на малоцінні і швидкозношувані предмети, зокрема інструмент, спеціальний одяг, спеціальне взуття, інші засоби індивідуального захисту, мило та інші мийні засоби, пропорційно до </w:t>
            </w:r>
            <w:r w:rsidRPr="001912DD">
              <w:rPr>
                <w:rFonts w:ascii="Times New Roman" w:hAnsi="Times New Roman" w:cs="Times New Roman"/>
                <w:sz w:val="24"/>
                <w:szCs w:val="24"/>
              </w:rPr>
              <w:lastRenderedPageBreak/>
              <w:t>відпрацьованого часу відповідно до встановлених норм часу, які застосовуються для операторів системи;</w:t>
            </w:r>
          </w:p>
          <w:p w:rsidR="00C157E5" w:rsidRDefault="00C157E5" w:rsidP="00E70461">
            <w:pPr>
              <w:ind w:firstLine="284"/>
              <w:jc w:val="both"/>
              <w:rPr>
                <w:rFonts w:ascii="Times New Roman" w:hAnsi="Times New Roman" w:cs="Times New Roman"/>
                <w:sz w:val="24"/>
                <w:szCs w:val="24"/>
              </w:rPr>
            </w:pPr>
            <w:r>
              <w:rPr>
                <w:rFonts w:ascii="Times New Roman" w:hAnsi="Times New Roman" w:cs="Times New Roman"/>
                <w:sz w:val="24"/>
                <w:szCs w:val="24"/>
              </w:rPr>
              <w:t>….</w:t>
            </w:r>
          </w:p>
        </w:tc>
        <w:tc>
          <w:tcPr>
            <w:tcW w:w="7230" w:type="dxa"/>
          </w:tcPr>
          <w:p w:rsidR="00C157E5" w:rsidRDefault="00C157E5" w:rsidP="001912DD">
            <w:pPr>
              <w:ind w:firstLine="284"/>
              <w:jc w:val="both"/>
              <w:rPr>
                <w:rFonts w:ascii="Times New Roman" w:hAnsi="Times New Roman" w:cs="Times New Roman"/>
                <w:sz w:val="24"/>
                <w:szCs w:val="24"/>
              </w:rPr>
            </w:pPr>
            <w:r>
              <w:rPr>
                <w:rFonts w:ascii="Times New Roman" w:hAnsi="Times New Roman" w:cs="Times New Roman"/>
                <w:sz w:val="24"/>
                <w:szCs w:val="24"/>
              </w:rPr>
              <w:lastRenderedPageBreak/>
              <w:t>2.2.1….</w:t>
            </w:r>
          </w:p>
          <w:p w:rsidR="00C157E5" w:rsidRDefault="00C157E5" w:rsidP="0083246E">
            <w:pPr>
              <w:ind w:firstLine="284"/>
              <w:jc w:val="both"/>
              <w:rPr>
                <w:rFonts w:ascii="Times New Roman" w:hAnsi="Times New Roman" w:cs="Times New Roman"/>
                <w:sz w:val="24"/>
                <w:szCs w:val="24"/>
              </w:rPr>
            </w:pPr>
            <w:r w:rsidRPr="001912DD">
              <w:rPr>
                <w:rFonts w:ascii="Times New Roman" w:hAnsi="Times New Roman" w:cs="Times New Roman"/>
                <w:sz w:val="24"/>
                <w:szCs w:val="24"/>
              </w:rPr>
              <w:t xml:space="preserve">витрати на малоцінні і швидкозношувані предмети, зокрема інструмент, спеціальний одяг, спеціальне взуття, інші засоби індивідуального захисту, мило та інші мийні засоби, пропорційно до </w:t>
            </w:r>
            <w:r w:rsidRPr="001912DD">
              <w:rPr>
                <w:rFonts w:ascii="Times New Roman" w:hAnsi="Times New Roman" w:cs="Times New Roman"/>
                <w:sz w:val="24"/>
                <w:szCs w:val="24"/>
              </w:rPr>
              <w:lastRenderedPageBreak/>
              <w:t>відпрацьованого часу відповідно до встановлених норм часу, які застосовуються для операторів систем</w:t>
            </w:r>
            <w:r w:rsidRPr="001912DD">
              <w:rPr>
                <w:rFonts w:ascii="Times New Roman" w:hAnsi="Times New Roman" w:cs="Times New Roman"/>
                <w:b/>
                <w:strike/>
                <w:sz w:val="24"/>
                <w:szCs w:val="24"/>
                <w:highlight w:val="yellow"/>
              </w:rPr>
              <w:t>и</w:t>
            </w:r>
            <w:r w:rsidRPr="001912DD">
              <w:rPr>
                <w:rFonts w:ascii="Times New Roman" w:hAnsi="Times New Roman" w:cs="Times New Roman"/>
                <w:sz w:val="24"/>
                <w:szCs w:val="24"/>
              </w:rPr>
              <w:t>;</w:t>
            </w:r>
          </w:p>
          <w:p w:rsidR="00C157E5" w:rsidRDefault="00C157E5" w:rsidP="0083246E">
            <w:pPr>
              <w:ind w:firstLine="284"/>
              <w:jc w:val="both"/>
              <w:rPr>
                <w:rFonts w:ascii="Times New Roman" w:hAnsi="Times New Roman" w:cs="Times New Roman"/>
                <w:sz w:val="24"/>
                <w:szCs w:val="24"/>
              </w:rPr>
            </w:pPr>
            <w:r>
              <w:rPr>
                <w:rFonts w:ascii="Times New Roman" w:hAnsi="Times New Roman" w:cs="Times New Roman"/>
                <w:sz w:val="24"/>
                <w:szCs w:val="24"/>
              </w:rPr>
              <w:t>…..</w:t>
            </w:r>
          </w:p>
        </w:tc>
      </w:tr>
      <w:tr w:rsidR="00C157E5" w:rsidRPr="001F699C" w:rsidTr="00A0379C">
        <w:tc>
          <w:tcPr>
            <w:tcW w:w="7366" w:type="dxa"/>
          </w:tcPr>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lastRenderedPageBreak/>
              <w:t xml:space="preserve">2.2.3. Витрати на оплату праці робітників та фахівців, зайнятих у діяльності основного споживача з утримання (експлуатації та обслуговування) власних технологічних електричних мереж спільного використання: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до витрат на оплату основної заробітної плати (фонд основної заробітної плати) належать: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заробітна плата, нарахована за виконану роботу відповідно до встановлених норм праці (норми часу, виробітку, обслуговування, посадові обов'язки) за тарифними ставками (окладами), відрядними розцінками для робітників та посадовими окладами для керівників, фахівців, технічних фахівців, уключаючи в повному обсязі внутрішнє сумісництво (тарифні ставки та оклади мають співвідноситись із тарифними ставками та окладами відповідних працівників оператора системи, на території здійснення ліцензованої діяльності якої перебувають технологічні електричні мережі спільного використання);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highlight w:val="yellow"/>
              </w:rPr>
              <w:t xml:space="preserve">оплата праці працівників, які не перебувають у штаті підприємств, за виконання робіт згідно з договорами цивільно-правового характеру, уключаючи договори </w:t>
            </w:r>
            <w:proofErr w:type="spellStart"/>
            <w:r w:rsidRPr="001F699C">
              <w:rPr>
                <w:rFonts w:ascii="Times New Roman" w:hAnsi="Times New Roman" w:cs="Times New Roman"/>
                <w:sz w:val="24"/>
                <w:szCs w:val="24"/>
                <w:highlight w:val="yellow"/>
              </w:rPr>
              <w:t>підряду</w:t>
            </w:r>
            <w:proofErr w:type="spellEnd"/>
            <w:r w:rsidRPr="001F699C">
              <w:rPr>
                <w:rFonts w:ascii="Times New Roman" w:hAnsi="Times New Roman" w:cs="Times New Roman"/>
                <w:sz w:val="24"/>
                <w:szCs w:val="24"/>
                <w:highlight w:val="yellow"/>
              </w:rPr>
              <w:t>, за умови, що розрахунки підприємством проводяться з працівниками, зайнятими виконанням робіт з утримання (експлуатації та обслуговування) технологічних електричних мереж власника. Розмір коштів для оплати праці таких працівників визначається виходячи з кошторису на виконання робіт (послуг) за договором;</w:t>
            </w:r>
            <w:r w:rsidRPr="001F699C">
              <w:rPr>
                <w:rFonts w:ascii="Times New Roman" w:hAnsi="Times New Roman" w:cs="Times New Roman"/>
                <w:sz w:val="24"/>
                <w:szCs w:val="24"/>
              </w:rPr>
              <w:t xml:space="preserve">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до витрат на оплату додаткової заробітної плати робітникам та фахівцям (фонд додаткової заробітної плати) належать: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надбавки та доплати до тарифних ставок та посадових окладів у розмірах, передбачених чинним законодавством;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премії за виробничі результати;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оплата відпусток;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lastRenderedPageBreak/>
              <w:t>надбавки та доплати до тарифних ставок та посадових окладів у розмірах, передбачених чинним законодавством: за роботу у важких, шкідливих, особливо шкідливих умовах; за роботу в багатозмінному та безперервному режимі (у тому числі доплати за роботу у вихідні дні, що є робочими днями за графіком), у нічний час.</w:t>
            </w:r>
          </w:p>
        </w:tc>
        <w:tc>
          <w:tcPr>
            <w:tcW w:w="7230" w:type="dxa"/>
          </w:tcPr>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lastRenderedPageBreak/>
              <w:t xml:space="preserve">2.2.3. Витрати на оплату праці робітників та фахівців, зайнятих у діяльності основного споживача з утримання (експлуатації та обслуговування) власних технологічних електричних мереж спільного використання: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до витрат на оплату основної заробітної плати (фонд основної заробітної плати) належать: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заробітна плата, нарахована за виконану роботу відповідно до встановлених норм праці (норми часу, виробітку, обслуговування, посадові обов'язки) за тарифними ставками (окладами), відрядними розцінками для робітників та посадовими окладами для керівників, фахівців, технічних фахівців, уключаючи в повному обсязі внутрішнє сумісництво (тарифні ставки та оклади мають співвідноситись із тарифними ставками та окладами відповідних працівників оператора системи, на території здійсне</w:t>
            </w:r>
            <w:r>
              <w:rPr>
                <w:rFonts w:ascii="Times New Roman" w:hAnsi="Times New Roman" w:cs="Times New Roman"/>
                <w:sz w:val="24"/>
                <w:szCs w:val="24"/>
              </w:rPr>
              <w:t>ння ліцензованої діяльності яко</w:t>
            </w:r>
            <w:r w:rsidRPr="00917E18">
              <w:rPr>
                <w:rFonts w:ascii="Times New Roman" w:hAnsi="Times New Roman" w:cs="Times New Roman"/>
                <w:b/>
                <w:sz w:val="24"/>
                <w:szCs w:val="24"/>
                <w:highlight w:val="yellow"/>
              </w:rPr>
              <w:t>го</w:t>
            </w:r>
            <w:r w:rsidRPr="001F699C">
              <w:rPr>
                <w:rFonts w:ascii="Times New Roman" w:hAnsi="Times New Roman" w:cs="Times New Roman"/>
                <w:sz w:val="24"/>
                <w:szCs w:val="24"/>
              </w:rPr>
              <w:t xml:space="preserve"> перебувають технологічні електричні мережі спільного використання); </w:t>
            </w:r>
          </w:p>
          <w:p w:rsidR="00C157E5" w:rsidRDefault="00C157E5" w:rsidP="00917E18">
            <w:pPr>
              <w:ind w:firstLine="284"/>
              <w:jc w:val="both"/>
              <w:rPr>
                <w:rFonts w:ascii="Times New Roman" w:hAnsi="Times New Roman" w:cs="Times New Roman"/>
                <w:b/>
                <w:sz w:val="24"/>
                <w:szCs w:val="24"/>
              </w:rPr>
            </w:pPr>
            <w:r w:rsidRPr="00917E18">
              <w:rPr>
                <w:rFonts w:ascii="Times New Roman" w:hAnsi="Times New Roman" w:cs="Times New Roman"/>
                <w:b/>
                <w:sz w:val="24"/>
                <w:szCs w:val="24"/>
                <w:highlight w:val="yellow"/>
              </w:rPr>
              <w:t xml:space="preserve">фактичні витрати підрядної організації, зокрема, які були підтверджені цією організацією розшифровками до актів, зокрема, на заробітну плату працівників, які не  перебувають у штаті підприємства основного споживача, за виконання робіт згідно з договорами цивільно-правового характеру, включаючи договори </w:t>
            </w:r>
            <w:proofErr w:type="spellStart"/>
            <w:r w:rsidRPr="00917E18">
              <w:rPr>
                <w:rFonts w:ascii="Times New Roman" w:hAnsi="Times New Roman" w:cs="Times New Roman"/>
                <w:b/>
                <w:sz w:val="24"/>
                <w:szCs w:val="24"/>
                <w:highlight w:val="yellow"/>
              </w:rPr>
              <w:t>підряду</w:t>
            </w:r>
            <w:proofErr w:type="spellEnd"/>
            <w:r w:rsidRPr="00917E18">
              <w:rPr>
                <w:rFonts w:ascii="Times New Roman" w:hAnsi="Times New Roman" w:cs="Times New Roman"/>
                <w:b/>
                <w:sz w:val="24"/>
                <w:szCs w:val="24"/>
                <w:highlight w:val="yellow"/>
              </w:rPr>
              <w:t xml:space="preserve">, а також відповідні відрахування на соціальні заходи </w:t>
            </w:r>
            <w:r w:rsidRPr="0002143D">
              <w:rPr>
                <w:rFonts w:ascii="Times New Roman" w:hAnsi="Times New Roman" w:cs="Times New Roman"/>
                <w:b/>
                <w:strike/>
                <w:sz w:val="24"/>
                <w:szCs w:val="24"/>
                <w:highlight w:val="yellow"/>
              </w:rPr>
              <w:t>тощо відповідно до вимог цієї Методики</w:t>
            </w:r>
            <w:r w:rsidRPr="00917E18">
              <w:rPr>
                <w:rFonts w:ascii="Times New Roman" w:hAnsi="Times New Roman" w:cs="Times New Roman"/>
                <w:b/>
                <w:sz w:val="24"/>
                <w:szCs w:val="24"/>
                <w:highlight w:val="yellow"/>
              </w:rPr>
              <w:t xml:space="preserve"> за фактичними витратами, по</w:t>
            </w:r>
            <w:r>
              <w:rPr>
                <w:rFonts w:ascii="Times New Roman" w:hAnsi="Times New Roman" w:cs="Times New Roman"/>
                <w:b/>
                <w:sz w:val="24"/>
                <w:szCs w:val="24"/>
                <w:highlight w:val="yellow"/>
              </w:rPr>
              <w:t>несеними підрядною організацією;</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до витрат на оплату додаткової заробітної плати робітникам та фахівцям (фонд додаткової заробітної плати) належать: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надбавки та доплати до тарифних ставок та посадових окладів у розмірах, передбачених чинним законодавством;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премії за виробничі результати;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оплата відпусток; </w:t>
            </w:r>
          </w:p>
          <w:p w:rsidR="00C157E5"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lastRenderedPageBreak/>
              <w:t>надбавки та доплати до тарифних ставок та посадових окладів у розмірах, передбачених чинним законодавством: за роботу у важких, шкідливих, особливо шкідливих умовах; за роботу в багатозмінному та безперервному режимі (у тому числі доплати за роботу у вихідні дні, що є робочими д</w:t>
            </w:r>
            <w:r>
              <w:rPr>
                <w:rFonts w:ascii="Times New Roman" w:hAnsi="Times New Roman" w:cs="Times New Roman"/>
                <w:sz w:val="24"/>
                <w:szCs w:val="24"/>
              </w:rPr>
              <w:t>нями за графіком), у нічний час.</w:t>
            </w:r>
          </w:p>
          <w:p w:rsidR="00C157E5" w:rsidRPr="003E17D4" w:rsidRDefault="00C157E5" w:rsidP="00917E18">
            <w:pPr>
              <w:ind w:firstLine="284"/>
              <w:jc w:val="both"/>
              <w:rPr>
                <w:rFonts w:ascii="Times New Roman" w:hAnsi="Times New Roman" w:cs="Times New Roman"/>
                <w:b/>
                <w:sz w:val="24"/>
                <w:szCs w:val="24"/>
              </w:rPr>
            </w:pPr>
          </w:p>
        </w:tc>
      </w:tr>
      <w:tr w:rsidR="00C157E5" w:rsidRPr="001F699C" w:rsidTr="00A0379C">
        <w:tc>
          <w:tcPr>
            <w:tcW w:w="7366" w:type="dxa"/>
          </w:tcPr>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lastRenderedPageBreak/>
              <w:t xml:space="preserve">2.4. Для узгодження кошторису витрат основний споживач надає структурному підрозділу НКРЕКП на території такі матеріали: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складений основним споживачем кошторис витрат на утримання технологічних електричних мереж спільного використання на поточний базовий період з розшифровкою усіх статей витрат;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копію проекту договору про спільне використання технологічних електричних мереж, оформленого в установленому порядку;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однолінійну схему технологічних електричних мереж спільного використання, підтверджену оператором системи, на території здійснення ліцензованої діяльності якої приєднані електроустановки основного споживача;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розрахунок об'єму умовних одиниць технологічних електричних мереж спільного використання, виконаний основним споживачем, узгоджений оператором системи, на території здійснення ліцензованої діяльності якої приєднані електроустановки основного споживача.</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За надання недостовірної інформації основний споживач є відповідальним згідно з чинним законодавством.</w:t>
            </w:r>
          </w:p>
        </w:tc>
        <w:tc>
          <w:tcPr>
            <w:tcW w:w="7230" w:type="dxa"/>
          </w:tcPr>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2.4. Для узгодження кошторису витрат основний споживач надає структурному підрозділу НКРЕКП на території такі матеріали: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складений основним споживачем кошторис витрат на утримання технологічних електричних мереж спільного використання на поточний базовий період з розшифровкою усіх статей витрат;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копію проекту договору про спільне використання технологічних електричних мереж, оформленого в установленому порядку;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однолінійну схему технологічних електричних мереж спільного використання, </w:t>
            </w:r>
            <w:r w:rsidRPr="001C7BBD">
              <w:rPr>
                <w:rFonts w:ascii="Times New Roman" w:hAnsi="Times New Roman" w:cs="Times New Roman"/>
                <w:b/>
                <w:sz w:val="24"/>
                <w:szCs w:val="24"/>
                <w:highlight w:val="yellow"/>
              </w:rPr>
              <w:t>узгоджену</w:t>
            </w:r>
            <w:r w:rsidRPr="001F699C">
              <w:rPr>
                <w:rFonts w:ascii="Times New Roman" w:hAnsi="Times New Roman" w:cs="Times New Roman"/>
                <w:sz w:val="24"/>
                <w:szCs w:val="24"/>
              </w:rPr>
              <w:t xml:space="preserve"> оператором системи, на території здійснення ліцензованої діяльності яко</w:t>
            </w:r>
            <w:r w:rsidRPr="001C7BBD">
              <w:rPr>
                <w:rFonts w:ascii="Times New Roman" w:hAnsi="Times New Roman" w:cs="Times New Roman"/>
                <w:b/>
                <w:sz w:val="24"/>
                <w:szCs w:val="24"/>
                <w:highlight w:val="yellow"/>
              </w:rPr>
              <w:t>го</w:t>
            </w:r>
            <w:r w:rsidRPr="001F699C">
              <w:rPr>
                <w:rFonts w:ascii="Times New Roman" w:hAnsi="Times New Roman" w:cs="Times New Roman"/>
                <w:sz w:val="24"/>
                <w:szCs w:val="24"/>
              </w:rPr>
              <w:t xml:space="preserve"> приєднані електроустановки основного споживача, </w:t>
            </w:r>
            <w:r w:rsidRPr="001C7BBD">
              <w:rPr>
                <w:rFonts w:ascii="Times New Roman" w:hAnsi="Times New Roman" w:cs="Times New Roman"/>
                <w:b/>
                <w:sz w:val="24"/>
                <w:szCs w:val="24"/>
                <w:highlight w:val="yellow"/>
              </w:rPr>
              <w:t>на наступний базовий період</w:t>
            </w:r>
            <w:r w:rsidRPr="001F699C">
              <w:rPr>
                <w:rFonts w:ascii="Times New Roman" w:hAnsi="Times New Roman" w:cs="Times New Roman"/>
                <w:sz w:val="24"/>
                <w:szCs w:val="24"/>
              </w:rPr>
              <w:t xml:space="preserve">;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розрахунок об'єму умовних одиниць технологічних електричних мереж спільного використання, виконаний основним споживачем, </w:t>
            </w:r>
            <w:r w:rsidRPr="001C7BBD">
              <w:rPr>
                <w:rFonts w:ascii="Times New Roman" w:hAnsi="Times New Roman" w:cs="Times New Roman"/>
                <w:b/>
                <w:sz w:val="24"/>
                <w:szCs w:val="24"/>
                <w:highlight w:val="yellow"/>
              </w:rPr>
              <w:t>узгоджений</w:t>
            </w:r>
            <w:r w:rsidRPr="001F699C">
              <w:rPr>
                <w:rFonts w:ascii="Times New Roman" w:hAnsi="Times New Roman" w:cs="Times New Roman"/>
                <w:sz w:val="24"/>
                <w:szCs w:val="24"/>
              </w:rPr>
              <w:t xml:space="preserve"> оператором системи, на території здійсне</w:t>
            </w:r>
            <w:r>
              <w:rPr>
                <w:rFonts w:ascii="Times New Roman" w:hAnsi="Times New Roman" w:cs="Times New Roman"/>
                <w:sz w:val="24"/>
                <w:szCs w:val="24"/>
              </w:rPr>
              <w:t>ння ліцензованої діяльності яко</w:t>
            </w:r>
            <w:r w:rsidRPr="001C7BBD">
              <w:rPr>
                <w:rFonts w:ascii="Times New Roman" w:hAnsi="Times New Roman" w:cs="Times New Roman"/>
                <w:b/>
                <w:sz w:val="24"/>
                <w:szCs w:val="24"/>
                <w:highlight w:val="yellow"/>
              </w:rPr>
              <w:t>го</w:t>
            </w:r>
            <w:r w:rsidRPr="001F699C">
              <w:rPr>
                <w:rFonts w:ascii="Times New Roman" w:hAnsi="Times New Roman" w:cs="Times New Roman"/>
                <w:sz w:val="24"/>
                <w:szCs w:val="24"/>
              </w:rPr>
              <w:t xml:space="preserve"> приєднані електроустановки основного споживача, </w:t>
            </w:r>
            <w:r w:rsidRPr="001C7BBD">
              <w:rPr>
                <w:rFonts w:ascii="Times New Roman" w:hAnsi="Times New Roman" w:cs="Times New Roman"/>
                <w:b/>
                <w:sz w:val="24"/>
                <w:szCs w:val="24"/>
                <w:highlight w:val="yellow"/>
              </w:rPr>
              <w:t>на наступний базовий період</w:t>
            </w:r>
            <w:r w:rsidRPr="001F699C">
              <w:rPr>
                <w:rFonts w:ascii="Times New Roman" w:hAnsi="Times New Roman" w:cs="Times New Roman"/>
                <w:sz w:val="24"/>
                <w:szCs w:val="24"/>
              </w:rPr>
              <w:t>.</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За надання недостовірної інформації основний споживач є відповідальним згідно з чинним законодавством.</w:t>
            </w:r>
          </w:p>
        </w:tc>
      </w:tr>
      <w:tr w:rsidR="00C157E5" w:rsidRPr="001F699C" w:rsidTr="00A0379C">
        <w:tc>
          <w:tcPr>
            <w:tcW w:w="7366" w:type="dxa"/>
          </w:tcPr>
          <w:p w:rsidR="00C157E5" w:rsidRPr="002B7DBC" w:rsidRDefault="00C157E5" w:rsidP="002B7DBC">
            <w:pPr>
              <w:ind w:firstLine="284"/>
              <w:jc w:val="both"/>
              <w:rPr>
                <w:rFonts w:ascii="Times New Roman" w:hAnsi="Times New Roman" w:cs="Times New Roman"/>
                <w:sz w:val="24"/>
                <w:szCs w:val="24"/>
              </w:rPr>
            </w:pPr>
            <w:r w:rsidRPr="002B7DBC">
              <w:rPr>
                <w:rFonts w:ascii="Times New Roman" w:hAnsi="Times New Roman" w:cs="Times New Roman"/>
                <w:sz w:val="24"/>
                <w:szCs w:val="24"/>
              </w:rPr>
              <w:t>2.7. Під час складення кошторису витрат та/або змін до нього основний споживач має дотримуватись відсоткового співвідношення операційних витрат, які включаються до кошторису витрат, наведеного в додатку 1 до цієї Методики.</w:t>
            </w:r>
          </w:p>
          <w:p w:rsidR="00C157E5" w:rsidRPr="002B7DBC" w:rsidRDefault="00C157E5" w:rsidP="002B7DBC">
            <w:pPr>
              <w:ind w:firstLine="284"/>
              <w:jc w:val="both"/>
              <w:rPr>
                <w:rFonts w:ascii="Times New Roman" w:hAnsi="Times New Roman" w:cs="Times New Roman"/>
                <w:sz w:val="24"/>
                <w:szCs w:val="24"/>
              </w:rPr>
            </w:pPr>
            <w:r w:rsidRPr="002B7DBC">
              <w:rPr>
                <w:rFonts w:ascii="Times New Roman" w:hAnsi="Times New Roman" w:cs="Times New Roman"/>
                <w:sz w:val="24"/>
                <w:szCs w:val="24"/>
              </w:rPr>
              <w:t>У разі невідповідності операційних витрат, які включаються до кошторису витрат основного споживача, відсотковому співвідношенню витрат, наведеному в додатку 1, такий кошторис витрат НКРЕКП повертає основному споживачу без погодження.</w:t>
            </w:r>
          </w:p>
          <w:p w:rsidR="00C157E5" w:rsidRPr="001F699C" w:rsidRDefault="00C157E5" w:rsidP="002B7DBC">
            <w:pPr>
              <w:ind w:firstLine="284"/>
              <w:jc w:val="both"/>
              <w:rPr>
                <w:rFonts w:ascii="Times New Roman" w:hAnsi="Times New Roman" w:cs="Times New Roman"/>
                <w:sz w:val="24"/>
                <w:szCs w:val="24"/>
              </w:rPr>
            </w:pPr>
            <w:r w:rsidRPr="002B7DBC">
              <w:rPr>
                <w:rFonts w:ascii="Times New Roman" w:hAnsi="Times New Roman" w:cs="Times New Roman"/>
                <w:sz w:val="24"/>
                <w:szCs w:val="24"/>
              </w:rPr>
              <w:t>Після усунення зауважень основний споживач має право звернутись щодо погодження кошторису повторно.</w:t>
            </w:r>
          </w:p>
        </w:tc>
        <w:tc>
          <w:tcPr>
            <w:tcW w:w="7230" w:type="dxa"/>
          </w:tcPr>
          <w:p w:rsidR="00C157E5" w:rsidRPr="002B7DBC" w:rsidRDefault="00C157E5" w:rsidP="002B7DBC">
            <w:pPr>
              <w:ind w:firstLine="284"/>
              <w:jc w:val="both"/>
              <w:rPr>
                <w:rFonts w:ascii="Times New Roman" w:hAnsi="Times New Roman" w:cs="Times New Roman"/>
                <w:sz w:val="24"/>
                <w:szCs w:val="24"/>
              </w:rPr>
            </w:pPr>
            <w:r w:rsidRPr="002B7DBC">
              <w:rPr>
                <w:rFonts w:ascii="Times New Roman" w:hAnsi="Times New Roman" w:cs="Times New Roman"/>
                <w:sz w:val="24"/>
                <w:szCs w:val="24"/>
              </w:rPr>
              <w:t>2.7. Під час складення кошторису витрат та/або змін до нього основний споживач має дотримуватись відсоткового співвідношення операційних витрат, які включаються до кошторису витрат, наведеного в додатку 1 до цієї Методики.</w:t>
            </w:r>
          </w:p>
          <w:p w:rsidR="00C157E5" w:rsidRPr="002B7DBC" w:rsidRDefault="00C157E5" w:rsidP="002B7DBC">
            <w:pPr>
              <w:ind w:firstLine="284"/>
              <w:jc w:val="both"/>
              <w:rPr>
                <w:rFonts w:ascii="Times New Roman" w:hAnsi="Times New Roman" w:cs="Times New Roman"/>
                <w:sz w:val="24"/>
                <w:szCs w:val="24"/>
              </w:rPr>
            </w:pPr>
            <w:r w:rsidRPr="002B7DBC">
              <w:rPr>
                <w:rFonts w:ascii="Times New Roman" w:hAnsi="Times New Roman" w:cs="Times New Roman"/>
                <w:sz w:val="24"/>
                <w:szCs w:val="24"/>
              </w:rPr>
              <w:t xml:space="preserve">У разі невідповідності операційних витрат, які включаються до кошторису витрат основного споживача, відсотковому співвідношенню витрат, наведеному в додатку 1 </w:t>
            </w:r>
            <w:r w:rsidRPr="002B7DBC">
              <w:rPr>
                <w:rFonts w:ascii="Times New Roman" w:hAnsi="Times New Roman" w:cs="Times New Roman"/>
                <w:b/>
                <w:sz w:val="24"/>
                <w:szCs w:val="24"/>
                <w:highlight w:val="yellow"/>
              </w:rPr>
              <w:t>до цієї Методики</w:t>
            </w:r>
            <w:r w:rsidRPr="002B7DBC">
              <w:rPr>
                <w:rFonts w:ascii="Times New Roman" w:hAnsi="Times New Roman" w:cs="Times New Roman"/>
                <w:sz w:val="24"/>
                <w:szCs w:val="24"/>
              </w:rPr>
              <w:t>, такий кошторис витрат НКРЕКП повертає основному споживачу без погодження.</w:t>
            </w:r>
          </w:p>
          <w:p w:rsidR="00C157E5" w:rsidRPr="001F699C" w:rsidRDefault="00C157E5" w:rsidP="002B7DBC">
            <w:pPr>
              <w:ind w:firstLine="284"/>
              <w:jc w:val="both"/>
              <w:rPr>
                <w:rFonts w:ascii="Times New Roman" w:hAnsi="Times New Roman" w:cs="Times New Roman"/>
                <w:sz w:val="24"/>
                <w:szCs w:val="24"/>
              </w:rPr>
            </w:pPr>
            <w:r w:rsidRPr="002B7DBC">
              <w:rPr>
                <w:rFonts w:ascii="Times New Roman" w:hAnsi="Times New Roman" w:cs="Times New Roman"/>
                <w:sz w:val="24"/>
                <w:szCs w:val="24"/>
              </w:rPr>
              <w:t>Після усунення зауважень основний споживач має право звернутись щодо погодження кошторису повторно.</w:t>
            </w:r>
          </w:p>
        </w:tc>
      </w:tr>
      <w:tr w:rsidR="00C157E5" w:rsidRPr="001F699C" w:rsidTr="00A0379C">
        <w:tc>
          <w:tcPr>
            <w:tcW w:w="7366" w:type="dxa"/>
          </w:tcPr>
          <w:p w:rsidR="00C157E5" w:rsidRPr="00917E18" w:rsidRDefault="00C157E5" w:rsidP="00917E18">
            <w:pPr>
              <w:ind w:firstLine="284"/>
              <w:jc w:val="both"/>
              <w:rPr>
                <w:rFonts w:ascii="Times New Roman" w:hAnsi="Times New Roman" w:cs="Times New Roman"/>
                <w:sz w:val="24"/>
                <w:szCs w:val="24"/>
              </w:rPr>
            </w:pPr>
            <w:r w:rsidRPr="00917E18">
              <w:rPr>
                <w:rFonts w:ascii="Times New Roman" w:hAnsi="Times New Roman" w:cs="Times New Roman"/>
                <w:sz w:val="24"/>
                <w:szCs w:val="24"/>
              </w:rPr>
              <w:lastRenderedPageBreak/>
              <w:t xml:space="preserve">2.8. Структурні підрозділи НКРЕКП на території перевіряють розрахунок об'єму умовних одиниць та співвідношення граничного рівня витрат на утримання технологічних електричних мереж спільного використання з відповідною сумою витрат основного споживача за кошторисом. </w:t>
            </w:r>
          </w:p>
          <w:p w:rsidR="00C157E5" w:rsidRPr="001F699C" w:rsidRDefault="00C157E5" w:rsidP="00917E18">
            <w:pPr>
              <w:ind w:firstLine="284"/>
              <w:jc w:val="both"/>
              <w:rPr>
                <w:rFonts w:ascii="Times New Roman" w:hAnsi="Times New Roman" w:cs="Times New Roman"/>
                <w:sz w:val="24"/>
                <w:szCs w:val="24"/>
              </w:rPr>
            </w:pPr>
            <w:r w:rsidRPr="00917E18">
              <w:rPr>
                <w:rFonts w:ascii="Times New Roman" w:hAnsi="Times New Roman" w:cs="Times New Roman"/>
                <w:sz w:val="24"/>
                <w:szCs w:val="24"/>
              </w:rPr>
              <w:t>У разі, якщо сума витрат за кошторисом перевищує граничний рівень витрат на утримання технологічних електричних мереж спільного використання, кошторис погоджується на рівні витрат, визначених за об'ємом умовних одиниць електроустановок основного споживача, та нормативу витрат на умовну одиницю, які склались за результатами діяльності оператора системи, на території здійснення ліцензованої діяльності якої приєднані електроустановки основного споживача. У такому випадку основний споживач самостійно перерозподіляє погоджений обсяг коштів між статтями витрат, дотримуючись відсоткового співвідношення операційних витрат, наведеного в додатку 1 до цієї Методики.</w:t>
            </w:r>
          </w:p>
        </w:tc>
        <w:tc>
          <w:tcPr>
            <w:tcW w:w="7230" w:type="dxa"/>
          </w:tcPr>
          <w:p w:rsidR="00C157E5" w:rsidRPr="00917E18" w:rsidRDefault="00C157E5" w:rsidP="00917E18">
            <w:pPr>
              <w:ind w:firstLine="284"/>
              <w:jc w:val="both"/>
              <w:rPr>
                <w:rFonts w:ascii="Times New Roman" w:hAnsi="Times New Roman" w:cs="Times New Roman"/>
                <w:sz w:val="24"/>
                <w:szCs w:val="24"/>
              </w:rPr>
            </w:pPr>
            <w:r w:rsidRPr="00917E18">
              <w:rPr>
                <w:rFonts w:ascii="Times New Roman" w:hAnsi="Times New Roman" w:cs="Times New Roman"/>
                <w:sz w:val="24"/>
                <w:szCs w:val="24"/>
              </w:rPr>
              <w:t xml:space="preserve">2.8. Структурні підрозділи НКРЕКП на території перевіряють розрахунок об'єму умовних одиниць та співвідношення граничного рівня витрат на утримання технологічних електричних мереж спільного використання з відповідною сумою витрат основного споживача за кошторисом. </w:t>
            </w:r>
          </w:p>
          <w:p w:rsidR="00C157E5" w:rsidRPr="001F699C" w:rsidRDefault="00C157E5" w:rsidP="00917E18">
            <w:pPr>
              <w:ind w:firstLine="284"/>
              <w:jc w:val="both"/>
              <w:rPr>
                <w:rFonts w:ascii="Times New Roman" w:hAnsi="Times New Roman" w:cs="Times New Roman"/>
                <w:sz w:val="24"/>
                <w:szCs w:val="24"/>
              </w:rPr>
            </w:pPr>
            <w:r w:rsidRPr="00917E18">
              <w:rPr>
                <w:rFonts w:ascii="Times New Roman" w:hAnsi="Times New Roman" w:cs="Times New Roman"/>
                <w:sz w:val="24"/>
                <w:szCs w:val="24"/>
              </w:rPr>
              <w:t>У разі, якщо сума витрат за кошторисом перевищує граничний рівень витрат на утримання технологічних електричних мереж спільного використання, кошторис погоджується на рівні витрат, визначених за об'ємом умовних одиниць електроустановок основного споживача, та нормативу витрат на умовну одиницю, які склались за результатами діяльності оператора системи, на території здійснення ліцензованої діяльності яко</w:t>
            </w:r>
            <w:r w:rsidRPr="00917E18">
              <w:rPr>
                <w:rFonts w:ascii="Times New Roman" w:hAnsi="Times New Roman" w:cs="Times New Roman"/>
                <w:b/>
                <w:sz w:val="24"/>
                <w:szCs w:val="24"/>
                <w:highlight w:val="yellow"/>
              </w:rPr>
              <w:t>го</w:t>
            </w:r>
            <w:r w:rsidRPr="00917E18">
              <w:rPr>
                <w:rFonts w:ascii="Times New Roman" w:hAnsi="Times New Roman" w:cs="Times New Roman"/>
                <w:sz w:val="24"/>
                <w:szCs w:val="24"/>
              </w:rPr>
              <w:t xml:space="preserve"> приєднані електроустановки основного споживача. У такому випадку основний споживач самостійно перерозподіляє погоджений обсяг коштів між статтями витрат, дотримуючись відсоткового співвідношення операційних витрат, наведеного в додатку 1 до цієї Методики.</w:t>
            </w:r>
          </w:p>
        </w:tc>
      </w:tr>
      <w:tr w:rsidR="00C157E5" w:rsidRPr="001F699C" w:rsidTr="00A0379C">
        <w:tc>
          <w:tcPr>
            <w:tcW w:w="7366" w:type="dxa"/>
          </w:tcPr>
          <w:p w:rsidR="00C157E5" w:rsidRPr="00917E18" w:rsidRDefault="00C157E5" w:rsidP="00917E18">
            <w:pPr>
              <w:ind w:firstLine="284"/>
              <w:jc w:val="both"/>
              <w:rPr>
                <w:rFonts w:ascii="Times New Roman" w:hAnsi="Times New Roman" w:cs="Times New Roman"/>
                <w:sz w:val="24"/>
                <w:szCs w:val="24"/>
              </w:rPr>
            </w:pPr>
            <w:r w:rsidRPr="002A01AD">
              <w:rPr>
                <w:rFonts w:ascii="Times New Roman" w:hAnsi="Times New Roman" w:cs="Times New Roman"/>
                <w:sz w:val="24"/>
                <w:szCs w:val="24"/>
              </w:rPr>
              <w:t>III. Розрахунок умовних одиниць технологічного обладнання електромереж операторів системи та основних споживачів</w:t>
            </w:r>
          </w:p>
        </w:tc>
        <w:tc>
          <w:tcPr>
            <w:tcW w:w="7230" w:type="dxa"/>
          </w:tcPr>
          <w:p w:rsidR="00C157E5" w:rsidRPr="00917E18" w:rsidRDefault="00C157E5" w:rsidP="00917E18">
            <w:pPr>
              <w:ind w:firstLine="284"/>
              <w:jc w:val="both"/>
              <w:rPr>
                <w:rFonts w:ascii="Times New Roman" w:hAnsi="Times New Roman" w:cs="Times New Roman"/>
                <w:sz w:val="24"/>
                <w:szCs w:val="24"/>
              </w:rPr>
            </w:pPr>
            <w:r w:rsidRPr="002A01AD">
              <w:rPr>
                <w:rFonts w:ascii="Times New Roman" w:hAnsi="Times New Roman" w:cs="Times New Roman"/>
                <w:sz w:val="24"/>
                <w:szCs w:val="24"/>
              </w:rPr>
              <w:t>III. Розрахунок умовних одиниць технологічного обладнання електромереж операторів систем</w:t>
            </w:r>
            <w:r w:rsidRPr="002A01AD">
              <w:rPr>
                <w:rFonts w:ascii="Times New Roman" w:hAnsi="Times New Roman" w:cs="Times New Roman"/>
                <w:b/>
                <w:strike/>
                <w:sz w:val="24"/>
                <w:szCs w:val="24"/>
                <w:highlight w:val="yellow"/>
              </w:rPr>
              <w:t>и</w:t>
            </w:r>
            <w:r w:rsidRPr="002A01AD">
              <w:rPr>
                <w:rFonts w:ascii="Times New Roman" w:hAnsi="Times New Roman" w:cs="Times New Roman"/>
                <w:sz w:val="24"/>
                <w:szCs w:val="24"/>
              </w:rPr>
              <w:t xml:space="preserve"> та основних споживачів</w:t>
            </w:r>
          </w:p>
        </w:tc>
      </w:tr>
      <w:tr w:rsidR="00C157E5" w:rsidRPr="001F699C" w:rsidTr="00A0379C">
        <w:tc>
          <w:tcPr>
            <w:tcW w:w="7366" w:type="dxa"/>
          </w:tcPr>
          <w:p w:rsidR="00C157E5" w:rsidRPr="002A01AD" w:rsidRDefault="00C157E5" w:rsidP="00917E18">
            <w:pPr>
              <w:ind w:firstLine="284"/>
              <w:jc w:val="both"/>
              <w:rPr>
                <w:rFonts w:ascii="Times New Roman" w:hAnsi="Times New Roman" w:cs="Times New Roman"/>
                <w:sz w:val="24"/>
                <w:szCs w:val="24"/>
              </w:rPr>
            </w:pPr>
            <w:r w:rsidRPr="003E17D4">
              <w:rPr>
                <w:rFonts w:ascii="Times New Roman" w:hAnsi="Times New Roman" w:cs="Times New Roman"/>
                <w:sz w:val="24"/>
                <w:szCs w:val="24"/>
              </w:rPr>
              <w:t>3.5. Об'єм технологічних електричних мереж в умовних одиницях (додаток 2) визначається додаванням умовних одиниць, розрахованих відповідно до таблиць 3.1 - 3.6 додатка 3 до цієї Методики.</w:t>
            </w:r>
          </w:p>
        </w:tc>
        <w:tc>
          <w:tcPr>
            <w:tcW w:w="7230" w:type="dxa"/>
          </w:tcPr>
          <w:p w:rsidR="00C157E5" w:rsidRPr="002A01AD" w:rsidRDefault="00C157E5" w:rsidP="00917E18">
            <w:pPr>
              <w:ind w:firstLine="284"/>
              <w:jc w:val="both"/>
              <w:rPr>
                <w:rFonts w:ascii="Times New Roman" w:hAnsi="Times New Roman" w:cs="Times New Roman"/>
                <w:sz w:val="24"/>
                <w:szCs w:val="24"/>
              </w:rPr>
            </w:pPr>
            <w:r w:rsidRPr="003E17D4">
              <w:rPr>
                <w:rFonts w:ascii="Times New Roman" w:hAnsi="Times New Roman" w:cs="Times New Roman"/>
                <w:sz w:val="24"/>
                <w:szCs w:val="24"/>
              </w:rPr>
              <w:t>3.5. Об'єм технологічних електричних мереж в умовних одиницях (додаток 2</w:t>
            </w:r>
            <w:r>
              <w:rPr>
                <w:rFonts w:ascii="Times New Roman" w:hAnsi="Times New Roman" w:cs="Times New Roman"/>
                <w:sz w:val="24"/>
                <w:szCs w:val="24"/>
              </w:rPr>
              <w:t xml:space="preserve"> </w:t>
            </w:r>
            <w:r w:rsidRPr="003E17D4">
              <w:rPr>
                <w:rFonts w:ascii="Times New Roman" w:hAnsi="Times New Roman" w:cs="Times New Roman"/>
                <w:b/>
                <w:sz w:val="24"/>
                <w:szCs w:val="24"/>
                <w:highlight w:val="yellow"/>
              </w:rPr>
              <w:t>до цієї Методики</w:t>
            </w:r>
            <w:r w:rsidRPr="003E17D4">
              <w:rPr>
                <w:rFonts w:ascii="Times New Roman" w:hAnsi="Times New Roman" w:cs="Times New Roman"/>
                <w:sz w:val="24"/>
                <w:szCs w:val="24"/>
              </w:rPr>
              <w:t>) визначається додаванням умовних одиниць, розрахованих відповідно до таблиць 3.1 - 3.6 додатка 3 до цієї Методики.</w:t>
            </w:r>
          </w:p>
        </w:tc>
      </w:tr>
      <w:tr w:rsidR="00C157E5" w:rsidRPr="001F699C" w:rsidTr="00A0379C">
        <w:tc>
          <w:tcPr>
            <w:tcW w:w="7366" w:type="dxa"/>
          </w:tcPr>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4.1. Щороку оператори системи до 31 січня поточного календарного року подають до НКРЕКП: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перелік та величину операційних витрат оператора системи з передачі електричної енергії (утримання та експлуатація місцевих (локальних) електричних мереж), що враховуються при розрахунку нормативу витрат на умовну одиницю, відповідно до форми, наведеної в додатку 4 до цієї Методики (без урахування витрат з прибутку) за даними структури витрат до тарифу на передачу електричної енергії, який є чинним на дату надання інформації;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оцінку об'єму місцевих (локальних) електричних мереж в умовних одиницях, обчислену відповідно до розділу III «Розрахунок умовних одиниць технологічного обладнання електромереж операторів </w:t>
            </w:r>
            <w:r w:rsidRPr="001F699C">
              <w:rPr>
                <w:rFonts w:ascii="Times New Roman" w:hAnsi="Times New Roman" w:cs="Times New Roman"/>
                <w:sz w:val="24"/>
                <w:szCs w:val="24"/>
              </w:rPr>
              <w:lastRenderedPageBreak/>
              <w:t xml:space="preserve">системи та основних споживачів» цієї Методики за формою, наведеною в додатку 2 до цієї Методики.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За надання недостовірної інформації оператор системи, на території здійснення ліцензованої діяльності якої приєднані електроустановки основного споживача, є відповідальною згідно з чинним законодавством.</w:t>
            </w:r>
          </w:p>
        </w:tc>
        <w:tc>
          <w:tcPr>
            <w:tcW w:w="7230" w:type="dxa"/>
          </w:tcPr>
          <w:p w:rsidR="00C157E5" w:rsidRPr="001F699C" w:rsidRDefault="00C157E5" w:rsidP="00917E18">
            <w:pPr>
              <w:autoSpaceDE w:val="0"/>
              <w:autoSpaceDN w:val="0"/>
              <w:adjustRightInd w:val="0"/>
              <w:jc w:val="both"/>
              <w:rPr>
                <w:rFonts w:ascii="Times New Roman" w:hAnsi="Times New Roman" w:cs="Times New Roman"/>
                <w:sz w:val="24"/>
                <w:szCs w:val="24"/>
              </w:rPr>
            </w:pPr>
            <w:r w:rsidRPr="001F699C">
              <w:rPr>
                <w:rFonts w:ascii="Times New Roman" w:hAnsi="Times New Roman" w:cs="Times New Roman"/>
                <w:sz w:val="24"/>
                <w:szCs w:val="24"/>
              </w:rPr>
              <w:lastRenderedPageBreak/>
              <w:t>4.1. Щороку оператори систем</w:t>
            </w:r>
            <w:r w:rsidRPr="002D008D">
              <w:rPr>
                <w:rFonts w:ascii="Times New Roman" w:hAnsi="Times New Roman" w:cs="Times New Roman"/>
                <w:b/>
                <w:strike/>
                <w:sz w:val="24"/>
                <w:szCs w:val="24"/>
                <w:highlight w:val="yellow"/>
              </w:rPr>
              <w:t>и</w:t>
            </w:r>
            <w:r w:rsidRPr="001F699C">
              <w:rPr>
                <w:rFonts w:ascii="Times New Roman" w:hAnsi="Times New Roman" w:cs="Times New Roman"/>
                <w:sz w:val="24"/>
                <w:szCs w:val="24"/>
              </w:rPr>
              <w:t xml:space="preserve"> до 31 січня поточного календарного року подають до НКРЕКП: </w:t>
            </w:r>
          </w:p>
          <w:p w:rsidR="00C157E5" w:rsidRPr="001F699C" w:rsidRDefault="00C157E5" w:rsidP="00917E18">
            <w:pPr>
              <w:autoSpaceDE w:val="0"/>
              <w:autoSpaceDN w:val="0"/>
              <w:adjustRightInd w:val="0"/>
              <w:jc w:val="both"/>
              <w:rPr>
                <w:rFonts w:ascii="Times New Roman" w:hAnsi="Times New Roman" w:cs="Times New Roman"/>
                <w:sz w:val="24"/>
                <w:szCs w:val="24"/>
              </w:rPr>
            </w:pPr>
            <w:r w:rsidRPr="001F699C">
              <w:rPr>
                <w:rFonts w:ascii="Times New Roman" w:hAnsi="Times New Roman" w:cs="Times New Roman"/>
                <w:sz w:val="24"/>
                <w:szCs w:val="24"/>
              </w:rPr>
              <w:t xml:space="preserve">перелік та величину операційних витрат оператора системи </w:t>
            </w:r>
            <w:r w:rsidRPr="001C7BBD">
              <w:rPr>
                <w:rFonts w:ascii="Times New Roman" w:hAnsi="Times New Roman" w:cs="Times New Roman"/>
                <w:b/>
                <w:strike/>
                <w:sz w:val="24"/>
                <w:szCs w:val="24"/>
                <w:highlight w:val="yellow"/>
              </w:rPr>
              <w:t>з передачі електричної енергії</w:t>
            </w:r>
            <w:r w:rsidRPr="001F699C">
              <w:rPr>
                <w:rFonts w:ascii="Times New Roman" w:hAnsi="Times New Roman" w:cs="Times New Roman"/>
                <w:sz w:val="24"/>
                <w:szCs w:val="24"/>
              </w:rPr>
              <w:t xml:space="preserve"> (утримання та експлуатація </w:t>
            </w:r>
            <w:r w:rsidRPr="001C7BBD">
              <w:rPr>
                <w:rFonts w:ascii="Times New Roman" w:hAnsi="Times New Roman" w:cs="Times New Roman"/>
                <w:b/>
                <w:strike/>
                <w:sz w:val="24"/>
                <w:szCs w:val="24"/>
                <w:highlight w:val="yellow"/>
              </w:rPr>
              <w:t>місцевих (локальних)</w:t>
            </w:r>
            <w:r w:rsidRPr="001F699C">
              <w:rPr>
                <w:rFonts w:ascii="Times New Roman" w:hAnsi="Times New Roman" w:cs="Times New Roman"/>
                <w:sz w:val="24"/>
                <w:szCs w:val="24"/>
              </w:rPr>
              <w:t xml:space="preserve"> електричних мереж </w:t>
            </w:r>
            <w:r w:rsidRPr="001C7BBD">
              <w:rPr>
                <w:rFonts w:ascii="Times New Roman" w:hAnsi="Times New Roman" w:cs="Times New Roman"/>
                <w:b/>
                <w:sz w:val="24"/>
                <w:szCs w:val="24"/>
                <w:highlight w:val="yellow"/>
              </w:rPr>
              <w:t>оператора системи</w:t>
            </w:r>
            <w:r w:rsidRPr="001F699C">
              <w:rPr>
                <w:rFonts w:ascii="Times New Roman" w:hAnsi="Times New Roman" w:cs="Times New Roman"/>
                <w:sz w:val="24"/>
                <w:szCs w:val="24"/>
              </w:rPr>
              <w:t xml:space="preserve">), що враховуються при розрахунку нормативу витрат на умовну одиницю, відповідно до форми, наведеної в додатку 4 до цієї Методики (без урахування витрат з прибутку) за даними структури витрат до тарифу на </w:t>
            </w:r>
            <w:r w:rsidRPr="001C7BBD">
              <w:rPr>
                <w:rFonts w:ascii="Times New Roman" w:hAnsi="Times New Roman" w:cs="Times New Roman"/>
                <w:b/>
                <w:sz w:val="24"/>
                <w:szCs w:val="24"/>
                <w:highlight w:val="yellow"/>
              </w:rPr>
              <w:t>послуги з розподілу/передачі електричної енергії оператора системи розподілу/оператора системи передачі</w:t>
            </w:r>
            <w:r w:rsidRPr="001F699C">
              <w:rPr>
                <w:rFonts w:ascii="Times New Roman" w:hAnsi="Times New Roman" w:cs="Times New Roman"/>
                <w:b/>
                <w:sz w:val="24"/>
                <w:szCs w:val="24"/>
              </w:rPr>
              <w:t>,</w:t>
            </w:r>
            <w:r w:rsidRPr="001F699C">
              <w:rPr>
                <w:rFonts w:ascii="Times New Roman" w:hAnsi="Times New Roman" w:cs="Times New Roman"/>
                <w:sz w:val="24"/>
                <w:szCs w:val="24"/>
              </w:rPr>
              <w:t xml:space="preserve"> який є чинним на дату надання інформації;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оцінку об'єму </w:t>
            </w:r>
            <w:r w:rsidRPr="001C7BBD">
              <w:rPr>
                <w:rFonts w:ascii="Times New Roman" w:hAnsi="Times New Roman" w:cs="Times New Roman"/>
                <w:b/>
                <w:strike/>
                <w:sz w:val="24"/>
                <w:szCs w:val="24"/>
                <w:highlight w:val="yellow"/>
              </w:rPr>
              <w:t>місцевих (локальних)</w:t>
            </w:r>
            <w:r w:rsidRPr="001F699C">
              <w:rPr>
                <w:rFonts w:ascii="Times New Roman" w:hAnsi="Times New Roman" w:cs="Times New Roman"/>
                <w:sz w:val="24"/>
                <w:szCs w:val="24"/>
              </w:rPr>
              <w:t xml:space="preserve"> електричних мереж </w:t>
            </w:r>
            <w:r w:rsidRPr="001C7BBD">
              <w:rPr>
                <w:rFonts w:ascii="Times New Roman" w:hAnsi="Times New Roman" w:cs="Times New Roman"/>
                <w:b/>
                <w:sz w:val="24"/>
                <w:szCs w:val="24"/>
                <w:highlight w:val="yellow"/>
              </w:rPr>
              <w:t>оператора системи</w:t>
            </w:r>
            <w:r w:rsidRPr="001F699C">
              <w:rPr>
                <w:rFonts w:ascii="Times New Roman" w:hAnsi="Times New Roman" w:cs="Times New Roman"/>
                <w:sz w:val="24"/>
                <w:szCs w:val="24"/>
              </w:rPr>
              <w:t xml:space="preserve"> в умовних одиницях, обчислену відповідно до </w:t>
            </w:r>
            <w:r w:rsidRPr="001F699C">
              <w:rPr>
                <w:rFonts w:ascii="Times New Roman" w:hAnsi="Times New Roman" w:cs="Times New Roman"/>
                <w:sz w:val="24"/>
                <w:szCs w:val="24"/>
              </w:rPr>
              <w:lastRenderedPageBreak/>
              <w:t>розділу III «Розрахунок умовних одиниць технологічного обладнання електромереж операторів систем</w:t>
            </w:r>
            <w:r w:rsidRPr="001B1F33">
              <w:rPr>
                <w:rFonts w:ascii="Times New Roman" w:hAnsi="Times New Roman" w:cs="Times New Roman"/>
                <w:b/>
                <w:strike/>
                <w:sz w:val="24"/>
                <w:szCs w:val="24"/>
                <w:highlight w:val="yellow"/>
              </w:rPr>
              <w:t>и</w:t>
            </w:r>
            <w:r w:rsidRPr="001F699C">
              <w:rPr>
                <w:rFonts w:ascii="Times New Roman" w:hAnsi="Times New Roman" w:cs="Times New Roman"/>
                <w:sz w:val="24"/>
                <w:szCs w:val="24"/>
              </w:rPr>
              <w:t xml:space="preserve"> та основних споживачів» цієї Методики за формою, наведеною в додатку 2 до цієї Методики. </w:t>
            </w:r>
          </w:p>
          <w:p w:rsidR="00C157E5" w:rsidRPr="001F699C" w:rsidRDefault="00C157E5" w:rsidP="00F64731">
            <w:pPr>
              <w:ind w:firstLine="284"/>
              <w:jc w:val="both"/>
              <w:rPr>
                <w:rFonts w:ascii="Times New Roman" w:hAnsi="Times New Roman" w:cs="Times New Roman"/>
                <w:sz w:val="24"/>
                <w:szCs w:val="24"/>
              </w:rPr>
            </w:pPr>
            <w:r w:rsidRPr="001F699C">
              <w:rPr>
                <w:rFonts w:ascii="Times New Roman" w:hAnsi="Times New Roman" w:cs="Times New Roman"/>
                <w:sz w:val="24"/>
                <w:szCs w:val="24"/>
              </w:rPr>
              <w:t>За надання недостовірної інформації оператор системи, на території здійснення ліцензованої діяльності яко</w:t>
            </w:r>
            <w:r w:rsidRPr="00F64731">
              <w:rPr>
                <w:rFonts w:ascii="Times New Roman" w:hAnsi="Times New Roman" w:cs="Times New Roman"/>
                <w:b/>
                <w:sz w:val="24"/>
                <w:szCs w:val="24"/>
                <w:highlight w:val="yellow"/>
              </w:rPr>
              <w:t>го</w:t>
            </w:r>
            <w:r w:rsidRPr="001F699C">
              <w:rPr>
                <w:rFonts w:ascii="Times New Roman" w:hAnsi="Times New Roman" w:cs="Times New Roman"/>
                <w:sz w:val="24"/>
                <w:szCs w:val="24"/>
              </w:rPr>
              <w:t xml:space="preserve"> приєднані електроустановки основного споживача, є відповідальною згідно з чинним законодавством.</w:t>
            </w:r>
          </w:p>
        </w:tc>
      </w:tr>
      <w:tr w:rsidR="00C157E5" w:rsidRPr="001F699C" w:rsidTr="00A0379C">
        <w:tc>
          <w:tcPr>
            <w:tcW w:w="7366" w:type="dxa"/>
          </w:tcPr>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lastRenderedPageBreak/>
              <w:t>4.2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B i - сума витрат з виробничої собівартості передачі електричної енергії для i-тої оператора системи, на території здійснення ліцензованої діяльності якої приєднані електроустановки основного споживача, що визначається відповідно до додатка 4;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Y i - об'єм місцевих (локальних) електричних мереж в умовних одиницях і-тої оператора системи, на території здійснення ліцензованої діяльності якої приєднані електроустановки основного споживача.</w:t>
            </w:r>
          </w:p>
        </w:tc>
        <w:tc>
          <w:tcPr>
            <w:tcW w:w="7230" w:type="dxa"/>
          </w:tcPr>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4.2 ….</w:t>
            </w:r>
          </w:p>
          <w:p w:rsidR="00C157E5" w:rsidRPr="001F699C" w:rsidRDefault="00C157E5" w:rsidP="00917E18">
            <w:pPr>
              <w:ind w:firstLine="284"/>
              <w:jc w:val="both"/>
              <w:rPr>
                <w:rFonts w:ascii="Times New Roman" w:hAnsi="Times New Roman" w:cs="Times New Roman"/>
                <w:sz w:val="24"/>
                <w:szCs w:val="24"/>
              </w:rPr>
            </w:pPr>
            <w:bookmarkStart w:id="0" w:name="_Hlk111487545"/>
            <w:r w:rsidRPr="001F699C">
              <w:rPr>
                <w:rFonts w:ascii="Times New Roman" w:hAnsi="Times New Roman" w:cs="Times New Roman"/>
                <w:sz w:val="24"/>
                <w:szCs w:val="24"/>
              </w:rPr>
              <w:t xml:space="preserve">B i - сума витрат з виробничої собівартості </w:t>
            </w:r>
            <w:r w:rsidRPr="001F699C">
              <w:rPr>
                <w:rFonts w:ascii="Times New Roman" w:hAnsi="Times New Roman" w:cs="Times New Roman"/>
                <w:b/>
                <w:sz w:val="24"/>
                <w:szCs w:val="24"/>
                <w:highlight w:val="yellow"/>
              </w:rPr>
              <w:t>розподілу/</w:t>
            </w:r>
            <w:r w:rsidRPr="001F699C">
              <w:rPr>
                <w:rFonts w:ascii="Times New Roman" w:hAnsi="Times New Roman" w:cs="Times New Roman"/>
                <w:sz w:val="24"/>
                <w:szCs w:val="24"/>
              </w:rPr>
              <w:t>передачі електричної енергії для i-то</w:t>
            </w:r>
            <w:r w:rsidRPr="001F699C">
              <w:rPr>
                <w:rFonts w:ascii="Times New Roman" w:hAnsi="Times New Roman" w:cs="Times New Roman"/>
                <w:b/>
                <w:sz w:val="24"/>
                <w:szCs w:val="24"/>
                <w:highlight w:val="yellow"/>
              </w:rPr>
              <w:t>го</w:t>
            </w:r>
            <w:r w:rsidRPr="001F699C">
              <w:rPr>
                <w:rFonts w:ascii="Times New Roman" w:hAnsi="Times New Roman" w:cs="Times New Roman"/>
                <w:sz w:val="24"/>
                <w:szCs w:val="24"/>
              </w:rPr>
              <w:t xml:space="preserve"> оператора системи, на території здійснення ліцензованої діяльності яко</w:t>
            </w:r>
            <w:r w:rsidRPr="001F699C">
              <w:rPr>
                <w:rFonts w:ascii="Times New Roman" w:hAnsi="Times New Roman" w:cs="Times New Roman"/>
                <w:b/>
                <w:sz w:val="24"/>
                <w:szCs w:val="24"/>
                <w:highlight w:val="yellow"/>
              </w:rPr>
              <w:t>го</w:t>
            </w:r>
            <w:r w:rsidRPr="001F699C">
              <w:rPr>
                <w:rFonts w:ascii="Times New Roman" w:hAnsi="Times New Roman" w:cs="Times New Roman"/>
                <w:sz w:val="24"/>
                <w:szCs w:val="24"/>
              </w:rPr>
              <w:t xml:space="preserve"> приєднані електроустановки основного споживача, що визначається відповідно до додатка 4 </w:t>
            </w:r>
            <w:r w:rsidRPr="001F699C">
              <w:rPr>
                <w:rFonts w:ascii="Times New Roman" w:hAnsi="Times New Roman" w:cs="Times New Roman"/>
                <w:b/>
                <w:sz w:val="24"/>
                <w:szCs w:val="24"/>
                <w:highlight w:val="yellow"/>
              </w:rPr>
              <w:t>до цієї Методики</w:t>
            </w:r>
            <w:bookmarkEnd w:id="0"/>
            <w:r w:rsidRPr="001F699C">
              <w:rPr>
                <w:rFonts w:ascii="Times New Roman" w:hAnsi="Times New Roman" w:cs="Times New Roman"/>
                <w:sz w:val="24"/>
                <w:szCs w:val="24"/>
              </w:rPr>
              <w:t xml:space="preserve">; </w:t>
            </w:r>
          </w:p>
          <w:p w:rsidR="00C157E5" w:rsidRPr="001F699C" w:rsidRDefault="00C157E5" w:rsidP="00917E18">
            <w:pPr>
              <w:ind w:firstLine="284"/>
              <w:jc w:val="both"/>
              <w:rPr>
                <w:rFonts w:ascii="Times New Roman" w:hAnsi="Times New Roman" w:cs="Times New Roman"/>
                <w:sz w:val="24"/>
                <w:szCs w:val="24"/>
              </w:rPr>
            </w:pPr>
            <w:r w:rsidRPr="001F699C">
              <w:rPr>
                <w:rFonts w:ascii="Times New Roman" w:hAnsi="Times New Roman" w:cs="Times New Roman"/>
                <w:sz w:val="24"/>
                <w:szCs w:val="24"/>
              </w:rPr>
              <w:t xml:space="preserve">Y i - об'єм </w:t>
            </w:r>
            <w:r w:rsidRPr="001F699C">
              <w:rPr>
                <w:rFonts w:ascii="Times New Roman" w:hAnsi="Times New Roman" w:cs="Times New Roman"/>
                <w:b/>
                <w:strike/>
                <w:sz w:val="24"/>
                <w:szCs w:val="24"/>
                <w:highlight w:val="yellow"/>
              </w:rPr>
              <w:t>місцевих (локальних)</w:t>
            </w:r>
            <w:r w:rsidRPr="001F699C">
              <w:rPr>
                <w:rFonts w:ascii="Times New Roman" w:hAnsi="Times New Roman" w:cs="Times New Roman"/>
                <w:sz w:val="24"/>
                <w:szCs w:val="24"/>
              </w:rPr>
              <w:t xml:space="preserve"> електричних мереж в умовних одиницях і-то</w:t>
            </w:r>
            <w:r w:rsidRPr="001F699C">
              <w:rPr>
                <w:rFonts w:ascii="Times New Roman" w:hAnsi="Times New Roman" w:cs="Times New Roman"/>
                <w:b/>
                <w:sz w:val="24"/>
                <w:szCs w:val="24"/>
                <w:highlight w:val="yellow"/>
              </w:rPr>
              <w:t>го</w:t>
            </w:r>
            <w:r w:rsidRPr="001F699C">
              <w:rPr>
                <w:rFonts w:ascii="Times New Roman" w:hAnsi="Times New Roman" w:cs="Times New Roman"/>
                <w:sz w:val="24"/>
                <w:szCs w:val="24"/>
              </w:rPr>
              <w:t xml:space="preserve"> оператора системи, на території здійснення ліцензованої діяльності яко</w:t>
            </w:r>
            <w:r w:rsidRPr="001F699C">
              <w:rPr>
                <w:rFonts w:ascii="Times New Roman" w:hAnsi="Times New Roman" w:cs="Times New Roman"/>
                <w:b/>
                <w:sz w:val="24"/>
                <w:szCs w:val="24"/>
                <w:highlight w:val="yellow"/>
              </w:rPr>
              <w:t>го</w:t>
            </w:r>
            <w:r w:rsidRPr="001F699C">
              <w:rPr>
                <w:rFonts w:ascii="Times New Roman" w:hAnsi="Times New Roman" w:cs="Times New Roman"/>
                <w:sz w:val="24"/>
                <w:szCs w:val="24"/>
              </w:rPr>
              <w:t xml:space="preserve"> приєднані електроустановки основного споживача.</w:t>
            </w:r>
          </w:p>
        </w:tc>
      </w:tr>
      <w:tr w:rsidR="00C157E5" w:rsidRPr="001F699C" w:rsidTr="00A0379C">
        <w:tc>
          <w:tcPr>
            <w:tcW w:w="7366" w:type="dxa"/>
          </w:tcPr>
          <w:p w:rsidR="00C157E5" w:rsidRPr="001F699C" w:rsidRDefault="00C157E5" w:rsidP="00917E18">
            <w:pPr>
              <w:ind w:firstLine="284"/>
              <w:jc w:val="both"/>
              <w:rPr>
                <w:rFonts w:ascii="Times New Roman" w:hAnsi="Times New Roman" w:cs="Times New Roman"/>
                <w:sz w:val="24"/>
                <w:szCs w:val="24"/>
              </w:rPr>
            </w:pPr>
            <w:r w:rsidRPr="00B10556">
              <w:rPr>
                <w:rFonts w:ascii="Times New Roman" w:hAnsi="Times New Roman" w:cs="Times New Roman"/>
                <w:sz w:val="24"/>
                <w:szCs w:val="24"/>
              </w:rPr>
              <w:t xml:space="preserve">4.3. Норматив витрат на умовну одиницю технологічних електричних мереж спільного використання встановлюється, виходячи з питомих витрат оператора системи, але таким, що не перевищує більш ніж у 1,5 </w:t>
            </w:r>
            <w:proofErr w:type="spellStart"/>
            <w:r w:rsidRPr="00B10556">
              <w:rPr>
                <w:rFonts w:ascii="Times New Roman" w:hAnsi="Times New Roman" w:cs="Times New Roman"/>
                <w:sz w:val="24"/>
                <w:szCs w:val="24"/>
              </w:rPr>
              <w:t>раза</w:t>
            </w:r>
            <w:proofErr w:type="spellEnd"/>
            <w:r w:rsidRPr="00B10556">
              <w:rPr>
                <w:rFonts w:ascii="Times New Roman" w:hAnsi="Times New Roman" w:cs="Times New Roman"/>
                <w:sz w:val="24"/>
                <w:szCs w:val="24"/>
              </w:rPr>
              <w:t xml:space="preserve"> середнє значення питомих витрат по Україні, розраховане за даними інших операторів системи.</w:t>
            </w:r>
          </w:p>
        </w:tc>
        <w:tc>
          <w:tcPr>
            <w:tcW w:w="7230" w:type="dxa"/>
          </w:tcPr>
          <w:p w:rsidR="00C157E5" w:rsidRPr="001F699C" w:rsidRDefault="00C157E5" w:rsidP="00917E18">
            <w:pPr>
              <w:ind w:firstLine="284"/>
              <w:jc w:val="both"/>
              <w:rPr>
                <w:rFonts w:ascii="Times New Roman" w:hAnsi="Times New Roman" w:cs="Times New Roman"/>
                <w:sz w:val="24"/>
                <w:szCs w:val="24"/>
              </w:rPr>
            </w:pPr>
            <w:r w:rsidRPr="00B10556">
              <w:rPr>
                <w:rFonts w:ascii="Times New Roman" w:hAnsi="Times New Roman" w:cs="Times New Roman"/>
                <w:sz w:val="24"/>
                <w:szCs w:val="24"/>
              </w:rPr>
              <w:t>4.3. Норматив витрат на умовну одиницю технологічних електричних мереж спільного використання встановлюється, виходячи з питомих витрат оператора системи, але таким, що не перевищує більш ніж у 1,5 раз</w:t>
            </w:r>
            <w:r w:rsidRPr="00B10556">
              <w:rPr>
                <w:rFonts w:ascii="Times New Roman" w:hAnsi="Times New Roman" w:cs="Times New Roman"/>
                <w:b/>
                <w:sz w:val="24"/>
                <w:szCs w:val="24"/>
                <w:highlight w:val="yellow"/>
              </w:rPr>
              <w:t>и</w:t>
            </w:r>
            <w:r w:rsidRPr="00B10556">
              <w:rPr>
                <w:rFonts w:ascii="Times New Roman" w:hAnsi="Times New Roman" w:cs="Times New Roman"/>
                <w:sz w:val="24"/>
                <w:szCs w:val="24"/>
              </w:rPr>
              <w:t xml:space="preserve"> середнє значення питомих витрат по Україні, розраховане за даними інших операторів систем</w:t>
            </w:r>
            <w:r w:rsidRPr="00B10556">
              <w:rPr>
                <w:rFonts w:ascii="Times New Roman" w:hAnsi="Times New Roman" w:cs="Times New Roman"/>
                <w:b/>
                <w:strike/>
                <w:sz w:val="24"/>
                <w:szCs w:val="24"/>
                <w:highlight w:val="yellow"/>
              </w:rPr>
              <w:t>и</w:t>
            </w:r>
            <w:r w:rsidRPr="00B10556">
              <w:rPr>
                <w:rFonts w:ascii="Times New Roman" w:hAnsi="Times New Roman" w:cs="Times New Roman"/>
                <w:sz w:val="24"/>
                <w:szCs w:val="24"/>
              </w:rPr>
              <w:t>.</w:t>
            </w:r>
          </w:p>
        </w:tc>
      </w:tr>
      <w:tr w:rsidR="00C157E5" w:rsidRPr="001F699C" w:rsidTr="00A0379C">
        <w:tc>
          <w:tcPr>
            <w:tcW w:w="7366" w:type="dxa"/>
          </w:tcPr>
          <w:p w:rsidR="00C157E5" w:rsidRPr="00B10556" w:rsidRDefault="00C157E5" w:rsidP="00B10556">
            <w:pPr>
              <w:ind w:firstLine="284"/>
              <w:jc w:val="both"/>
              <w:rPr>
                <w:rFonts w:ascii="Times New Roman" w:hAnsi="Times New Roman" w:cs="Times New Roman"/>
                <w:sz w:val="24"/>
                <w:szCs w:val="24"/>
              </w:rPr>
            </w:pPr>
            <w:r w:rsidRPr="00B10556">
              <w:rPr>
                <w:rFonts w:ascii="Times New Roman" w:hAnsi="Times New Roman" w:cs="Times New Roman"/>
                <w:sz w:val="24"/>
                <w:szCs w:val="24"/>
              </w:rPr>
              <w:t xml:space="preserve">4.4. Норматив витрат на умовну одиницю доводиться до відома структурних підрозділів НКРЕКП на території не пізніше 1 березня поточного календарного року. </w:t>
            </w:r>
          </w:p>
          <w:p w:rsidR="00C157E5" w:rsidRPr="001F699C" w:rsidRDefault="00C157E5" w:rsidP="00B10556">
            <w:pPr>
              <w:ind w:firstLine="284"/>
              <w:jc w:val="both"/>
              <w:rPr>
                <w:rFonts w:ascii="Times New Roman" w:hAnsi="Times New Roman" w:cs="Times New Roman"/>
                <w:sz w:val="24"/>
                <w:szCs w:val="24"/>
              </w:rPr>
            </w:pPr>
            <w:r w:rsidRPr="00B10556">
              <w:rPr>
                <w:rFonts w:ascii="Times New Roman" w:hAnsi="Times New Roman" w:cs="Times New Roman"/>
                <w:sz w:val="24"/>
                <w:szCs w:val="24"/>
              </w:rPr>
              <w:t>Для операторів системи, які не надали до 31 січня поточного календарного року інформацію згідно з пунктом 4.1 цієї Методики, норматив витрат на умовну одиницю встановлюється на рівні попереднього року.</w:t>
            </w:r>
          </w:p>
        </w:tc>
        <w:tc>
          <w:tcPr>
            <w:tcW w:w="7230" w:type="dxa"/>
          </w:tcPr>
          <w:p w:rsidR="00C157E5" w:rsidRPr="00B10556" w:rsidRDefault="00C157E5" w:rsidP="00B10556">
            <w:pPr>
              <w:ind w:firstLine="284"/>
              <w:jc w:val="both"/>
              <w:rPr>
                <w:rFonts w:ascii="Times New Roman" w:hAnsi="Times New Roman" w:cs="Times New Roman"/>
                <w:sz w:val="24"/>
                <w:szCs w:val="24"/>
              </w:rPr>
            </w:pPr>
            <w:r w:rsidRPr="00B10556">
              <w:rPr>
                <w:rFonts w:ascii="Times New Roman" w:hAnsi="Times New Roman" w:cs="Times New Roman"/>
                <w:sz w:val="24"/>
                <w:szCs w:val="24"/>
              </w:rPr>
              <w:t xml:space="preserve">4.4. Норматив витрат на умовну одиницю доводиться до відома структурних підрозділів НКРЕКП на території не пізніше 1 березня поточного календарного року. </w:t>
            </w:r>
          </w:p>
          <w:p w:rsidR="00C157E5" w:rsidRPr="001F699C" w:rsidRDefault="00C157E5" w:rsidP="00B10556">
            <w:pPr>
              <w:ind w:firstLine="284"/>
              <w:jc w:val="both"/>
              <w:rPr>
                <w:rFonts w:ascii="Times New Roman" w:hAnsi="Times New Roman" w:cs="Times New Roman"/>
                <w:sz w:val="24"/>
                <w:szCs w:val="24"/>
              </w:rPr>
            </w:pPr>
            <w:r w:rsidRPr="00B10556">
              <w:rPr>
                <w:rFonts w:ascii="Times New Roman" w:hAnsi="Times New Roman" w:cs="Times New Roman"/>
                <w:sz w:val="24"/>
                <w:szCs w:val="24"/>
              </w:rPr>
              <w:t>Для операторів систем</w:t>
            </w:r>
            <w:r w:rsidRPr="00B10556">
              <w:rPr>
                <w:rFonts w:ascii="Times New Roman" w:hAnsi="Times New Roman" w:cs="Times New Roman"/>
                <w:b/>
                <w:strike/>
                <w:sz w:val="24"/>
                <w:szCs w:val="24"/>
                <w:highlight w:val="yellow"/>
              </w:rPr>
              <w:t>и</w:t>
            </w:r>
            <w:r w:rsidRPr="00B10556">
              <w:rPr>
                <w:rFonts w:ascii="Times New Roman" w:hAnsi="Times New Roman" w:cs="Times New Roman"/>
                <w:sz w:val="24"/>
                <w:szCs w:val="24"/>
              </w:rPr>
              <w:t>, які не надали до 31 січня поточного календарного року інформацію згідно з пунктом 4.1 цієї Методики, норматив витрат на умовну одиницю встановлюється на рівні попереднього року.</w:t>
            </w:r>
          </w:p>
        </w:tc>
      </w:tr>
      <w:tr w:rsidR="00C907A0" w:rsidRPr="001F699C" w:rsidTr="00A0379C">
        <w:tc>
          <w:tcPr>
            <w:tcW w:w="14596" w:type="dxa"/>
            <w:gridSpan w:val="2"/>
          </w:tcPr>
          <w:p w:rsidR="00C907A0" w:rsidRDefault="00EE7409" w:rsidP="008670A4">
            <w:pPr>
              <w:ind w:firstLine="284"/>
              <w:jc w:val="right"/>
              <w:rPr>
                <w:rFonts w:ascii="Times New Roman" w:hAnsi="Times New Roman" w:cs="Times New Roman"/>
                <w:sz w:val="24"/>
                <w:szCs w:val="24"/>
              </w:rPr>
            </w:pPr>
            <w:r>
              <w:rPr>
                <w:rFonts w:ascii="Times New Roman" w:hAnsi="Times New Roman" w:cs="Times New Roman"/>
                <w:sz w:val="24"/>
                <w:szCs w:val="24"/>
              </w:rPr>
              <w:t>Таблиця 3.5 до додатка 3 Методики</w:t>
            </w:r>
            <w:bookmarkStart w:id="1" w:name="_GoBack"/>
            <w:bookmarkEnd w:id="1"/>
          </w:p>
        </w:tc>
      </w:tr>
      <w:tr w:rsidR="00C157E5" w:rsidRPr="001F699C" w:rsidTr="00A0379C">
        <w:tc>
          <w:tcPr>
            <w:tcW w:w="7366" w:type="dxa"/>
          </w:tcPr>
          <w:p w:rsidR="00C157E5" w:rsidRPr="00C907A0" w:rsidRDefault="00C157E5" w:rsidP="00917E18">
            <w:pPr>
              <w:ind w:firstLine="284"/>
              <w:jc w:val="both"/>
              <w:rPr>
                <w:rFonts w:ascii="Times New Roman" w:hAnsi="Times New Roman" w:cs="Times New Roman"/>
                <w:sz w:val="24"/>
                <w:szCs w:val="24"/>
              </w:rPr>
            </w:pPr>
          </w:p>
        </w:tc>
        <w:tc>
          <w:tcPr>
            <w:tcW w:w="7230" w:type="dxa"/>
          </w:tcPr>
          <w:p w:rsidR="00C157E5" w:rsidRPr="00C907A0" w:rsidRDefault="00C157E5" w:rsidP="00C907A0">
            <w:pPr>
              <w:ind w:firstLine="284"/>
              <w:jc w:val="both"/>
              <w:rPr>
                <w:rFonts w:ascii="Times New Roman" w:hAnsi="Times New Roman" w:cs="Times New Roman"/>
                <w:sz w:val="24"/>
                <w:szCs w:val="24"/>
              </w:rPr>
            </w:pPr>
            <w:r>
              <w:rPr>
                <w:rFonts w:ascii="Times New Roman" w:hAnsi="Times New Roman" w:cs="Times New Roman"/>
                <w:sz w:val="24"/>
                <w:szCs w:val="24"/>
              </w:rPr>
              <w:t>У тексті слова «</w:t>
            </w:r>
            <w:r w:rsidRPr="00C907A0">
              <w:rPr>
                <w:rFonts w:ascii="Times New Roman" w:hAnsi="Times New Roman" w:cs="Times New Roman"/>
                <w:b/>
                <w:sz w:val="24"/>
                <w:szCs w:val="24"/>
              </w:rPr>
              <w:t>прилади облі</w:t>
            </w:r>
            <w:r>
              <w:rPr>
                <w:rFonts w:ascii="Times New Roman" w:hAnsi="Times New Roman" w:cs="Times New Roman"/>
                <w:sz w:val="24"/>
                <w:szCs w:val="24"/>
              </w:rPr>
              <w:t xml:space="preserve">ку» </w:t>
            </w:r>
            <w:r w:rsidRPr="00C907A0">
              <w:rPr>
                <w:rFonts w:ascii="Times New Roman" w:hAnsi="Times New Roman" w:cs="Times New Roman"/>
                <w:sz w:val="24"/>
                <w:szCs w:val="24"/>
              </w:rPr>
              <w:t xml:space="preserve">у всіх відмінках </w:t>
            </w:r>
            <w:r>
              <w:rPr>
                <w:rFonts w:ascii="Times New Roman" w:hAnsi="Times New Roman" w:cs="Times New Roman"/>
                <w:sz w:val="24"/>
                <w:szCs w:val="24"/>
              </w:rPr>
              <w:t>замінити словом «</w:t>
            </w:r>
            <w:r w:rsidRPr="00C907A0">
              <w:rPr>
                <w:rFonts w:ascii="Times New Roman" w:hAnsi="Times New Roman" w:cs="Times New Roman"/>
                <w:b/>
                <w:sz w:val="24"/>
                <w:szCs w:val="24"/>
                <w:highlight w:val="yellow"/>
              </w:rPr>
              <w:t>лічильники</w:t>
            </w:r>
            <w:r>
              <w:rPr>
                <w:rFonts w:ascii="Times New Roman" w:hAnsi="Times New Roman" w:cs="Times New Roman"/>
                <w:sz w:val="24"/>
                <w:szCs w:val="24"/>
              </w:rPr>
              <w:t>»</w:t>
            </w:r>
          </w:p>
        </w:tc>
      </w:tr>
      <w:tr w:rsidR="008670A4" w:rsidRPr="001F699C" w:rsidTr="00D40D0C">
        <w:tc>
          <w:tcPr>
            <w:tcW w:w="14596" w:type="dxa"/>
            <w:gridSpan w:val="2"/>
          </w:tcPr>
          <w:p w:rsidR="008670A4" w:rsidRPr="00C907A0" w:rsidRDefault="008670A4" w:rsidP="008670A4">
            <w:pPr>
              <w:ind w:firstLine="284"/>
              <w:jc w:val="right"/>
              <w:rPr>
                <w:rFonts w:ascii="Times New Roman" w:hAnsi="Times New Roman" w:cs="Times New Roman"/>
                <w:sz w:val="24"/>
                <w:szCs w:val="24"/>
              </w:rPr>
            </w:pPr>
          </w:p>
        </w:tc>
      </w:tr>
      <w:tr w:rsidR="00C157E5" w:rsidRPr="001F699C" w:rsidTr="00A0379C">
        <w:tc>
          <w:tcPr>
            <w:tcW w:w="7366" w:type="dxa"/>
          </w:tcPr>
          <w:p w:rsidR="00C157E5" w:rsidRPr="001F699C" w:rsidRDefault="00C157E5" w:rsidP="00917E18">
            <w:pPr>
              <w:ind w:firstLine="284"/>
              <w:jc w:val="both"/>
              <w:rPr>
                <w:rFonts w:ascii="Times New Roman" w:hAnsi="Times New Roman" w:cs="Times New Roman"/>
                <w:sz w:val="24"/>
                <w:szCs w:val="24"/>
              </w:rPr>
            </w:pPr>
            <w:r w:rsidRPr="00C907A0">
              <w:rPr>
                <w:rFonts w:ascii="Times New Roman" w:hAnsi="Times New Roman" w:cs="Times New Roman"/>
                <w:sz w:val="24"/>
                <w:szCs w:val="24"/>
              </w:rPr>
              <w:lastRenderedPageBreak/>
              <w:t xml:space="preserve">1. Умовні одиниці електронних приладів обліку електричної енергії враховуються тільки для підприємств, які виконують функції </w:t>
            </w:r>
            <w:proofErr w:type="spellStart"/>
            <w:r w:rsidRPr="00C907A0">
              <w:rPr>
                <w:rFonts w:ascii="Times New Roman" w:hAnsi="Times New Roman" w:cs="Times New Roman"/>
                <w:sz w:val="24"/>
                <w:szCs w:val="24"/>
              </w:rPr>
              <w:t>енергозбуту</w:t>
            </w:r>
            <w:proofErr w:type="spellEnd"/>
            <w:r w:rsidRPr="00C907A0">
              <w:rPr>
                <w:rFonts w:ascii="Times New Roman" w:hAnsi="Times New Roman" w:cs="Times New Roman"/>
                <w:sz w:val="24"/>
                <w:szCs w:val="24"/>
              </w:rPr>
              <w:t>.</w:t>
            </w:r>
          </w:p>
        </w:tc>
        <w:tc>
          <w:tcPr>
            <w:tcW w:w="7230" w:type="dxa"/>
          </w:tcPr>
          <w:p w:rsidR="00C157E5" w:rsidRPr="001F699C" w:rsidRDefault="00C157E5" w:rsidP="00C907A0">
            <w:pPr>
              <w:ind w:firstLine="284"/>
              <w:jc w:val="both"/>
              <w:rPr>
                <w:rFonts w:ascii="Times New Roman" w:hAnsi="Times New Roman" w:cs="Times New Roman"/>
                <w:sz w:val="24"/>
                <w:szCs w:val="24"/>
              </w:rPr>
            </w:pPr>
            <w:r w:rsidRPr="00C907A0">
              <w:rPr>
                <w:rFonts w:ascii="Times New Roman" w:hAnsi="Times New Roman" w:cs="Times New Roman"/>
                <w:sz w:val="24"/>
                <w:szCs w:val="24"/>
              </w:rPr>
              <w:t xml:space="preserve">1. Умовні одиниці електронних </w:t>
            </w:r>
            <w:r w:rsidRPr="0060530F">
              <w:rPr>
                <w:rFonts w:ascii="Times New Roman" w:hAnsi="Times New Roman" w:cs="Times New Roman"/>
                <w:b/>
                <w:sz w:val="24"/>
                <w:szCs w:val="24"/>
              </w:rPr>
              <w:t>лічильників</w:t>
            </w:r>
            <w:r w:rsidRPr="00C907A0">
              <w:rPr>
                <w:rFonts w:ascii="Times New Roman" w:hAnsi="Times New Roman" w:cs="Times New Roman"/>
                <w:sz w:val="24"/>
                <w:szCs w:val="24"/>
              </w:rPr>
              <w:t xml:space="preserve"> електричної енергії враховуються тільки для</w:t>
            </w:r>
            <w:r>
              <w:rPr>
                <w:rFonts w:ascii="Times New Roman" w:hAnsi="Times New Roman" w:cs="Times New Roman"/>
                <w:sz w:val="24"/>
                <w:szCs w:val="24"/>
              </w:rPr>
              <w:t xml:space="preserve"> </w:t>
            </w:r>
            <w:r w:rsidRPr="005D2A92">
              <w:rPr>
                <w:rFonts w:ascii="Times New Roman" w:hAnsi="Times New Roman" w:cs="Times New Roman"/>
                <w:b/>
                <w:sz w:val="24"/>
                <w:szCs w:val="24"/>
                <w:highlight w:val="yellow"/>
              </w:rPr>
              <w:t>операторів систем та</w:t>
            </w:r>
            <w:r w:rsidRPr="00C907A0">
              <w:rPr>
                <w:rFonts w:ascii="Times New Roman" w:hAnsi="Times New Roman" w:cs="Times New Roman"/>
                <w:sz w:val="24"/>
                <w:szCs w:val="24"/>
              </w:rPr>
              <w:t xml:space="preserve"> підприємств, </w:t>
            </w:r>
            <w:r w:rsidRPr="005D2A92">
              <w:rPr>
                <w:rFonts w:ascii="Times New Roman" w:hAnsi="Times New Roman" w:cs="Times New Roman"/>
                <w:b/>
                <w:sz w:val="24"/>
                <w:szCs w:val="24"/>
                <w:highlight w:val="yellow"/>
              </w:rPr>
              <w:t>електричні мережі яких використовуються оператором системи для транспортування електричної енергії у мережі оператора системи</w:t>
            </w:r>
            <w:r>
              <w:rPr>
                <w:rFonts w:ascii="Times New Roman" w:hAnsi="Times New Roman" w:cs="Times New Roman"/>
                <w:sz w:val="24"/>
                <w:szCs w:val="24"/>
              </w:rPr>
              <w:t>.</w:t>
            </w:r>
          </w:p>
        </w:tc>
      </w:tr>
      <w:tr w:rsidR="00917E18" w:rsidRPr="001F699C" w:rsidTr="00A0379C">
        <w:tc>
          <w:tcPr>
            <w:tcW w:w="14596" w:type="dxa"/>
            <w:gridSpan w:val="2"/>
          </w:tcPr>
          <w:p w:rsidR="00917E18" w:rsidRPr="001F699C" w:rsidRDefault="00917E18" w:rsidP="00EE7409">
            <w:pPr>
              <w:jc w:val="right"/>
              <w:rPr>
                <w:rFonts w:ascii="Times New Roman" w:hAnsi="Times New Roman" w:cs="Times New Roman"/>
                <w:color w:val="212529"/>
                <w:sz w:val="24"/>
                <w:szCs w:val="24"/>
                <w:shd w:val="clear" w:color="auto" w:fill="FFFFFF"/>
              </w:rPr>
            </w:pPr>
            <w:r w:rsidRPr="001F699C">
              <w:rPr>
                <w:rFonts w:ascii="Times New Roman" w:hAnsi="Times New Roman" w:cs="Times New Roman"/>
                <w:color w:val="212529"/>
                <w:sz w:val="24"/>
                <w:szCs w:val="24"/>
                <w:shd w:val="clear" w:color="auto" w:fill="FFFFFF"/>
              </w:rPr>
              <w:t>Додаток 4 до Методики</w:t>
            </w:r>
          </w:p>
        </w:tc>
      </w:tr>
      <w:tr w:rsidR="00A0379C" w:rsidRPr="001F699C" w:rsidTr="00A0379C">
        <w:tc>
          <w:tcPr>
            <w:tcW w:w="7366" w:type="dxa"/>
          </w:tcPr>
          <w:p w:rsidR="00A0379C" w:rsidRPr="001F699C" w:rsidRDefault="00A0379C" w:rsidP="00DF5D0E">
            <w:pPr>
              <w:ind w:firstLine="284"/>
              <w:jc w:val="center"/>
              <w:rPr>
                <w:rFonts w:ascii="Times New Roman" w:hAnsi="Times New Roman" w:cs="Times New Roman"/>
                <w:sz w:val="24"/>
                <w:szCs w:val="24"/>
              </w:rPr>
            </w:pPr>
            <w:r w:rsidRPr="001F699C">
              <w:rPr>
                <w:rFonts w:ascii="Times New Roman" w:hAnsi="Times New Roman" w:cs="Times New Roman"/>
                <w:sz w:val="24"/>
                <w:szCs w:val="24"/>
              </w:rPr>
              <w:t>Операційні витрати оператора системи з передачі електричної енергії (утримання та експлуатація місцевих (локальних) електричних мереж), що враховуються при розрахунку нормативу витрат на умовну одиницю</w:t>
            </w:r>
          </w:p>
        </w:tc>
        <w:tc>
          <w:tcPr>
            <w:tcW w:w="7230" w:type="dxa"/>
          </w:tcPr>
          <w:p w:rsidR="00A0379C" w:rsidRPr="001F699C" w:rsidRDefault="00A0379C" w:rsidP="00DF5D0E">
            <w:pPr>
              <w:ind w:firstLine="284"/>
              <w:jc w:val="center"/>
              <w:rPr>
                <w:rFonts w:ascii="Times New Roman" w:hAnsi="Times New Roman" w:cs="Times New Roman"/>
                <w:sz w:val="24"/>
                <w:szCs w:val="24"/>
              </w:rPr>
            </w:pPr>
            <w:r w:rsidRPr="001F699C">
              <w:rPr>
                <w:rFonts w:ascii="Times New Roman" w:hAnsi="Times New Roman" w:cs="Times New Roman"/>
                <w:sz w:val="24"/>
                <w:szCs w:val="24"/>
              </w:rPr>
              <w:t xml:space="preserve">Операційні витрати оператора системи </w:t>
            </w:r>
            <w:r w:rsidRPr="001F699C">
              <w:rPr>
                <w:rFonts w:ascii="Times New Roman" w:hAnsi="Times New Roman" w:cs="Times New Roman"/>
                <w:b/>
                <w:strike/>
                <w:sz w:val="24"/>
                <w:szCs w:val="24"/>
              </w:rPr>
              <w:t xml:space="preserve">з </w:t>
            </w:r>
            <w:r w:rsidRPr="001F699C">
              <w:rPr>
                <w:rFonts w:ascii="Times New Roman" w:hAnsi="Times New Roman" w:cs="Times New Roman"/>
                <w:b/>
                <w:strike/>
                <w:sz w:val="24"/>
                <w:szCs w:val="24"/>
                <w:highlight w:val="yellow"/>
              </w:rPr>
              <w:t>передачі електричної енергії</w:t>
            </w:r>
            <w:r w:rsidRPr="001F699C">
              <w:rPr>
                <w:rFonts w:ascii="Times New Roman" w:hAnsi="Times New Roman" w:cs="Times New Roman"/>
                <w:sz w:val="24"/>
                <w:szCs w:val="24"/>
              </w:rPr>
              <w:t xml:space="preserve"> (утримання та експлуатація </w:t>
            </w:r>
            <w:r w:rsidRPr="001F699C">
              <w:rPr>
                <w:rFonts w:ascii="Times New Roman" w:hAnsi="Times New Roman" w:cs="Times New Roman"/>
                <w:b/>
                <w:strike/>
                <w:sz w:val="24"/>
                <w:szCs w:val="24"/>
                <w:highlight w:val="yellow"/>
              </w:rPr>
              <w:t>місцевих (локальних)</w:t>
            </w:r>
            <w:r w:rsidRPr="001F699C">
              <w:rPr>
                <w:rFonts w:ascii="Times New Roman" w:hAnsi="Times New Roman" w:cs="Times New Roman"/>
                <w:sz w:val="24"/>
                <w:szCs w:val="24"/>
              </w:rPr>
              <w:t xml:space="preserve"> електричних мереж</w:t>
            </w:r>
            <w:r>
              <w:rPr>
                <w:rFonts w:ascii="Times New Roman" w:hAnsi="Times New Roman" w:cs="Times New Roman"/>
                <w:sz w:val="24"/>
                <w:szCs w:val="24"/>
              </w:rPr>
              <w:t xml:space="preserve"> </w:t>
            </w:r>
            <w:r w:rsidRPr="001F699C">
              <w:rPr>
                <w:rFonts w:ascii="Times New Roman" w:hAnsi="Times New Roman" w:cs="Times New Roman"/>
                <w:b/>
                <w:sz w:val="24"/>
                <w:szCs w:val="24"/>
                <w:highlight w:val="yellow"/>
              </w:rPr>
              <w:t>оператора системи</w:t>
            </w:r>
            <w:r w:rsidRPr="001F699C">
              <w:rPr>
                <w:rFonts w:ascii="Times New Roman" w:hAnsi="Times New Roman" w:cs="Times New Roman"/>
                <w:sz w:val="24"/>
                <w:szCs w:val="24"/>
              </w:rPr>
              <w:t>), що враховуються при розрахунку нормативу витрат на умовну одиницю</w:t>
            </w:r>
          </w:p>
        </w:tc>
      </w:tr>
      <w:tr w:rsidR="00A0379C" w:rsidRPr="001F699C" w:rsidTr="00A0379C">
        <w:tc>
          <w:tcPr>
            <w:tcW w:w="7366" w:type="dxa"/>
          </w:tcPr>
          <w:tbl>
            <w:tblPr>
              <w:tblW w:w="4546"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37"/>
              <w:gridCol w:w="1134"/>
              <w:gridCol w:w="875"/>
              <w:gridCol w:w="952"/>
              <w:gridCol w:w="988"/>
            </w:tblGrid>
            <w:tr w:rsidR="00A0379C" w:rsidRPr="00D504BD" w:rsidTr="002D135F">
              <w:trPr>
                <w:tblCellSpacing w:w="22" w:type="dxa"/>
              </w:trPr>
              <w:tc>
                <w:tcPr>
                  <w:tcW w:w="1890" w:type="pct"/>
                  <w:vMerge w:val="restar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Перелік складових частин витрат з ліцензованого виду діяльності, що включаються в розрахунок </w:t>
                  </w:r>
                </w:p>
              </w:tc>
              <w:tc>
                <w:tcPr>
                  <w:tcW w:w="834" w:type="pct"/>
                  <w:vMerge w:val="restar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Одиниця виміру </w:t>
                  </w:r>
                </w:p>
              </w:tc>
              <w:tc>
                <w:tcPr>
                  <w:tcW w:w="1331" w:type="pct"/>
                  <w:gridSpan w:val="2"/>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Передача </w:t>
                  </w:r>
                </w:p>
              </w:tc>
              <w:tc>
                <w:tcPr>
                  <w:tcW w:w="705" w:type="pct"/>
                  <w:vMerge w:val="restar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Усього </w:t>
                  </w:r>
                </w:p>
              </w:tc>
            </w:tr>
            <w:tr w:rsidR="00A0379C" w:rsidRPr="00D504BD" w:rsidTr="002D135F">
              <w:trPr>
                <w:tblCellSpacing w:w="22" w:type="dxa"/>
              </w:trPr>
              <w:tc>
                <w:tcPr>
                  <w:tcW w:w="1890" w:type="pct"/>
                  <w:vMerge/>
                  <w:tcBorders>
                    <w:top w:val="outset" w:sz="6" w:space="0" w:color="auto"/>
                    <w:left w:val="outset" w:sz="6" w:space="0" w:color="auto"/>
                    <w:bottom w:val="outset" w:sz="6" w:space="0" w:color="auto"/>
                    <w:right w:val="outset" w:sz="6" w:space="0" w:color="auto"/>
                  </w:tcBorders>
                  <w:vAlign w:val="center"/>
                  <w:hideMark/>
                </w:tcPr>
                <w:p w:rsidR="00A0379C" w:rsidRPr="00D504BD" w:rsidRDefault="00A0379C" w:rsidP="005B7483">
                  <w:pPr>
                    <w:rPr>
                      <w:rFonts w:eastAsiaTheme="minorEastAsia"/>
                      <w:sz w:val="18"/>
                      <w:szCs w:val="18"/>
                    </w:rPr>
                  </w:pPr>
                </w:p>
              </w:tc>
              <w:tc>
                <w:tcPr>
                  <w:tcW w:w="834" w:type="pct"/>
                  <w:vMerge/>
                  <w:tcBorders>
                    <w:top w:val="outset" w:sz="6" w:space="0" w:color="auto"/>
                    <w:left w:val="outset" w:sz="6" w:space="0" w:color="auto"/>
                    <w:bottom w:val="outset" w:sz="6" w:space="0" w:color="auto"/>
                    <w:right w:val="outset" w:sz="6" w:space="0" w:color="auto"/>
                  </w:tcBorders>
                  <w:vAlign w:val="center"/>
                  <w:hideMark/>
                </w:tcPr>
                <w:p w:rsidR="00A0379C" w:rsidRPr="00D504BD" w:rsidRDefault="00A0379C" w:rsidP="005B7483">
                  <w:pPr>
                    <w:rPr>
                      <w:rFonts w:eastAsiaTheme="minorEastAsia"/>
                      <w:sz w:val="18"/>
                      <w:szCs w:val="18"/>
                    </w:rPr>
                  </w:pPr>
                </w:p>
              </w:tc>
              <w:tc>
                <w:tcPr>
                  <w:tcW w:w="63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1 клас </w:t>
                  </w:r>
                </w:p>
              </w:tc>
              <w:tc>
                <w:tcPr>
                  <w:tcW w:w="64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2 клас </w:t>
                  </w:r>
                </w:p>
              </w:tc>
              <w:tc>
                <w:tcPr>
                  <w:tcW w:w="679" w:type="pct"/>
                  <w:vMerge/>
                  <w:tcBorders>
                    <w:top w:val="outset" w:sz="6" w:space="0" w:color="auto"/>
                    <w:left w:val="outset" w:sz="6" w:space="0" w:color="auto"/>
                    <w:bottom w:val="outset" w:sz="6" w:space="0" w:color="auto"/>
                    <w:right w:val="outset" w:sz="6" w:space="0" w:color="auto"/>
                  </w:tcBorders>
                  <w:vAlign w:val="center"/>
                  <w:hideMark/>
                </w:tcPr>
                <w:p w:rsidR="00A0379C" w:rsidRPr="00D504BD" w:rsidRDefault="00A0379C" w:rsidP="005B7483">
                  <w:pPr>
                    <w:rPr>
                      <w:rFonts w:eastAsiaTheme="minorEastAsia"/>
                      <w:sz w:val="18"/>
                      <w:szCs w:val="18"/>
                    </w:rPr>
                  </w:pPr>
                </w:p>
              </w:tc>
            </w:tr>
            <w:tr w:rsidR="00A0379C" w:rsidRPr="00D504BD" w:rsidTr="002D135F">
              <w:trPr>
                <w:tblCellSpacing w:w="22" w:type="dxa"/>
              </w:trPr>
              <w:tc>
                <w:tcPr>
                  <w:tcW w:w="189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b/>
                      <w:bCs/>
                      <w:sz w:val="18"/>
                      <w:szCs w:val="18"/>
                    </w:rPr>
                    <w:t>Операційні витрати оператора системи з передачі електричної енергії (утримання та експлуатація місцевих (локальних) електричних мереж):</w:t>
                  </w:r>
                  <w:r w:rsidRPr="00D504BD">
                    <w:rPr>
                      <w:sz w:val="18"/>
                      <w:szCs w:val="18"/>
                    </w:rPr>
                    <w:t xml:space="preserve"> </w:t>
                  </w:r>
                </w:p>
              </w:tc>
              <w:tc>
                <w:tcPr>
                  <w:tcW w:w="834"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63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4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7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89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sz w:val="18"/>
                      <w:szCs w:val="18"/>
                    </w:rPr>
                    <w:t xml:space="preserve">Матеріальні витрати: </w:t>
                  </w:r>
                </w:p>
              </w:tc>
              <w:tc>
                <w:tcPr>
                  <w:tcW w:w="834"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63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4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7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89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sz w:val="18"/>
                      <w:szCs w:val="18"/>
                    </w:rPr>
                    <w:t xml:space="preserve">сировина та матеріали </w:t>
                  </w:r>
                </w:p>
              </w:tc>
              <w:tc>
                <w:tcPr>
                  <w:tcW w:w="834"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63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4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7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89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sz w:val="18"/>
                      <w:szCs w:val="18"/>
                    </w:rPr>
                    <w:t xml:space="preserve">паливо </w:t>
                  </w:r>
                </w:p>
              </w:tc>
              <w:tc>
                <w:tcPr>
                  <w:tcW w:w="834"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63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4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7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89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sz w:val="18"/>
                      <w:szCs w:val="18"/>
                    </w:rPr>
                    <w:t xml:space="preserve">витрати на ремонт господарчим та підрядним способом (без заробітної плати) </w:t>
                  </w:r>
                </w:p>
              </w:tc>
              <w:tc>
                <w:tcPr>
                  <w:tcW w:w="834"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63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4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7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89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b/>
                      <w:bCs/>
                      <w:sz w:val="18"/>
                      <w:szCs w:val="18"/>
                    </w:rPr>
                    <w:t>Витрати на оплату праці</w:t>
                  </w:r>
                  <w:r w:rsidRPr="00D504BD">
                    <w:rPr>
                      <w:sz w:val="18"/>
                      <w:szCs w:val="18"/>
                    </w:rPr>
                    <w:t xml:space="preserve"> </w:t>
                  </w:r>
                </w:p>
              </w:tc>
              <w:tc>
                <w:tcPr>
                  <w:tcW w:w="834"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63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4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7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89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b/>
                      <w:bCs/>
                      <w:sz w:val="18"/>
                      <w:szCs w:val="18"/>
                    </w:rPr>
                    <w:t>Відрахування на соціальні заходи</w:t>
                  </w:r>
                  <w:r w:rsidRPr="00D504BD">
                    <w:rPr>
                      <w:sz w:val="18"/>
                      <w:szCs w:val="18"/>
                    </w:rPr>
                    <w:t xml:space="preserve"> </w:t>
                  </w:r>
                </w:p>
              </w:tc>
              <w:tc>
                <w:tcPr>
                  <w:tcW w:w="834"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63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4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7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89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b/>
                      <w:bCs/>
                      <w:sz w:val="18"/>
                      <w:szCs w:val="18"/>
                    </w:rPr>
                    <w:t>Інші операційні витрати:</w:t>
                  </w:r>
                  <w:r w:rsidRPr="00D504BD">
                    <w:rPr>
                      <w:sz w:val="18"/>
                      <w:szCs w:val="18"/>
                    </w:rPr>
                    <w:t xml:space="preserve"> </w:t>
                  </w:r>
                </w:p>
              </w:tc>
              <w:tc>
                <w:tcPr>
                  <w:tcW w:w="834"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63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4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7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89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sz w:val="18"/>
                      <w:szCs w:val="18"/>
                    </w:rPr>
                    <w:t xml:space="preserve">земельний податок </w:t>
                  </w:r>
                </w:p>
              </w:tc>
              <w:tc>
                <w:tcPr>
                  <w:tcW w:w="834"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63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4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7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89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sz w:val="18"/>
                      <w:szCs w:val="18"/>
                    </w:rPr>
                    <w:t xml:space="preserve">податок з власників транспортних засобів та інших самохідних машин і механізмів </w:t>
                  </w:r>
                </w:p>
              </w:tc>
              <w:tc>
                <w:tcPr>
                  <w:tcW w:w="834"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63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4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7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89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sz w:val="18"/>
                      <w:szCs w:val="18"/>
                    </w:rPr>
                    <w:t xml:space="preserve">комунальний податок </w:t>
                  </w:r>
                </w:p>
              </w:tc>
              <w:tc>
                <w:tcPr>
                  <w:tcW w:w="834"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63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4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7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89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sz w:val="18"/>
                      <w:szCs w:val="18"/>
                    </w:rPr>
                    <w:lastRenderedPageBreak/>
                    <w:t xml:space="preserve">витрати на охорону праці </w:t>
                  </w:r>
                </w:p>
              </w:tc>
              <w:tc>
                <w:tcPr>
                  <w:tcW w:w="834"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63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4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7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89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sz w:val="18"/>
                      <w:szCs w:val="18"/>
                    </w:rPr>
                    <w:t xml:space="preserve">витрати на службові відрядження </w:t>
                  </w:r>
                </w:p>
              </w:tc>
              <w:tc>
                <w:tcPr>
                  <w:tcW w:w="834"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63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4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67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bl>
          <w:p w:rsidR="00A0379C" w:rsidRPr="0015750C" w:rsidRDefault="00A0379C" w:rsidP="00917E18">
            <w:pPr>
              <w:ind w:firstLine="284"/>
              <w:jc w:val="both"/>
              <w:rPr>
                <w:rFonts w:ascii="Times New Roman" w:hAnsi="Times New Roman" w:cs="Times New Roman"/>
                <w:sz w:val="24"/>
                <w:szCs w:val="24"/>
              </w:rPr>
            </w:pPr>
          </w:p>
        </w:tc>
        <w:tc>
          <w:tcPr>
            <w:tcW w:w="7230" w:type="dxa"/>
          </w:tcPr>
          <w:tbl>
            <w:tblPr>
              <w:tblW w:w="5246" w:type="dxa"/>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10"/>
              <w:gridCol w:w="824"/>
              <w:gridCol w:w="495"/>
              <w:gridCol w:w="530"/>
              <w:gridCol w:w="1087"/>
              <w:gridCol w:w="700"/>
            </w:tblGrid>
            <w:tr w:rsidR="00A0379C" w:rsidRPr="00D504BD" w:rsidTr="002D135F">
              <w:trPr>
                <w:tblCellSpacing w:w="22" w:type="dxa"/>
              </w:trPr>
              <w:tc>
                <w:tcPr>
                  <w:tcW w:w="1569" w:type="pct"/>
                  <w:vMerge w:val="restar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lastRenderedPageBreak/>
                    <w:t xml:space="preserve">Перелік складових частин витрат з ліцензованого виду діяльності, що включаються в розрахунок </w:t>
                  </w:r>
                </w:p>
              </w:tc>
              <w:tc>
                <w:tcPr>
                  <w:tcW w:w="671" w:type="pct"/>
                  <w:vMerge w:val="restar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Одиниця виміру </w:t>
                  </w:r>
                </w:p>
              </w:tc>
              <w:tc>
                <w:tcPr>
                  <w:tcW w:w="1069" w:type="pct"/>
                  <w:gridSpan w:val="2"/>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b/>
                      <w:sz w:val="18"/>
                      <w:szCs w:val="18"/>
                    </w:rPr>
                  </w:pPr>
                  <w:r w:rsidRPr="00D504BD">
                    <w:rPr>
                      <w:b/>
                      <w:sz w:val="18"/>
                      <w:szCs w:val="18"/>
                      <w:highlight w:val="yellow"/>
                    </w:rPr>
                    <w:t>Розподіл</w:t>
                  </w:r>
                  <w:r w:rsidRPr="00D504BD">
                    <w:rPr>
                      <w:b/>
                      <w:sz w:val="18"/>
                      <w:szCs w:val="18"/>
                    </w:rPr>
                    <w:t xml:space="preserve">* </w:t>
                  </w:r>
                </w:p>
              </w:tc>
              <w:tc>
                <w:tcPr>
                  <w:tcW w:w="893" w:type="pct"/>
                  <w:tcBorders>
                    <w:top w:val="outset" w:sz="6" w:space="0" w:color="auto"/>
                    <w:left w:val="outset" w:sz="6" w:space="0" w:color="auto"/>
                    <w:bottom w:val="outset" w:sz="6" w:space="0" w:color="auto"/>
                    <w:right w:val="outset" w:sz="6" w:space="0" w:color="auto"/>
                  </w:tcBorders>
                </w:tcPr>
                <w:p w:rsidR="00A0379C" w:rsidRPr="00D504BD" w:rsidRDefault="00A0379C" w:rsidP="005B7483">
                  <w:pPr>
                    <w:pStyle w:val="a5"/>
                    <w:jc w:val="center"/>
                    <w:rPr>
                      <w:b/>
                      <w:sz w:val="18"/>
                      <w:szCs w:val="18"/>
                    </w:rPr>
                  </w:pPr>
                  <w:r w:rsidRPr="00D504BD">
                    <w:rPr>
                      <w:b/>
                      <w:sz w:val="18"/>
                      <w:szCs w:val="18"/>
                      <w:highlight w:val="yellow"/>
                    </w:rPr>
                    <w:t>Передача</w:t>
                  </w:r>
                  <w:r w:rsidRPr="00D504BD">
                    <w:rPr>
                      <w:b/>
                      <w:sz w:val="18"/>
                      <w:szCs w:val="18"/>
                    </w:rPr>
                    <w:t>**</w:t>
                  </w:r>
                </w:p>
              </w:tc>
              <w:tc>
                <w:tcPr>
                  <w:tcW w:w="546" w:type="pct"/>
                  <w:vMerge w:val="restar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Усього </w:t>
                  </w:r>
                </w:p>
              </w:tc>
            </w:tr>
            <w:tr w:rsidR="00A0379C" w:rsidRPr="00D504BD" w:rsidTr="002D135F">
              <w:trPr>
                <w:tblCellSpacing w:w="22" w:type="dxa"/>
              </w:trPr>
              <w:tc>
                <w:tcPr>
                  <w:tcW w:w="1569" w:type="pct"/>
                  <w:vMerge/>
                  <w:tcBorders>
                    <w:top w:val="outset" w:sz="6" w:space="0" w:color="auto"/>
                    <w:left w:val="outset" w:sz="6" w:space="0" w:color="auto"/>
                    <w:bottom w:val="outset" w:sz="6" w:space="0" w:color="auto"/>
                    <w:right w:val="outset" w:sz="6" w:space="0" w:color="auto"/>
                  </w:tcBorders>
                  <w:vAlign w:val="center"/>
                  <w:hideMark/>
                </w:tcPr>
                <w:p w:rsidR="00A0379C" w:rsidRPr="00D504BD" w:rsidRDefault="00A0379C" w:rsidP="005B7483">
                  <w:pPr>
                    <w:rPr>
                      <w:rFonts w:eastAsiaTheme="minorEastAsia"/>
                      <w:sz w:val="18"/>
                      <w:szCs w:val="18"/>
                    </w:rPr>
                  </w:pPr>
                </w:p>
              </w:tc>
              <w:tc>
                <w:tcPr>
                  <w:tcW w:w="671" w:type="pct"/>
                  <w:vMerge/>
                  <w:tcBorders>
                    <w:top w:val="outset" w:sz="6" w:space="0" w:color="auto"/>
                    <w:left w:val="outset" w:sz="6" w:space="0" w:color="auto"/>
                    <w:bottom w:val="outset" w:sz="6" w:space="0" w:color="auto"/>
                    <w:right w:val="outset" w:sz="6" w:space="0" w:color="auto"/>
                  </w:tcBorders>
                  <w:vAlign w:val="center"/>
                  <w:hideMark/>
                </w:tcPr>
                <w:p w:rsidR="00A0379C" w:rsidRPr="00D504BD" w:rsidRDefault="00A0379C" w:rsidP="005B7483">
                  <w:pPr>
                    <w:rPr>
                      <w:rFonts w:eastAsiaTheme="minorEastAsia"/>
                      <w:sz w:val="18"/>
                      <w:szCs w:val="18"/>
                    </w:rPr>
                  </w:pPr>
                </w:p>
              </w:tc>
              <w:tc>
                <w:tcPr>
                  <w:tcW w:w="518"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1 клас </w:t>
                  </w:r>
                </w:p>
              </w:tc>
              <w:tc>
                <w:tcPr>
                  <w:tcW w:w="51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2 клас </w:t>
                  </w:r>
                </w:p>
              </w:tc>
              <w:tc>
                <w:tcPr>
                  <w:tcW w:w="893" w:type="pct"/>
                  <w:tcBorders>
                    <w:top w:val="outset" w:sz="6" w:space="0" w:color="auto"/>
                    <w:left w:val="outset" w:sz="6" w:space="0" w:color="auto"/>
                    <w:bottom w:val="outset" w:sz="6" w:space="0" w:color="auto"/>
                    <w:right w:val="outset" w:sz="6" w:space="0" w:color="auto"/>
                  </w:tcBorders>
                </w:tcPr>
                <w:p w:rsidR="00A0379C" w:rsidRPr="00D504BD" w:rsidRDefault="00A0379C" w:rsidP="005B7483">
                  <w:pPr>
                    <w:rPr>
                      <w:rFonts w:eastAsiaTheme="minorEastAsia"/>
                      <w:sz w:val="18"/>
                      <w:szCs w:val="18"/>
                    </w:rPr>
                  </w:pPr>
                </w:p>
              </w:tc>
              <w:tc>
                <w:tcPr>
                  <w:tcW w:w="546" w:type="pct"/>
                  <w:vMerge/>
                  <w:tcBorders>
                    <w:top w:val="outset" w:sz="6" w:space="0" w:color="auto"/>
                    <w:left w:val="outset" w:sz="6" w:space="0" w:color="auto"/>
                    <w:bottom w:val="outset" w:sz="6" w:space="0" w:color="auto"/>
                    <w:right w:val="outset" w:sz="6" w:space="0" w:color="auto"/>
                  </w:tcBorders>
                  <w:vAlign w:val="center"/>
                  <w:hideMark/>
                </w:tcPr>
                <w:p w:rsidR="00A0379C" w:rsidRPr="00D504BD" w:rsidRDefault="00A0379C" w:rsidP="005B7483">
                  <w:pPr>
                    <w:rPr>
                      <w:rFonts w:eastAsiaTheme="minorEastAsia"/>
                      <w:sz w:val="18"/>
                      <w:szCs w:val="18"/>
                    </w:rPr>
                  </w:pPr>
                </w:p>
              </w:tc>
            </w:tr>
            <w:tr w:rsidR="00A0379C" w:rsidRPr="00D504BD" w:rsidTr="002D135F">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b/>
                      <w:sz w:val="18"/>
                      <w:szCs w:val="18"/>
                    </w:rPr>
                  </w:pPr>
                  <w:r w:rsidRPr="00D504BD">
                    <w:rPr>
                      <w:b/>
                      <w:sz w:val="18"/>
                      <w:szCs w:val="18"/>
                    </w:rPr>
                    <w:t xml:space="preserve">Операційні витрати оператора системи </w:t>
                  </w:r>
                  <w:r w:rsidRPr="00D504BD">
                    <w:rPr>
                      <w:b/>
                      <w:strike/>
                      <w:sz w:val="18"/>
                      <w:szCs w:val="18"/>
                      <w:highlight w:val="yellow"/>
                    </w:rPr>
                    <w:t>з передачі електричної енергії</w:t>
                  </w:r>
                  <w:r w:rsidRPr="00D504BD">
                    <w:rPr>
                      <w:b/>
                      <w:sz w:val="18"/>
                      <w:szCs w:val="18"/>
                    </w:rPr>
                    <w:t xml:space="preserve"> (утримання та експлуатація </w:t>
                  </w:r>
                  <w:r w:rsidRPr="00D504BD">
                    <w:rPr>
                      <w:b/>
                      <w:strike/>
                      <w:sz w:val="18"/>
                      <w:szCs w:val="18"/>
                      <w:highlight w:val="yellow"/>
                    </w:rPr>
                    <w:t>місцевих (локальних)</w:t>
                  </w:r>
                  <w:r w:rsidRPr="00D504BD">
                    <w:rPr>
                      <w:b/>
                      <w:strike/>
                      <w:sz w:val="18"/>
                      <w:szCs w:val="18"/>
                    </w:rPr>
                    <w:t xml:space="preserve"> </w:t>
                  </w:r>
                  <w:r w:rsidRPr="00D504BD">
                    <w:rPr>
                      <w:b/>
                      <w:sz w:val="18"/>
                      <w:szCs w:val="18"/>
                    </w:rPr>
                    <w:t>електричних мереж</w:t>
                  </w:r>
                  <w:r w:rsidRPr="00D504BD">
                    <w:rPr>
                      <w:b/>
                      <w:sz w:val="18"/>
                      <w:szCs w:val="18"/>
                      <w:highlight w:val="yellow"/>
                    </w:rPr>
                    <w:t xml:space="preserve"> оператора системи</w:t>
                  </w:r>
                  <w:r w:rsidRPr="00D504BD">
                    <w:rPr>
                      <w:b/>
                      <w:sz w:val="18"/>
                      <w:szCs w:val="18"/>
                    </w:rPr>
                    <w:t>):</w:t>
                  </w:r>
                </w:p>
              </w:tc>
              <w:tc>
                <w:tcPr>
                  <w:tcW w:w="671"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51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893" w:type="pct"/>
                  <w:tcBorders>
                    <w:top w:val="outset" w:sz="6" w:space="0" w:color="auto"/>
                    <w:left w:val="outset" w:sz="6" w:space="0" w:color="auto"/>
                    <w:bottom w:val="outset" w:sz="6" w:space="0" w:color="auto"/>
                    <w:right w:val="outset" w:sz="6" w:space="0" w:color="auto"/>
                  </w:tcBorders>
                </w:tcPr>
                <w:p w:rsidR="00A0379C" w:rsidRPr="00D504BD" w:rsidRDefault="00A0379C" w:rsidP="005B7483">
                  <w:pPr>
                    <w:pStyle w:val="a5"/>
                    <w:jc w:val="center"/>
                    <w:rPr>
                      <w:sz w:val="18"/>
                      <w:szCs w:val="18"/>
                    </w:rPr>
                  </w:pPr>
                </w:p>
              </w:tc>
              <w:tc>
                <w:tcPr>
                  <w:tcW w:w="54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sz w:val="18"/>
                      <w:szCs w:val="18"/>
                    </w:rPr>
                    <w:t xml:space="preserve">Матеріальні витрати: </w:t>
                  </w:r>
                </w:p>
              </w:tc>
              <w:tc>
                <w:tcPr>
                  <w:tcW w:w="671"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51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893" w:type="pct"/>
                  <w:tcBorders>
                    <w:top w:val="outset" w:sz="6" w:space="0" w:color="auto"/>
                    <w:left w:val="outset" w:sz="6" w:space="0" w:color="auto"/>
                    <w:bottom w:val="outset" w:sz="6" w:space="0" w:color="auto"/>
                    <w:right w:val="outset" w:sz="6" w:space="0" w:color="auto"/>
                  </w:tcBorders>
                </w:tcPr>
                <w:p w:rsidR="00A0379C" w:rsidRPr="00D504BD" w:rsidRDefault="00A0379C" w:rsidP="005B7483">
                  <w:pPr>
                    <w:pStyle w:val="a5"/>
                    <w:jc w:val="center"/>
                    <w:rPr>
                      <w:sz w:val="18"/>
                      <w:szCs w:val="18"/>
                    </w:rPr>
                  </w:pPr>
                </w:p>
              </w:tc>
              <w:tc>
                <w:tcPr>
                  <w:tcW w:w="54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sz w:val="18"/>
                      <w:szCs w:val="18"/>
                    </w:rPr>
                    <w:t xml:space="preserve">сировина та матеріали </w:t>
                  </w:r>
                </w:p>
              </w:tc>
              <w:tc>
                <w:tcPr>
                  <w:tcW w:w="671"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51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893" w:type="pct"/>
                  <w:tcBorders>
                    <w:top w:val="outset" w:sz="6" w:space="0" w:color="auto"/>
                    <w:left w:val="outset" w:sz="6" w:space="0" w:color="auto"/>
                    <w:bottom w:val="outset" w:sz="6" w:space="0" w:color="auto"/>
                    <w:right w:val="outset" w:sz="6" w:space="0" w:color="auto"/>
                  </w:tcBorders>
                </w:tcPr>
                <w:p w:rsidR="00A0379C" w:rsidRPr="00D504BD" w:rsidRDefault="00A0379C" w:rsidP="005B7483">
                  <w:pPr>
                    <w:pStyle w:val="a5"/>
                    <w:jc w:val="center"/>
                    <w:rPr>
                      <w:sz w:val="18"/>
                      <w:szCs w:val="18"/>
                    </w:rPr>
                  </w:pPr>
                </w:p>
              </w:tc>
              <w:tc>
                <w:tcPr>
                  <w:tcW w:w="54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sz w:val="18"/>
                      <w:szCs w:val="18"/>
                    </w:rPr>
                    <w:t xml:space="preserve">паливо </w:t>
                  </w:r>
                </w:p>
              </w:tc>
              <w:tc>
                <w:tcPr>
                  <w:tcW w:w="671"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51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893" w:type="pct"/>
                  <w:tcBorders>
                    <w:top w:val="outset" w:sz="6" w:space="0" w:color="auto"/>
                    <w:left w:val="outset" w:sz="6" w:space="0" w:color="auto"/>
                    <w:bottom w:val="outset" w:sz="6" w:space="0" w:color="auto"/>
                    <w:right w:val="outset" w:sz="6" w:space="0" w:color="auto"/>
                  </w:tcBorders>
                </w:tcPr>
                <w:p w:rsidR="00A0379C" w:rsidRPr="00D504BD" w:rsidRDefault="00A0379C" w:rsidP="005B7483">
                  <w:pPr>
                    <w:pStyle w:val="a5"/>
                    <w:jc w:val="center"/>
                    <w:rPr>
                      <w:sz w:val="18"/>
                      <w:szCs w:val="18"/>
                    </w:rPr>
                  </w:pPr>
                </w:p>
              </w:tc>
              <w:tc>
                <w:tcPr>
                  <w:tcW w:w="54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sz w:val="18"/>
                      <w:szCs w:val="18"/>
                    </w:rPr>
                    <w:t xml:space="preserve">витрати на ремонт господарчим та підрядним способом (без заробітної плати) </w:t>
                  </w:r>
                </w:p>
              </w:tc>
              <w:tc>
                <w:tcPr>
                  <w:tcW w:w="671"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51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893" w:type="pct"/>
                  <w:tcBorders>
                    <w:top w:val="outset" w:sz="6" w:space="0" w:color="auto"/>
                    <w:left w:val="outset" w:sz="6" w:space="0" w:color="auto"/>
                    <w:bottom w:val="outset" w:sz="6" w:space="0" w:color="auto"/>
                    <w:right w:val="outset" w:sz="6" w:space="0" w:color="auto"/>
                  </w:tcBorders>
                </w:tcPr>
                <w:p w:rsidR="00A0379C" w:rsidRPr="00D504BD" w:rsidRDefault="00A0379C" w:rsidP="005B7483">
                  <w:pPr>
                    <w:pStyle w:val="a5"/>
                    <w:jc w:val="center"/>
                    <w:rPr>
                      <w:sz w:val="18"/>
                      <w:szCs w:val="18"/>
                    </w:rPr>
                  </w:pPr>
                </w:p>
              </w:tc>
              <w:tc>
                <w:tcPr>
                  <w:tcW w:w="54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b/>
                      <w:bCs/>
                      <w:sz w:val="18"/>
                      <w:szCs w:val="18"/>
                    </w:rPr>
                    <w:lastRenderedPageBreak/>
                    <w:t>Витрати на оплату праці</w:t>
                  </w:r>
                  <w:r w:rsidRPr="00D504BD">
                    <w:rPr>
                      <w:sz w:val="18"/>
                      <w:szCs w:val="18"/>
                    </w:rPr>
                    <w:t xml:space="preserve"> </w:t>
                  </w:r>
                </w:p>
              </w:tc>
              <w:tc>
                <w:tcPr>
                  <w:tcW w:w="671"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51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893" w:type="pct"/>
                  <w:tcBorders>
                    <w:top w:val="outset" w:sz="6" w:space="0" w:color="auto"/>
                    <w:left w:val="outset" w:sz="6" w:space="0" w:color="auto"/>
                    <w:bottom w:val="outset" w:sz="6" w:space="0" w:color="auto"/>
                    <w:right w:val="outset" w:sz="6" w:space="0" w:color="auto"/>
                  </w:tcBorders>
                </w:tcPr>
                <w:p w:rsidR="00A0379C" w:rsidRPr="00D504BD" w:rsidRDefault="00A0379C" w:rsidP="005B7483">
                  <w:pPr>
                    <w:pStyle w:val="a5"/>
                    <w:jc w:val="center"/>
                    <w:rPr>
                      <w:sz w:val="18"/>
                      <w:szCs w:val="18"/>
                    </w:rPr>
                  </w:pPr>
                </w:p>
              </w:tc>
              <w:tc>
                <w:tcPr>
                  <w:tcW w:w="54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b/>
                      <w:bCs/>
                      <w:sz w:val="18"/>
                      <w:szCs w:val="18"/>
                    </w:rPr>
                    <w:t>Відрахування на соціальні заходи</w:t>
                  </w:r>
                  <w:r w:rsidRPr="00D504BD">
                    <w:rPr>
                      <w:sz w:val="18"/>
                      <w:szCs w:val="18"/>
                    </w:rPr>
                    <w:t xml:space="preserve"> </w:t>
                  </w:r>
                </w:p>
              </w:tc>
              <w:tc>
                <w:tcPr>
                  <w:tcW w:w="671"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51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893" w:type="pct"/>
                  <w:tcBorders>
                    <w:top w:val="outset" w:sz="6" w:space="0" w:color="auto"/>
                    <w:left w:val="outset" w:sz="6" w:space="0" w:color="auto"/>
                    <w:bottom w:val="outset" w:sz="6" w:space="0" w:color="auto"/>
                    <w:right w:val="outset" w:sz="6" w:space="0" w:color="auto"/>
                  </w:tcBorders>
                </w:tcPr>
                <w:p w:rsidR="00A0379C" w:rsidRPr="00D504BD" w:rsidRDefault="00A0379C" w:rsidP="005B7483">
                  <w:pPr>
                    <w:pStyle w:val="a5"/>
                    <w:jc w:val="center"/>
                    <w:rPr>
                      <w:sz w:val="18"/>
                      <w:szCs w:val="18"/>
                    </w:rPr>
                  </w:pPr>
                </w:p>
              </w:tc>
              <w:tc>
                <w:tcPr>
                  <w:tcW w:w="54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b/>
                      <w:bCs/>
                      <w:sz w:val="18"/>
                      <w:szCs w:val="18"/>
                    </w:rPr>
                    <w:t>Інші операційні витрати:</w:t>
                  </w:r>
                  <w:r w:rsidRPr="00D504BD">
                    <w:rPr>
                      <w:sz w:val="18"/>
                      <w:szCs w:val="18"/>
                    </w:rPr>
                    <w:t xml:space="preserve"> </w:t>
                  </w:r>
                </w:p>
              </w:tc>
              <w:tc>
                <w:tcPr>
                  <w:tcW w:w="671"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51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893" w:type="pct"/>
                  <w:tcBorders>
                    <w:top w:val="outset" w:sz="6" w:space="0" w:color="auto"/>
                    <w:left w:val="outset" w:sz="6" w:space="0" w:color="auto"/>
                    <w:bottom w:val="outset" w:sz="6" w:space="0" w:color="auto"/>
                    <w:right w:val="outset" w:sz="6" w:space="0" w:color="auto"/>
                  </w:tcBorders>
                </w:tcPr>
                <w:p w:rsidR="00A0379C" w:rsidRPr="00D504BD" w:rsidRDefault="00A0379C" w:rsidP="005B7483">
                  <w:pPr>
                    <w:pStyle w:val="a5"/>
                    <w:jc w:val="center"/>
                    <w:rPr>
                      <w:sz w:val="18"/>
                      <w:szCs w:val="18"/>
                    </w:rPr>
                  </w:pPr>
                </w:p>
              </w:tc>
              <w:tc>
                <w:tcPr>
                  <w:tcW w:w="54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sz w:val="18"/>
                      <w:szCs w:val="18"/>
                    </w:rPr>
                    <w:t xml:space="preserve">земельний податок </w:t>
                  </w:r>
                </w:p>
              </w:tc>
              <w:tc>
                <w:tcPr>
                  <w:tcW w:w="671"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51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893" w:type="pct"/>
                  <w:tcBorders>
                    <w:top w:val="outset" w:sz="6" w:space="0" w:color="auto"/>
                    <w:left w:val="outset" w:sz="6" w:space="0" w:color="auto"/>
                    <w:bottom w:val="outset" w:sz="6" w:space="0" w:color="auto"/>
                    <w:right w:val="outset" w:sz="6" w:space="0" w:color="auto"/>
                  </w:tcBorders>
                </w:tcPr>
                <w:p w:rsidR="00A0379C" w:rsidRPr="00D504BD" w:rsidRDefault="00A0379C" w:rsidP="005B7483">
                  <w:pPr>
                    <w:pStyle w:val="a5"/>
                    <w:jc w:val="center"/>
                    <w:rPr>
                      <w:sz w:val="18"/>
                      <w:szCs w:val="18"/>
                    </w:rPr>
                  </w:pPr>
                </w:p>
              </w:tc>
              <w:tc>
                <w:tcPr>
                  <w:tcW w:w="54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sz w:val="18"/>
                      <w:szCs w:val="18"/>
                    </w:rPr>
                    <w:t xml:space="preserve">податок з власників транспортних засобів та інших самохідних машин і механізмів </w:t>
                  </w:r>
                </w:p>
              </w:tc>
              <w:tc>
                <w:tcPr>
                  <w:tcW w:w="671"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51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893" w:type="pct"/>
                  <w:tcBorders>
                    <w:top w:val="outset" w:sz="6" w:space="0" w:color="auto"/>
                    <w:left w:val="outset" w:sz="6" w:space="0" w:color="auto"/>
                    <w:bottom w:val="outset" w:sz="6" w:space="0" w:color="auto"/>
                    <w:right w:val="outset" w:sz="6" w:space="0" w:color="auto"/>
                  </w:tcBorders>
                </w:tcPr>
                <w:p w:rsidR="00A0379C" w:rsidRPr="00D504BD" w:rsidRDefault="00A0379C" w:rsidP="005B7483">
                  <w:pPr>
                    <w:pStyle w:val="a5"/>
                    <w:jc w:val="center"/>
                    <w:rPr>
                      <w:sz w:val="18"/>
                      <w:szCs w:val="18"/>
                    </w:rPr>
                  </w:pPr>
                </w:p>
              </w:tc>
              <w:tc>
                <w:tcPr>
                  <w:tcW w:w="54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sz w:val="18"/>
                      <w:szCs w:val="18"/>
                    </w:rPr>
                    <w:t xml:space="preserve">комунальний податок </w:t>
                  </w:r>
                </w:p>
              </w:tc>
              <w:tc>
                <w:tcPr>
                  <w:tcW w:w="671"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51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893" w:type="pct"/>
                  <w:tcBorders>
                    <w:top w:val="outset" w:sz="6" w:space="0" w:color="auto"/>
                    <w:left w:val="outset" w:sz="6" w:space="0" w:color="auto"/>
                    <w:bottom w:val="outset" w:sz="6" w:space="0" w:color="auto"/>
                    <w:right w:val="outset" w:sz="6" w:space="0" w:color="auto"/>
                  </w:tcBorders>
                </w:tcPr>
                <w:p w:rsidR="00A0379C" w:rsidRPr="00D504BD" w:rsidRDefault="00A0379C" w:rsidP="005B7483">
                  <w:pPr>
                    <w:pStyle w:val="a5"/>
                    <w:jc w:val="center"/>
                    <w:rPr>
                      <w:sz w:val="18"/>
                      <w:szCs w:val="18"/>
                    </w:rPr>
                  </w:pPr>
                </w:p>
              </w:tc>
              <w:tc>
                <w:tcPr>
                  <w:tcW w:w="54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sz w:val="18"/>
                      <w:szCs w:val="18"/>
                    </w:rPr>
                    <w:t xml:space="preserve">витрати на охорону праці </w:t>
                  </w:r>
                </w:p>
              </w:tc>
              <w:tc>
                <w:tcPr>
                  <w:tcW w:w="671"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51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893" w:type="pct"/>
                  <w:tcBorders>
                    <w:top w:val="outset" w:sz="6" w:space="0" w:color="auto"/>
                    <w:left w:val="outset" w:sz="6" w:space="0" w:color="auto"/>
                    <w:bottom w:val="outset" w:sz="6" w:space="0" w:color="auto"/>
                    <w:right w:val="outset" w:sz="6" w:space="0" w:color="auto"/>
                  </w:tcBorders>
                </w:tcPr>
                <w:p w:rsidR="00A0379C" w:rsidRPr="00D504BD" w:rsidRDefault="00A0379C" w:rsidP="005B7483">
                  <w:pPr>
                    <w:pStyle w:val="a5"/>
                    <w:jc w:val="center"/>
                    <w:rPr>
                      <w:sz w:val="18"/>
                      <w:szCs w:val="18"/>
                    </w:rPr>
                  </w:pPr>
                </w:p>
              </w:tc>
              <w:tc>
                <w:tcPr>
                  <w:tcW w:w="54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r w:rsidR="00A0379C" w:rsidRPr="00D504BD" w:rsidTr="002D135F">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rPr>
                      <w:sz w:val="18"/>
                      <w:szCs w:val="18"/>
                    </w:rPr>
                  </w:pPr>
                  <w:r w:rsidRPr="00D504BD">
                    <w:rPr>
                      <w:sz w:val="18"/>
                      <w:szCs w:val="18"/>
                    </w:rPr>
                    <w:t xml:space="preserve">витрати на службові відрядження </w:t>
                  </w:r>
                </w:p>
              </w:tc>
              <w:tc>
                <w:tcPr>
                  <w:tcW w:w="671"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510"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c>
                <w:tcPr>
                  <w:tcW w:w="893" w:type="pct"/>
                  <w:tcBorders>
                    <w:top w:val="outset" w:sz="6" w:space="0" w:color="auto"/>
                    <w:left w:val="outset" w:sz="6" w:space="0" w:color="auto"/>
                    <w:bottom w:val="outset" w:sz="6" w:space="0" w:color="auto"/>
                    <w:right w:val="outset" w:sz="6" w:space="0" w:color="auto"/>
                  </w:tcBorders>
                </w:tcPr>
                <w:p w:rsidR="00A0379C" w:rsidRPr="00D504BD" w:rsidRDefault="00A0379C" w:rsidP="005B7483">
                  <w:pPr>
                    <w:pStyle w:val="a5"/>
                    <w:jc w:val="center"/>
                    <w:rPr>
                      <w:sz w:val="18"/>
                      <w:szCs w:val="18"/>
                    </w:rPr>
                  </w:pPr>
                </w:p>
              </w:tc>
              <w:tc>
                <w:tcPr>
                  <w:tcW w:w="546" w:type="pct"/>
                  <w:tcBorders>
                    <w:top w:val="outset" w:sz="6" w:space="0" w:color="auto"/>
                    <w:left w:val="outset" w:sz="6" w:space="0" w:color="auto"/>
                    <w:bottom w:val="outset" w:sz="6" w:space="0" w:color="auto"/>
                    <w:right w:val="outset" w:sz="6" w:space="0" w:color="auto"/>
                  </w:tcBorders>
                  <w:hideMark/>
                </w:tcPr>
                <w:p w:rsidR="00A0379C" w:rsidRPr="00D504BD" w:rsidRDefault="00A0379C" w:rsidP="005B7483">
                  <w:pPr>
                    <w:pStyle w:val="a5"/>
                    <w:jc w:val="center"/>
                    <w:rPr>
                      <w:sz w:val="18"/>
                      <w:szCs w:val="18"/>
                    </w:rPr>
                  </w:pPr>
                  <w:r w:rsidRPr="00D504BD">
                    <w:rPr>
                      <w:sz w:val="18"/>
                      <w:szCs w:val="18"/>
                    </w:rPr>
                    <w:t> </w:t>
                  </w:r>
                </w:p>
              </w:tc>
            </w:tr>
          </w:tbl>
          <w:p w:rsidR="00A0379C" w:rsidRPr="00D504BD" w:rsidRDefault="00A0379C" w:rsidP="00D504BD">
            <w:pPr>
              <w:ind w:firstLine="284"/>
              <w:jc w:val="both"/>
              <w:rPr>
                <w:rFonts w:ascii="Times New Roman" w:hAnsi="Times New Roman" w:cs="Times New Roman"/>
                <w:b/>
                <w:sz w:val="24"/>
                <w:szCs w:val="24"/>
                <w:highlight w:val="yellow"/>
              </w:rPr>
            </w:pPr>
            <w:r w:rsidRPr="00D504BD">
              <w:rPr>
                <w:rFonts w:ascii="Times New Roman" w:hAnsi="Times New Roman" w:cs="Times New Roman"/>
                <w:b/>
                <w:sz w:val="24"/>
                <w:szCs w:val="24"/>
                <w:highlight w:val="yellow"/>
              </w:rPr>
              <w:t>* Застосовується для операторів систем розподілу.</w:t>
            </w:r>
          </w:p>
          <w:p w:rsidR="00A0379C" w:rsidRPr="0015750C" w:rsidRDefault="00A0379C" w:rsidP="00917E18">
            <w:pPr>
              <w:ind w:firstLine="284"/>
              <w:jc w:val="both"/>
              <w:rPr>
                <w:rFonts w:ascii="Times New Roman" w:hAnsi="Times New Roman" w:cs="Times New Roman"/>
                <w:sz w:val="24"/>
                <w:szCs w:val="24"/>
              </w:rPr>
            </w:pPr>
            <w:r w:rsidRPr="00D504BD">
              <w:rPr>
                <w:rFonts w:ascii="Times New Roman" w:hAnsi="Times New Roman" w:cs="Times New Roman"/>
                <w:b/>
                <w:sz w:val="24"/>
                <w:szCs w:val="24"/>
                <w:highlight w:val="yellow"/>
              </w:rPr>
              <w:t>** Застосовується для оператора системи передачі.</w:t>
            </w:r>
          </w:p>
        </w:tc>
      </w:tr>
      <w:tr w:rsidR="00917E18" w:rsidRPr="001F699C" w:rsidTr="00A0379C">
        <w:tc>
          <w:tcPr>
            <w:tcW w:w="14596" w:type="dxa"/>
            <w:gridSpan w:val="2"/>
          </w:tcPr>
          <w:p w:rsidR="00917E18" w:rsidRPr="001F699C" w:rsidRDefault="00917E18" w:rsidP="00917E18">
            <w:pPr>
              <w:jc w:val="center"/>
              <w:rPr>
                <w:rFonts w:ascii="Times New Roman" w:hAnsi="Times New Roman" w:cs="Times New Roman"/>
                <w:color w:val="212529"/>
                <w:sz w:val="24"/>
                <w:szCs w:val="24"/>
                <w:shd w:val="clear" w:color="auto" w:fill="FFFFFF"/>
              </w:rPr>
            </w:pPr>
            <w:r>
              <w:rPr>
                <w:rFonts w:ascii="Times New Roman" w:hAnsi="Times New Roman" w:cs="Times New Roman"/>
                <w:color w:val="212529"/>
                <w:sz w:val="24"/>
                <w:szCs w:val="24"/>
                <w:shd w:val="clear" w:color="auto" w:fill="FFFFFF"/>
              </w:rPr>
              <w:lastRenderedPageBreak/>
              <w:t>Додаток 5 до Методики</w:t>
            </w:r>
          </w:p>
        </w:tc>
      </w:tr>
      <w:tr w:rsidR="00A0379C" w:rsidRPr="001F699C" w:rsidTr="00A0379C">
        <w:tc>
          <w:tcPr>
            <w:tcW w:w="7366" w:type="dxa"/>
          </w:tcPr>
          <w:p w:rsidR="00A0379C" w:rsidRPr="001F699C" w:rsidRDefault="00A0379C" w:rsidP="00917E18">
            <w:pPr>
              <w:ind w:firstLine="284"/>
              <w:jc w:val="both"/>
              <w:rPr>
                <w:rFonts w:ascii="Times New Roman" w:hAnsi="Times New Roman" w:cs="Times New Roman"/>
                <w:sz w:val="24"/>
                <w:szCs w:val="24"/>
              </w:rPr>
            </w:pPr>
            <w:r w:rsidRPr="006A6D83">
              <w:rPr>
                <w:rFonts w:ascii="Times New Roman" w:hAnsi="Times New Roman" w:cs="Times New Roman"/>
                <w:sz w:val="24"/>
                <w:szCs w:val="24"/>
              </w:rPr>
              <w:t>Річний обсяг передачі електричної енергії мережами спільного використання</w:t>
            </w:r>
          </w:p>
        </w:tc>
        <w:tc>
          <w:tcPr>
            <w:tcW w:w="7230" w:type="dxa"/>
          </w:tcPr>
          <w:p w:rsidR="00A0379C" w:rsidRPr="001F699C" w:rsidRDefault="00A0379C" w:rsidP="005B7483">
            <w:pPr>
              <w:ind w:firstLine="284"/>
              <w:jc w:val="both"/>
              <w:rPr>
                <w:rFonts w:ascii="Times New Roman" w:hAnsi="Times New Roman" w:cs="Times New Roman"/>
                <w:sz w:val="24"/>
                <w:szCs w:val="24"/>
              </w:rPr>
            </w:pPr>
            <w:r w:rsidRPr="006A6D83">
              <w:rPr>
                <w:rFonts w:ascii="Times New Roman" w:hAnsi="Times New Roman" w:cs="Times New Roman"/>
                <w:sz w:val="24"/>
                <w:szCs w:val="24"/>
              </w:rPr>
              <w:t xml:space="preserve">Річний обсяг </w:t>
            </w:r>
            <w:r w:rsidRPr="005B7483">
              <w:rPr>
                <w:rFonts w:ascii="Times New Roman" w:hAnsi="Times New Roman" w:cs="Times New Roman"/>
                <w:b/>
                <w:sz w:val="24"/>
                <w:szCs w:val="24"/>
                <w:highlight w:val="yellow"/>
              </w:rPr>
              <w:t>розподілу/</w:t>
            </w:r>
            <w:r>
              <w:rPr>
                <w:rFonts w:ascii="Times New Roman" w:hAnsi="Times New Roman" w:cs="Times New Roman"/>
                <w:sz w:val="24"/>
                <w:szCs w:val="24"/>
              </w:rPr>
              <w:t xml:space="preserve">передачі </w:t>
            </w:r>
            <w:r w:rsidRPr="006A6D83">
              <w:rPr>
                <w:rFonts w:ascii="Times New Roman" w:hAnsi="Times New Roman" w:cs="Times New Roman"/>
                <w:sz w:val="24"/>
                <w:szCs w:val="24"/>
              </w:rPr>
              <w:t>електричної енергії мережами спільного використання</w:t>
            </w:r>
          </w:p>
        </w:tc>
      </w:tr>
    </w:tbl>
    <w:p w:rsidR="00D738FE" w:rsidRPr="001F699C" w:rsidRDefault="00D738FE" w:rsidP="001A351E">
      <w:pPr>
        <w:jc w:val="center"/>
      </w:pPr>
    </w:p>
    <w:sectPr w:rsidR="00D738FE" w:rsidRPr="001F699C" w:rsidSect="001F2D58">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B7079B"/>
    <w:multiLevelType w:val="hybridMultilevel"/>
    <w:tmpl w:val="2B5A7D80"/>
    <w:lvl w:ilvl="0" w:tplc="B5C61C40">
      <w:start w:val="2"/>
      <w:numFmt w:val="bullet"/>
      <w:lvlText w:val=""/>
      <w:lvlJc w:val="left"/>
      <w:pPr>
        <w:ind w:left="644" w:hanging="360"/>
      </w:pPr>
      <w:rPr>
        <w:rFonts w:ascii="Symbol" w:eastAsiaTheme="minorHAnsi" w:hAnsi="Symbol"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5185"/>
    <w:rsid w:val="0002143D"/>
    <w:rsid w:val="000774FD"/>
    <w:rsid w:val="000D0121"/>
    <w:rsid w:val="000E0DAF"/>
    <w:rsid w:val="000E64BA"/>
    <w:rsid w:val="000F01C0"/>
    <w:rsid w:val="000F59CB"/>
    <w:rsid w:val="00152AA0"/>
    <w:rsid w:val="0015750C"/>
    <w:rsid w:val="00161CDF"/>
    <w:rsid w:val="0016642B"/>
    <w:rsid w:val="001666A3"/>
    <w:rsid w:val="001912DD"/>
    <w:rsid w:val="001A351E"/>
    <w:rsid w:val="001B1F33"/>
    <w:rsid w:val="001C7BBD"/>
    <w:rsid w:val="001F2D58"/>
    <w:rsid w:val="001F699C"/>
    <w:rsid w:val="00241FB5"/>
    <w:rsid w:val="002837BA"/>
    <w:rsid w:val="002A01AD"/>
    <w:rsid w:val="002B7DBC"/>
    <w:rsid w:val="002D008D"/>
    <w:rsid w:val="002D135F"/>
    <w:rsid w:val="003E17D4"/>
    <w:rsid w:val="004425ED"/>
    <w:rsid w:val="004F7785"/>
    <w:rsid w:val="00503D7F"/>
    <w:rsid w:val="00507251"/>
    <w:rsid w:val="005B6B51"/>
    <w:rsid w:val="005B7483"/>
    <w:rsid w:val="005D2A92"/>
    <w:rsid w:val="006003D8"/>
    <w:rsid w:val="0060530F"/>
    <w:rsid w:val="006064CA"/>
    <w:rsid w:val="006A6D83"/>
    <w:rsid w:val="007D2B22"/>
    <w:rsid w:val="007D7D81"/>
    <w:rsid w:val="0083246E"/>
    <w:rsid w:val="008670A4"/>
    <w:rsid w:val="008E6243"/>
    <w:rsid w:val="008F3B2B"/>
    <w:rsid w:val="00902425"/>
    <w:rsid w:val="00917E18"/>
    <w:rsid w:val="009B5185"/>
    <w:rsid w:val="009B575F"/>
    <w:rsid w:val="00A0379C"/>
    <w:rsid w:val="00A42183"/>
    <w:rsid w:val="00A62597"/>
    <w:rsid w:val="00A64571"/>
    <w:rsid w:val="00A657F1"/>
    <w:rsid w:val="00A94A7A"/>
    <w:rsid w:val="00B10556"/>
    <w:rsid w:val="00B85D63"/>
    <w:rsid w:val="00C157E5"/>
    <w:rsid w:val="00C725E0"/>
    <w:rsid w:val="00C907A0"/>
    <w:rsid w:val="00CE6B75"/>
    <w:rsid w:val="00D01397"/>
    <w:rsid w:val="00D504BD"/>
    <w:rsid w:val="00D738FE"/>
    <w:rsid w:val="00DB79EC"/>
    <w:rsid w:val="00DF5D0E"/>
    <w:rsid w:val="00E87B7B"/>
    <w:rsid w:val="00EE3303"/>
    <w:rsid w:val="00EE7409"/>
    <w:rsid w:val="00F02B0A"/>
    <w:rsid w:val="00F41C05"/>
    <w:rsid w:val="00F42D50"/>
    <w:rsid w:val="00F647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317B3"/>
  <w15:chartTrackingRefBased/>
  <w15:docId w15:val="{E6C67BA6-B915-44A0-8E9D-B9B8845C9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74FD"/>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774FD"/>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774FD"/>
    <w:rPr>
      <w:color w:val="0000FF"/>
      <w:u w:val="single"/>
    </w:rPr>
  </w:style>
  <w:style w:type="paragraph" w:styleId="a5">
    <w:name w:val="Normal (Web)"/>
    <w:basedOn w:val="a"/>
    <w:uiPriority w:val="99"/>
    <w:unhideWhenUsed/>
    <w:rsid w:val="000774FD"/>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List Paragraph"/>
    <w:basedOn w:val="a"/>
    <w:uiPriority w:val="34"/>
    <w:qFormat/>
    <w:rsid w:val="00D504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7</Pages>
  <Words>3031</Words>
  <Characters>17282</Characters>
  <Application>Microsoft Office Word</Application>
  <DocSecurity>0</DocSecurity>
  <Lines>144</Lines>
  <Paragraphs>40</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20273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Ярешко</dc:creator>
  <cp:keywords/>
  <dc:description/>
  <cp:lastModifiedBy>Анна Єгорова</cp:lastModifiedBy>
  <cp:revision>5</cp:revision>
  <dcterms:created xsi:type="dcterms:W3CDTF">2022-08-08T14:05:00Z</dcterms:created>
  <dcterms:modified xsi:type="dcterms:W3CDTF">2022-08-17T12:48:00Z</dcterms:modified>
</cp:coreProperties>
</file>