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регулювання у сферах енергетики та комунальних послуг</w:t>
      </w:r>
      <w:r w:rsidR="00D70957">
        <w:rPr>
          <w:b/>
          <w:bCs/>
          <w:sz w:val="28"/>
          <w:szCs w:val="28"/>
        </w:rPr>
        <w:t>,</w:t>
      </w:r>
      <w:r w:rsidRPr="00400F3A">
        <w:rPr>
          <w:b/>
          <w:bCs/>
          <w:sz w:val="28"/>
          <w:szCs w:val="28"/>
        </w:rPr>
        <w:t xml:space="preserve">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</w:t>
      </w:r>
      <w:r w:rsidR="00443FFC">
        <w:rPr>
          <w:b/>
          <w:sz w:val="28"/>
          <w:szCs w:val="28"/>
        </w:rPr>
        <w:t>и</w:t>
      </w:r>
      <w:r w:rsidRPr="0056405F">
        <w:rPr>
          <w:b/>
          <w:sz w:val="28"/>
          <w:szCs w:val="28"/>
        </w:rPr>
        <w:t xml:space="preserve"> </w:t>
      </w:r>
      <w:r w:rsidR="00443FFC">
        <w:rPr>
          <w:b/>
          <w:sz w:val="28"/>
          <w:szCs w:val="28"/>
        </w:rPr>
        <w:t>передачі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:rsidR="0056405F" w:rsidRDefault="0056405F" w:rsidP="0056405F">
      <w:pPr>
        <w:jc w:val="center"/>
        <w:rPr>
          <w:b/>
          <w:sz w:val="28"/>
          <w:szCs w:val="28"/>
        </w:rPr>
      </w:pP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B336E1" w:rsidRPr="00360B02" w:rsidRDefault="00B336E1" w:rsidP="0056405F">
      <w:pPr>
        <w:jc w:val="center"/>
        <w:rPr>
          <w:b/>
          <w:sz w:val="28"/>
          <w:szCs w:val="28"/>
        </w:rPr>
      </w:pPr>
    </w:p>
    <w:p w:rsid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Відповідно до положень частини третьої статті 6 Закону України «Про ринок електричної енергії»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кодексу систем</w:t>
      </w:r>
      <w:r w:rsidR="00443FFC">
        <w:rPr>
          <w:sz w:val="28"/>
          <w:szCs w:val="28"/>
        </w:rPr>
        <w:t>и</w:t>
      </w:r>
      <w:r w:rsidRPr="00A91404">
        <w:rPr>
          <w:sz w:val="28"/>
          <w:szCs w:val="28"/>
        </w:rPr>
        <w:t xml:space="preserve"> </w:t>
      </w:r>
      <w:r w:rsidR="00443FFC">
        <w:rPr>
          <w:sz w:val="28"/>
          <w:szCs w:val="28"/>
        </w:rPr>
        <w:t>передачі</w:t>
      </w:r>
      <w:r w:rsidRPr="00A91404">
        <w:rPr>
          <w:sz w:val="28"/>
          <w:szCs w:val="28"/>
        </w:rPr>
        <w:t>.</w:t>
      </w:r>
    </w:p>
    <w:p w:rsidR="007F3655" w:rsidRPr="007F3655" w:rsidRDefault="007F3655" w:rsidP="007F3655">
      <w:pPr>
        <w:ind w:firstLine="709"/>
        <w:jc w:val="both"/>
        <w:rPr>
          <w:sz w:val="28"/>
          <w:szCs w:val="28"/>
        </w:rPr>
      </w:pPr>
      <w:r w:rsidRPr="007F3655">
        <w:rPr>
          <w:sz w:val="28"/>
          <w:szCs w:val="28"/>
        </w:rPr>
        <w:t xml:space="preserve">Відповідно до розділу </w:t>
      </w:r>
      <w:proofErr w:type="spellStart"/>
      <w:r w:rsidRPr="007F3655">
        <w:rPr>
          <w:sz w:val="28"/>
          <w:szCs w:val="28"/>
        </w:rPr>
        <w:t>Load-Frequency</w:t>
      </w:r>
      <w:proofErr w:type="spellEnd"/>
      <w:r w:rsidRPr="007F3655">
        <w:rPr>
          <w:sz w:val="28"/>
          <w:szCs w:val="28"/>
        </w:rPr>
        <w:t xml:space="preserve"> </w:t>
      </w:r>
      <w:proofErr w:type="spellStart"/>
      <w:r w:rsidRPr="007F3655">
        <w:rPr>
          <w:sz w:val="28"/>
          <w:szCs w:val="28"/>
        </w:rPr>
        <w:t>Control</w:t>
      </w:r>
      <w:proofErr w:type="spellEnd"/>
      <w:r w:rsidRPr="007F3655">
        <w:rPr>
          <w:sz w:val="28"/>
          <w:szCs w:val="28"/>
        </w:rPr>
        <w:t xml:space="preserve"> </w:t>
      </w:r>
      <w:proofErr w:type="spellStart"/>
      <w:r w:rsidRPr="007F3655">
        <w:rPr>
          <w:sz w:val="28"/>
          <w:szCs w:val="28"/>
        </w:rPr>
        <w:t>and</w:t>
      </w:r>
      <w:proofErr w:type="spellEnd"/>
      <w:r w:rsidRPr="007F3655">
        <w:rPr>
          <w:sz w:val="28"/>
          <w:szCs w:val="28"/>
        </w:rPr>
        <w:t xml:space="preserve"> </w:t>
      </w:r>
      <w:proofErr w:type="spellStart"/>
      <w:r w:rsidRPr="007F3655">
        <w:rPr>
          <w:sz w:val="28"/>
          <w:szCs w:val="28"/>
        </w:rPr>
        <w:t>Reserves</w:t>
      </w:r>
      <w:proofErr w:type="spellEnd"/>
      <w:r w:rsidRPr="007F3655">
        <w:rPr>
          <w:sz w:val="28"/>
          <w:szCs w:val="28"/>
        </w:rPr>
        <w:t xml:space="preserve"> </w:t>
      </w:r>
      <w:bookmarkStart w:id="0" w:name="_Hlk111037680"/>
      <w:r w:rsidRPr="007F3655">
        <w:rPr>
          <w:sz w:val="28"/>
          <w:szCs w:val="28"/>
        </w:rPr>
        <w:t xml:space="preserve">Каталогу заходів з інтеграції ОЕС України до ENTSO-E </w:t>
      </w:r>
      <w:bookmarkEnd w:id="0"/>
      <w:r w:rsidRPr="007F3655">
        <w:rPr>
          <w:sz w:val="28"/>
          <w:szCs w:val="28"/>
        </w:rPr>
        <w:t xml:space="preserve">(Каталог заходів – частина Угоди «Про умови майбутнього об’єднання української та європейської енергосистем»), які Україна мала виконати до моменту синхронізації Об’єднаної енергосистеми України з </w:t>
      </w:r>
      <w:proofErr w:type="spellStart"/>
      <w:r w:rsidRPr="007F3655">
        <w:rPr>
          <w:sz w:val="28"/>
          <w:szCs w:val="28"/>
        </w:rPr>
        <w:t>енергооб'єднанням</w:t>
      </w:r>
      <w:proofErr w:type="spellEnd"/>
      <w:r w:rsidRPr="007F3655">
        <w:rPr>
          <w:sz w:val="28"/>
          <w:szCs w:val="28"/>
        </w:rPr>
        <w:t xml:space="preserve"> Синхронної зони Континентальної Європи (CE SA), положення Кодексу системи передачі стосовно відповідності технічних вимог до резерву підтримки частоти (РПЧ) мали бути приведені до технічних вимог ENTSO-E, а саме </w:t>
      </w:r>
      <w:proofErr w:type="spellStart"/>
      <w:r w:rsidRPr="007F3655">
        <w:rPr>
          <w:sz w:val="28"/>
          <w:szCs w:val="28"/>
        </w:rPr>
        <w:t>Commission</w:t>
      </w:r>
      <w:proofErr w:type="spellEnd"/>
      <w:r w:rsidRPr="007F3655">
        <w:rPr>
          <w:sz w:val="28"/>
          <w:szCs w:val="28"/>
        </w:rPr>
        <w:t xml:space="preserve"> </w:t>
      </w:r>
      <w:proofErr w:type="spellStart"/>
      <w:r w:rsidRPr="007F3655">
        <w:rPr>
          <w:sz w:val="28"/>
          <w:szCs w:val="28"/>
        </w:rPr>
        <w:t>Regulation</w:t>
      </w:r>
      <w:proofErr w:type="spellEnd"/>
      <w:r w:rsidRPr="007F3655">
        <w:rPr>
          <w:sz w:val="28"/>
          <w:szCs w:val="28"/>
        </w:rPr>
        <w:t xml:space="preserve"> (EU) 2017/1485 </w:t>
      </w:r>
      <w:proofErr w:type="spellStart"/>
      <w:r w:rsidRPr="007F3655">
        <w:rPr>
          <w:sz w:val="28"/>
          <w:szCs w:val="28"/>
        </w:rPr>
        <w:t>of</w:t>
      </w:r>
      <w:proofErr w:type="spellEnd"/>
      <w:r w:rsidRPr="007F3655">
        <w:rPr>
          <w:sz w:val="28"/>
          <w:szCs w:val="28"/>
        </w:rPr>
        <w:t xml:space="preserve"> 2 </w:t>
      </w:r>
      <w:proofErr w:type="spellStart"/>
      <w:r w:rsidRPr="007F3655">
        <w:rPr>
          <w:sz w:val="28"/>
          <w:szCs w:val="28"/>
        </w:rPr>
        <w:t>August</w:t>
      </w:r>
      <w:proofErr w:type="spellEnd"/>
      <w:r w:rsidRPr="007F3655">
        <w:rPr>
          <w:sz w:val="28"/>
          <w:szCs w:val="28"/>
        </w:rPr>
        <w:t xml:space="preserve"> 2</w:t>
      </w:r>
      <w:bookmarkStart w:id="1" w:name="_GoBack"/>
      <w:bookmarkEnd w:id="1"/>
      <w:r w:rsidRPr="007F3655">
        <w:rPr>
          <w:sz w:val="28"/>
          <w:szCs w:val="28"/>
        </w:rPr>
        <w:t xml:space="preserve">017 </w:t>
      </w:r>
      <w:proofErr w:type="spellStart"/>
      <w:r w:rsidRPr="007F3655">
        <w:rPr>
          <w:sz w:val="28"/>
          <w:szCs w:val="28"/>
        </w:rPr>
        <w:t>establishing</w:t>
      </w:r>
      <w:proofErr w:type="spellEnd"/>
      <w:r w:rsidRPr="007F3655">
        <w:rPr>
          <w:sz w:val="28"/>
          <w:szCs w:val="28"/>
        </w:rPr>
        <w:t xml:space="preserve"> a </w:t>
      </w:r>
      <w:proofErr w:type="spellStart"/>
      <w:r w:rsidRPr="007F3655">
        <w:rPr>
          <w:sz w:val="28"/>
          <w:szCs w:val="28"/>
        </w:rPr>
        <w:t>guideline</w:t>
      </w:r>
      <w:proofErr w:type="spellEnd"/>
      <w:r w:rsidRPr="007F3655">
        <w:rPr>
          <w:sz w:val="28"/>
          <w:szCs w:val="28"/>
        </w:rPr>
        <w:t xml:space="preserve"> </w:t>
      </w:r>
      <w:proofErr w:type="spellStart"/>
      <w:r w:rsidRPr="007F3655">
        <w:rPr>
          <w:sz w:val="28"/>
          <w:szCs w:val="28"/>
        </w:rPr>
        <w:t>on</w:t>
      </w:r>
      <w:proofErr w:type="spellEnd"/>
      <w:r w:rsidRPr="007F3655">
        <w:rPr>
          <w:sz w:val="28"/>
          <w:szCs w:val="28"/>
        </w:rPr>
        <w:t xml:space="preserve"> </w:t>
      </w:r>
      <w:proofErr w:type="spellStart"/>
      <w:r w:rsidRPr="007F3655">
        <w:rPr>
          <w:sz w:val="28"/>
          <w:szCs w:val="28"/>
        </w:rPr>
        <w:t>electricity</w:t>
      </w:r>
      <w:proofErr w:type="spellEnd"/>
      <w:r w:rsidRPr="007F3655">
        <w:rPr>
          <w:sz w:val="28"/>
          <w:szCs w:val="28"/>
        </w:rPr>
        <w:t xml:space="preserve"> </w:t>
      </w:r>
      <w:proofErr w:type="spellStart"/>
      <w:r w:rsidRPr="007F3655">
        <w:rPr>
          <w:sz w:val="28"/>
          <w:szCs w:val="28"/>
        </w:rPr>
        <w:t>transmission</w:t>
      </w:r>
      <w:proofErr w:type="spellEnd"/>
      <w:r w:rsidRPr="007F3655">
        <w:rPr>
          <w:sz w:val="28"/>
          <w:szCs w:val="28"/>
        </w:rPr>
        <w:t xml:space="preserve"> </w:t>
      </w:r>
      <w:proofErr w:type="spellStart"/>
      <w:r w:rsidRPr="007F3655">
        <w:rPr>
          <w:sz w:val="28"/>
          <w:szCs w:val="28"/>
        </w:rPr>
        <w:t>system</w:t>
      </w:r>
      <w:proofErr w:type="spellEnd"/>
      <w:r w:rsidRPr="007F3655">
        <w:rPr>
          <w:sz w:val="28"/>
          <w:szCs w:val="28"/>
        </w:rPr>
        <w:t xml:space="preserve"> </w:t>
      </w:r>
      <w:proofErr w:type="spellStart"/>
      <w:r w:rsidRPr="007F3655">
        <w:rPr>
          <w:sz w:val="28"/>
          <w:szCs w:val="28"/>
        </w:rPr>
        <w:t>operation</w:t>
      </w:r>
      <w:proofErr w:type="spellEnd"/>
      <w:r w:rsidRPr="007F3655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F3655">
        <w:rPr>
          <w:sz w:val="28"/>
          <w:szCs w:val="28"/>
        </w:rPr>
        <w:t>Регламент ЄС 2017/1485 від 02.08.2017 (SOGL).</w:t>
      </w:r>
    </w:p>
    <w:p w:rsidR="007F3655" w:rsidRPr="007F3655" w:rsidRDefault="007F3655" w:rsidP="007F3655">
      <w:pPr>
        <w:ind w:firstLine="709"/>
        <w:jc w:val="both"/>
        <w:rPr>
          <w:sz w:val="28"/>
          <w:szCs w:val="28"/>
        </w:rPr>
      </w:pPr>
      <w:r w:rsidRPr="007F3655">
        <w:rPr>
          <w:sz w:val="28"/>
          <w:szCs w:val="28"/>
        </w:rPr>
        <w:t xml:space="preserve">Згідно з вимогами технічних експлуатаційних стандартів CE SA до постачальників допоміжних послуг з РПЧ висуваються вимоги, обов’язкові до виконання всіма учасниками </w:t>
      </w:r>
      <w:proofErr w:type="spellStart"/>
      <w:r w:rsidRPr="007F3655">
        <w:rPr>
          <w:sz w:val="28"/>
          <w:szCs w:val="28"/>
        </w:rPr>
        <w:t>енергооб’єднання</w:t>
      </w:r>
      <w:proofErr w:type="spellEnd"/>
      <w:r w:rsidR="00B55365">
        <w:rPr>
          <w:sz w:val="28"/>
          <w:szCs w:val="28"/>
        </w:rPr>
        <w:t xml:space="preserve">, </w:t>
      </w:r>
      <w:r w:rsidR="00B55365" w:rsidRPr="002B23BF">
        <w:rPr>
          <w:sz w:val="28"/>
          <w:szCs w:val="28"/>
        </w:rPr>
        <w:t>які</w:t>
      </w:r>
      <w:r w:rsidRPr="007F3655">
        <w:rPr>
          <w:sz w:val="28"/>
          <w:szCs w:val="28"/>
        </w:rPr>
        <w:t xml:space="preserve"> викладен</w:t>
      </w:r>
      <w:r w:rsidR="00B55365">
        <w:rPr>
          <w:sz w:val="28"/>
          <w:szCs w:val="28"/>
        </w:rPr>
        <w:t>і</w:t>
      </w:r>
      <w:r w:rsidRPr="007F3655">
        <w:rPr>
          <w:sz w:val="28"/>
          <w:szCs w:val="28"/>
        </w:rPr>
        <w:t xml:space="preserve"> у </w:t>
      </w:r>
      <w:r w:rsidR="00B55365" w:rsidRPr="00B55365">
        <w:rPr>
          <w:sz w:val="28"/>
          <w:szCs w:val="28"/>
        </w:rPr>
        <w:t>с</w:t>
      </w:r>
      <w:r w:rsidRPr="007F3655">
        <w:rPr>
          <w:sz w:val="28"/>
          <w:szCs w:val="28"/>
        </w:rPr>
        <w:t>татті 154</w:t>
      </w:r>
      <w:r w:rsidR="00A6034C" w:rsidRPr="00A6034C">
        <w:rPr>
          <w:sz w:val="28"/>
          <w:szCs w:val="28"/>
        </w:rPr>
        <w:t xml:space="preserve"> </w:t>
      </w:r>
      <w:r w:rsidR="00A6034C" w:rsidRPr="007F3655">
        <w:rPr>
          <w:sz w:val="28"/>
          <w:szCs w:val="28"/>
        </w:rPr>
        <w:t>Регламент</w:t>
      </w:r>
      <w:r w:rsidR="00A6034C">
        <w:rPr>
          <w:sz w:val="28"/>
          <w:szCs w:val="28"/>
        </w:rPr>
        <w:t>у</w:t>
      </w:r>
      <w:r w:rsidR="00A6034C" w:rsidRPr="007F3655">
        <w:rPr>
          <w:sz w:val="28"/>
          <w:szCs w:val="28"/>
        </w:rPr>
        <w:t xml:space="preserve"> ЄС 2017/1485 від 02.08.2017</w:t>
      </w:r>
      <w:r w:rsidRPr="007F3655">
        <w:rPr>
          <w:sz w:val="28"/>
          <w:szCs w:val="28"/>
        </w:rPr>
        <w:t xml:space="preserve">. </w:t>
      </w:r>
    </w:p>
    <w:p w:rsidR="007F3655" w:rsidRPr="007F3655" w:rsidRDefault="007F3655" w:rsidP="007F3655">
      <w:pPr>
        <w:ind w:firstLine="709"/>
        <w:jc w:val="both"/>
        <w:rPr>
          <w:sz w:val="28"/>
          <w:szCs w:val="28"/>
        </w:rPr>
      </w:pPr>
      <w:r w:rsidRPr="007F3655">
        <w:rPr>
          <w:sz w:val="28"/>
          <w:szCs w:val="28"/>
        </w:rPr>
        <w:t xml:space="preserve">Проте, враховуючи прискорену процедуру синхронізації блоку регулювання Україна-Молдова до CE SA, </w:t>
      </w:r>
      <w:r w:rsidR="00B55365">
        <w:rPr>
          <w:sz w:val="28"/>
          <w:szCs w:val="28"/>
        </w:rPr>
        <w:t>та</w:t>
      </w:r>
      <w:r w:rsidRPr="007F3655">
        <w:rPr>
          <w:sz w:val="28"/>
          <w:szCs w:val="28"/>
        </w:rPr>
        <w:t xml:space="preserve"> оскільки Об’єднана енергосистема України </w:t>
      </w:r>
      <w:r w:rsidR="00B55365" w:rsidRPr="007F3655">
        <w:rPr>
          <w:sz w:val="28"/>
          <w:szCs w:val="28"/>
        </w:rPr>
        <w:t xml:space="preserve">фактично </w:t>
      </w:r>
      <w:r w:rsidRPr="007F3655">
        <w:rPr>
          <w:sz w:val="28"/>
          <w:szCs w:val="28"/>
        </w:rPr>
        <w:t xml:space="preserve">вже працює за новими правилами і активно приймає участь у процесі підтримки частоти з моменту синхронізації 16.03.2022 у повному обсязі згідно заданих величин РПЧ за новими вимогами </w:t>
      </w:r>
      <w:proofErr w:type="spellStart"/>
      <w:r w:rsidRPr="007F3655">
        <w:rPr>
          <w:sz w:val="28"/>
          <w:szCs w:val="28"/>
        </w:rPr>
        <w:t>енергооб'єднання</w:t>
      </w:r>
      <w:proofErr w:type="spellEnd"/>
      <w:r w:rsidRPr="007F3655">
        <w:rPr>
          <w:sz w:val="28"/>
          <w:szCs w:val="28"/>
        </w:rPr>
        <w:t>, виникла необхідність внесення змін до Кодексу системи передачі, оскільки існуючі на сьогодні аналогічні вимоги стосовно відповідності технічних вимог до РПЧ дещо відрізняються від вимог ENTSO-E.</w:t>
      </w:r>
    </w:p>
    <w:p w:rsidR="007F3655" w:rsidRPr="007F3655" w:rsidRDefault="007F3655" w:rsidP="007F3655">
      <w:pPr>
        <w:ind w:firstLine="709"/>
        <w:jc w:val="both"/>
        <w:rPr>
          <w:sz w:val="28"/>
          <w:szCs w:val="28"/>
        </w:rPr>
      </w:pPr>
      <w:r w:rsidRPr="007F3655">
        <w:rPr>
          <w:sz w:val="28"/>
          <w:szCs w:val="28"/>
        </w:rPr>
        <w:t xml:space="preserve">Враховуючи зазначене вище </w:t>
      </w:r>
      <w:r w:rsidR="0027332F">
        <w:rPr>
          <w:sz w:val="28"/>
          <w:szCs w:val="28"/>
        </w:rPr>
        <w:t xml:space="preserve">та з метою узгодження положень </w:t>
      </w:r>
      <w:r w:rsidR="0027332F" w:rsidRPr="007F3655">
        <w:rPr>
          <w:sz w:val="28"/>
          <w:szCs w:val="28"/>
        </w:rPr>
        <w:t xml:space="preserve">Кодексу системи передачі </w:t>
      </w:r>
      <w:r w:rsidR="0027332F">
        <w:rPr>
          <w:sz w:val="28"/>
          <w:szCs w:val="28"/>
        </w:rPr>
        <w:t xml:space="preserve">з </w:t>
      </w:r>
      <w:r w:rsidRPr="007F3655">
        <w:rPr>
          <w:sz w:val="28"/>
          <w:szCs w:val="28"/>
        </w:rPr>
        <w:t xml:space="preserve">НЕК </w:t>
      </w:r>
      <w:r w:rsidR="00261CC6">
        <w:rPr>
          <w:sz w:val="28"/>
          <w:szCs w:val="28"/>
        </w:rPr>
        <w:t>«</w:t>
      </w:r>
      <w:r w:rsidRPr="007F3655">
        <w:rPr>
          <w:sz w:val="28"/>
          <w:szCs w:val="28"/>
        </w:rPr>
        <w:t>Укренерго</w:t>
      </w:r>
      <w:r w:rsidR="00261CC6">
        <w:rPr>
          <w:sz w:val="28"/>
          <w:szCs w:val="28"/>
        </w:rPr>
        <w:t>»</w:t>
      </w:r>
      <w:r w:rsidR="0027332F" w:rsidRPr="0027332F">
        <w:t xml:space="preserve"> </w:t>
      </w:r>
      <w:r w:rsidR="0027332F" w:rsidRPr="002B23BF">
        <w:rPr>
          <w:sz w:val="28"/>
          <w:szCs w:val="28"/>
        </w:rPr>
        <w:t xml:space="preserve">з положеннями </w:t>
      </w:r>
      <w:r w:rsidR="0027332F" w:rsidRPr="0027332F">
        <w:rPr>
          <w:sz w:val="28"/>
          <w:szCs w:val="28"/>
        </w:rPr>
        <w:t>Каталогу заходів з інтеграції ОЕС України до ENTSO-E</w:t>
      </w:r>
      <w:r w:rsidR="0027332F">
        <w:rPr>
          <w:sz w:val="28"/>
          <w:szCs w:val="28"/>
        </w:rPr>
        <w:t>,</w:t>
      </w:r>
      <w:r w:rsidR="00E70E09">
        <w:rPr>
          <w:sz w:val="28"/>
          <w:szCs w:val="28"/>
        </w:rPr>
        <w:t xml:space="preserve"> ОСП</w:t>
      </w:r>
      <w:r w:rsidRPr="007F3655">
        <w:rPr>
          <w:sz w:val="28"/>
          <w:szCs w:val="28"/>
        </w:rPr>
        <w:t xml:space="preserve"> спільно з НКРЕКП </w:t>
      </w:r>
      <w:r w:rsidR="00302FBD">
        <w:rPr>
          <w:sz w:val="28"/>
          <w:szCs w:val="28"/>
        </w:rPr>
        <w:t>розробили</w:t>
      </w:r>
      <w:r w:rsidR="00302FBD" w:rsidRPr="007F3655">
        <w:rPr>
          <w:sz w:val="28"/>
          <w:szCs w:val="28"/>
        </w:rPr>
        <w:t xml:space="preserve"> </w:t>
      </w:r>
      <w:proofErr w:type="spellStart"/>
      <w:r w:rsidRPr="007F3655">
        <w:rPr>
          <w:sz w:val="28"/>
          <w:szCs w:val="28"/>
        </w:rPr>
        <w:t>проєкт</w:t>
      </w:r>
      <w:proofErr w:type="spellEnd"/>
      <w:r w:rsidRPr="007F3655">
        <w:rPr>
          <w:sz w:val="28"/>
          <w:szCs w:val="28"/>
        </w:rPr>
        <w:t xml:space="preserve"> постанови «Про затвердження Змін до Кодексу системи передачі» (далі – </w:t>
      </w:r>
      <w:proofErr w:type="spellStart"/>
      <w:r w:rsidRPr="007F3655">
        <w:rPr>
          <w:sz w:val="28"/>
          <w:szCs w:val="28"/>
        </w:rPr>
        <w:t>Проєкт</w:t>
      </w:r>
      <w:proofErr w:type="spellEnd"/>
      <w:r w:rsidRPr="007F3655">
        <w:rPr>
          <w:sz w:val="28"/>
          <w:szCs w:val="28"/>
        </w:rPr>
        <w:t xml:space="preserve"> постанови).</w:t>
      </w:r>
    </w:p>
    <w:p w:rsidR="007F3655" w:rsidRPr="007F3655" w:rsidRDefault="007F3655" w:rsidP="007F3655">
      <w:pPr>
        <w:ind w:firstLine="709"/>
        <w:jc w:val="both"/>
        <w:rPr>
          <w:sz w:val="28"/>
          <w:szCs w:val="28"/>
        </w:rPr>
      </w:pPr>
      <w:r w:rsidRPr="007F3655">
        <w:rPr>
          <w:sz w:val="28"/>
          <w:szCs w:val="28"/>
        </w:rPr>
        <w:t xml:space="preserve">Положеннями </w:t>
      </w:r>
      <w:proofErr w:type="spellStart"/>
      <w:r w:rsidRPr="007F3655">
        <w:rPr>
          <w:sz w:val="28"/>
          <w:szCs w:val="28"/>
        </w:rPr>
        <w:t>Проєкту</w:t>
      </w:r>
      <w:proofErr w:type="spellEnd"/>
      <w:r w:rsidRPr="007F3655">
        <w:rPr>
          <w:sz w:val="28"/>
          <w:szCs w:val="28"/>
        </w:rPr>
        <w:t xml:space="preserve"> постанови передбачається:</w:t>
      </w:r>
    </w:p>
    <w:p w:rsidR="007F3655" w:rsidRPr="007F3655" w:rsidRDefault="007F3655" w:rsidP="007F3655">
      <w:pPr>
        <w:ind w:firstLine="709"/>
        <w:jc w:val="both"/>
        <w:rPr>
          <w:sz w:val="28"/>
          <w:szCs w:val="28"/>
        </w:rPr>
      </w:pPr>
      <w:r w:rsidRPr="007F3655">
        <w:rPr>
          <w:sz w:val="28"/>
          <w:szCs w:val="28"/>
        </w:rPr>
        <w:t>можливість встановлення ОСП «мертвої зони» первинного регулювання штучно з власних міркувань не фіксуючи її величину, а не визначення природніми притаманними властивостями системи регулювання;</w:t>
      </w:r>
    </w:p>
    <w:p w:rsidR="007F3655" w:rsidRPr="007F3655" w:rsidRDefault="007F3655" w:rsidP="007F3655">
      <w:pPr>
        <w:ind w:firstLine="709"/>
        <w:jc w:val="both"/>
        <w:rPr>
          <w:sz w:val="28"/>
          <w:szCs w:val="28"/>
        </w:rPr>
      </w:pPr>
      <w:r w:rsidRPr="007F3655">
        <w:rPr>
          <w:sz w:val="28"/>
          <w:szCs w:val="28"/>
        </w:rPr>
        <w:t>розрізняються вимоги щодо тривалості надання РПЧ для одиниці/групи постачання РПЧ з енергоємністю, яка не обмежує їх здатність забезпечувати РПЧ, та для яких є такі обмеження;</w:t>
      </w:r>
    </w:p>
    <w:p w:rsidR="002837A6" w:rsidRDefault="007F3655">
      <w:pPr>
        <w:ind w:firstLine="709"/>
        <w:jc w:val="both"/>
        <w:rPr>
          <w:sz w:val="28"/>
          <w:szCs w:val="28"/>
          <w:lang w:val="ru-RU"/>
        </w:rPr>
      </w:pPr>
      <w:r w:rsidRPr="007F3655">
        <w:rPr>
          <w:sz w:val="28"/>
          <w:szCs w:val="28"/>
        </w:rPr>
        <w:lastRenderedPageBreak/>
        <w:t xml:space="preserve">у формулі для визначення </w:t>
      </w:r>
      <w:proofErr w:type="spellStart"/>
      <w:r w:rsidRPr="007F3655">
        <w:rPr>
          <w:sz w:val="28"/>
          <w:szCs w:val="28"/>
        </w:rPr>
        <w:t>статизму</w:t>
      </w:r>
      <w:proofErr w:type="spellEnd"/>
      <w:r w:rsidRPr="007F3655">
        <w:rPr>
          <w:sz w:val="28"/>
          <w:szCs w:val="28"/>
        </w:rPr>
        <w:t xml:space="preserve"> актуалізовано розрахунок відхилення частоти, що дорівнює різниці поточного виміряного значення частоти та номінального значення (без врахування меж мертвої зони, якщо її встановлено).</w:t>
      </w:r>
    </w:p>
    <w:p w:rsidR="00B336E1" w:rsidRDefault="00B336E1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5529" w:type="dxa"/>
            <w:shd w:val="clear" w:color="auto" w:fill="auto"/>
          </w:tcPr>
          <w:p w:rsidR="00B729BC" w:rsidRPr="00EC0E8A" w:rsidRDefault="00B729BC" w:rsidP="00EC0E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</w:tcPr>
          <w:p w:rsidR="0056405F" w:rsidRPr="00135924" w:rsidRDefault="00E42A0F" w:rsidP="00E42A0F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Метою прийняття Проєкту постанови є</w:t>
      </w:r>
      <w:r>
        <w:rPr>
          <w:sz w:val="28"/>
          <w:szCs w:val="28"/>
        </w:rPr>
        <w:t>:</w:t>
      </w:r>
    </w:p>
    <w:p w:rsidR="00E70E09" w:rsidRDefault="00E70E09" w:rsidP="005F33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приведення вимог Кодексу системи передачі </w:t>
      </w:r>
      <w:r w:rsidRPr="007F3655">
        <w:rPr>
          <w:sz w:val="28"/>
          <w:szCs w:val="28"/>
        </w:rPr>
        <w:t xml:space="preserve">стосовно відповідності технічних вимог до РПЧ </w:t>
      </w:r>
      <w:r>
        <w:rPr>
          <w:sz w:val="28"/>
          <w:szCs w:val="28"/>
        </w:rPr>
        <w:t>до</w:t>
      </w:r>
      <w:r w:rsidRPr="007F3655">
        <w:rPr>
          <w:sz w:val="28"/>
          <w:szCs w:val="28"/>
        </w:rPr>
        <w:t xml:space="preserve"> технічних вимог ENTSO-E</w:t>
      </w:r>
      <w:r>
        <w:rPr>
          <w:sz w:val="28"/>
          <w:szCs w:val="28"/>
        </w:rPr>
        <w:t>;</w:t>
      </w:r>
    </w:p>
    <w:p w:rsidR="00E70E09" w:rsidRPr="002B23BF" w:rsidRDefault="00651AE9" w:rsidP="00E70E09">
      <w:pPr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забезпечити </w:t>
      </w:r>
      <w:r w:rsidR="00E70E09" w:rsidRPr="007F3655">
        <w:rPr>
          <w:sz w:val="28"/>
          <w:szCs w:val="28"/>
        </w:rPr>
        <w:t>можливість встановлення ОСП «мертвої зони» первинного регулювання штучно з власних міркувань не фіксуючи її величину</w:t>
      </w:r>
      <w:r w:rsidR="00E70E09" w:rsidRPr="002B23BF">
        <w:rPr>
          <w:sz w:val="28"/>
          <w:szCs w:val="28"/>
        </w:rPr>
        <w:t>;</w:t>
      </w:r>
    </w:p>
    <w:p w:rsidR="00E70E09" w:rsidRPr="007F3655" w:rsidRDefault="00651AE9" w:rsidP="00E70E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розмежувати</w:t>
      </w:r>
      <w:r w:rsidRPr="007F3655">
        <w:rPr>
          <w:sz w:val="28"/>
          <w:szCs w:val="28"/>
        </w:rPr>
        <w:t xml:space="preserve"> </w:t>
      </w:r>
      <w:r w:rsidR="00E70E09" w:rsidRPr="007F3655">
        <w:rPr>
          <w:sz w:val="28"/>
          <w:szCs w:val="28"/>
        </w:rPr>
        <w:t>вимоги щодо тривалості надання РПЧ для одиниці/групи постачання РПЧ з енергоємністю, яка не обмежує їх здатність забезпечувати РПЧ, та для яких є такі обмеження;</w:t>
      </w:r>
    </w:p>
    <w:p w:rsidR="00E70E09" w:rsidRDefault="00651AE9" w:rsidP="00E70E09">
      <w:pPr>
        <w:ind w:firstLine="709"/>
        <w:jc w:val="both"/>
        <w:rPr>
          <w:sz w:val="28"/>
          <w:szCs w:val="28"/>
          <w:lang w:val="ru-RU"/>
        </w:rPr>
      </w:pPr>
      <w:r w:rsidRPr="007F3655">
        <w:rPr>
          <w:sz w:val="28"/>
          <w:szCs w:val="28"/>
        </w:rPr>
        <w:t>актуаліз</w:t>
      </w:r>
      <w:r>
        <w:rPr>
          <w:sz w:val="28"/>
          <w:szCs w:val="28"/>
        </w:rPr>
        <w:t>увати</w:t>
      </w:r>
      <w:r w:rsidRPr="007F3655">
        <w:rPr>
          <w:sz w:val="28"/>
          <w:szCs w:val="28"/>
        </w:rPr>
        <w:t xml:space="preserve"> </w:t>
      </w:r>
      <w:r w:rsidR="00E70E09" w:rsidRPr="007F3655">
        <w:rPr>
          <w:sz w:val="28"/>
          <w:szCs w:val="28"/>
        </w:rPr>
        <w:t xml:space="preserve">у формулі для визначення </w:t>
      </w:r>
      <w:proofErr w:type="spellStart"/>
      <w:r w:rsidR="00E70E09" w:rsidRPr="007F3655">
        <w:rPr>
          <w:sz w:val="28"/>
          <w:szCs w:val="28"/>
        </w:rPr>
        <w:t>статизму</w:t>
      </w:r>
      <w:proofErr w:type="spellEnd"/>
      <w:r w:rsidR="00E70E09" w:rsidRPr="007F3655">
        <w:rPr>
          <w:sz w:val="28"/>
          <w:szCs w:val="28"/>
        </w:rPr>
        <w:t xml:space="preserve"> розрахунок відхилення частоти, що дорівнює різниці поточного виміряного значення частоти та номінального значення (без врахування меж мертвої зони, якщо її встановлено).</w:t>
      </w:r>
    </w:p>
    <w:p w:rsidR="00C70CCC" w:rsidRPr="00360B02" w:rsidRDefault="00C70CCC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56405F" w:rsidRPr="005558AE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F91308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:rsidR="0056405F" w:rsidRPr="00E70E09" w:rsidRDefault="00E70E09">
            <w:pPr>
              <w:pStyle w:val="2"/>
              <w:spacing w:after="0" w:line="240" w:lineRule="auto"/>
              <w:ind w:left="55"/>
              <w:jc w:val="both"/>
            </w:pPr>
            <w:r w:rsidRPr="00E70E09">
              <w:t xml:space="preserve">Невідповідність </w:t>
            </w:r>
            <w:r w:rsidR="00651AE9" w:rsidRPr="00651AE9">
              <w:t xml:space="preserve">Кодексу системи передачі </w:t>
            </w:r>
            <w:r w:rsidRPr="006B55E1">
              <w:t>технічним вимогам ENTSO-E</w:t>
            </w:r>
            <w:r w:rsidRPr="00E70E09">
              <w:t xml:space="preserve">, а саме </w:t>
            </w:r>
            <w:r w:rsidRPr="006B55E1">
              <w:t>Статті 154 Регламенту ЄС 2017/1485 від 02.08.2017.</w:t>
            </w:r>
          </w:p>
        </w:tc>
      </w:tr>
      <w:tr w:rsidR="0056405F" w:rsidRPr="005558AE" w:rsidTr="00F91308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:rsidR="00B06E62" w:rsidRPr="00FF5A58" w:rsidRDefault="00651AE9" w:rsidP="006B55E1">
            <w:pPr>
              <w:pStyle w:val="3"/>
              <w:ind w:left="5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Удосконалення та п</w:t>
            </w:r>
            <w:r w:rsidR="00BB3BAC" w:rsidRPr="00BB3BAC">
              <w:rPr>
                <w:sz w:val="24"/>
                <w:szCs w:val="24"/>
              </w:rPr>
              <w:t xml:space="preserve">риведення </w:t>
            </w:r>
            <w:r>
              <w:rPr>
                <w:sz w:val="24"/>
                <w:szCs w:val="24"/>
              </w:rPr>
              <w:t xml:space="preserve">положень </w:t>
            </w:r>
            <w:r w:rsidRPr="00651AE9">
              <w:rPr>
                <w:sz w:val="24"/>
                <w:szCs w:val="24"/>
              </w:rPr>
              <w:t xml:space="preserve">Кодексу системи передачі </w:t>
            </w:r>
            <w:r w:rsidR="00BB3BAC" w:rsidRPr="00BB3BAC">
              <w:rPr>
                <w:sz w:val="24"/>
                <w:szCs w:val="24"/>
              </w:rPr>
              <w:t xml:space="preserve">у відповідність </w:t>
            </w:r>
            <w:r>
              <w:rPr>
                <w:sz w:val="24"/>
                <w:szCs w:val="24"/>
              </w:rPr>
              <w:t xml:space="preserve">з </w:t>
            </w:r>
            <w:r w:rsidR="00BC7F5D" w:rsidRPr="00F970AA">
              <w:rPr>
                <w:sz w:val="24"/>
                <w:szCs w:val="24"/>
              </w:rPr>
              <w:t>технічним</w:t>
            </w:r>
            <w:r>
              <w:rPr>
                <w:sz w:val="24"/>
                <w:szCs w:val="24"/>
              </w:rPr>
              <w:t>и</w:t>
            </w:r>
            <w:r w:rsidR="00BC7F5D" w:rsidRPr="00F970AA">
              <w:rPr>
                <w:sz w:val="24"/>
                <w:szCs w:val="24"/>
              </w:rPr>
              <w:t xml:space="preserve"> вимогам</w:t>
            </w:r>
            <w:r>
              <w:rPr>
                <w:sz w:val="24"/>
                <w:szCs w:val="24"/>
              </w:rPr>
              <w:t>и</w:t>
            </w:r>
            <w:r w:rsidR="00BC7F5D" w:rsidRPr="00F970AA">
              <w:rPr>
                <w:sz w:val="24"/>
                <w:szCs w:val="24"/>
              </w:rPr>
              <w:t xml:space="preserve"> ENTSO-E, а саме </w:t>
            </w:r>
            <w:r>
              <w:rPr>
                <w:sz w:val="24"/>
                <w:szCs w:val="24"/>
              </w:rPr>
              <w:t>до с</w:t>
            </w:r>
            <w:r w:rsidR="00BC7F5D" w:rsidRPr="00F970AA">
              <w:rPr>
                <w:sz w:val="24"/>
                <w:szCs w:val="24"/>
              </w:rPr>
              <w:t>татті 154 Регламенту ЄС 2017/1485 від 02.08.2017</w:t>
            </w:r>
            <w:r w:rsidR="00BB3BAC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lastRenderedPageBreak/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1"/>
        <w:gridCol w:w="3223"/>
        <w:gridCol w:w="3362"/>
      </w:tblGrid>
      <w:tr w:rsidR="00651AE9" w:rsidRPr="005558AE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651AE9" w:rsidRPr="005558AE" w:rsidTr="00F91308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:rsidR="00B569A5" w:rsidRPr="005558AE" w:rsidRDefault="00B569A5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F970AA">
              <w:t xml:space="preserve">Невідповідність </w:t>
            </w:r>
            <w:r w:rsidR="00651AE9" w:rsidRPr="00651AE9">
              <w:t>Кодексу системи передачі</w:t>
            </w:r>
            <w:r w:rsidRPr="00F970AA">
              <w:t xml:space="preserve"> технічним вимогам ENTSO-E, а саме Статті 154 Регламенту ЄС 2017/1485 від 02.08.2017.</w:t>
            </w:r>
          </w:p>
        </w:tc>
      </w:tr>
      <w:tr w:rsidR="00651AE9" w:rsidRPr="005558AE" w:rsidTr="00F91308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56405F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651AE9">
              <w:rPr>
                <w:sz w:val="24"/>
                <w:szCs w:val="24"/>
              </w:rPr>
              <w:t>Удосконалення та п</w:t>
            </w:r>
            <w:r w:rsidR="00B569A5" w:rsidRPr="00B569A5">
              <w:rPr>
                <w:sz w:val="24"/>
                <w:szCs w:val="24"/>
              </w:rPr>
              <w:t xml:space="preserve">риведення </w:t>
            </w:r>
            <w:r w:rsidR="00651AE9">
              <w:rPr>
                <w:sz w:val="24"/>
                <w:szCs w:val="24"/>
              </w:rPr>
              <w:t xml:space="preserve">положень </w:t>
            </w:r>
            <w:r w:rsidR="00651AE9" w:rsidRPr="00651AE9">
              <w:rPr>
                <w:sz w:val="24"/>
                <w:szCs w:val="24"/>
              </w:rPr>
              <w:t xml:space="preserve">Кодексу системи передачі </w:t>
            </w:r>
            <w:r w:rsidR="00B569A5" w:rsidRPr="00B569A5">
              <w:rPr>
                <w:sz w:val="24"/>
                <w:szCs w:val="24"/>
              </w:rPr>
              <w:t xml:space="preserve">у відповідність </w:t>
            </w:r>
            <w:r w:rsidR="00651AE9">
              <w:rPr>
                <w:sz w:val="24"/>
                <w:szCs w:val="24"/>
              </w:rPr>
              <w:t xml:space="preserve">до </w:t>
            </w:r>
            <w:r w:rsidR="00B569A5" w:rsidRPr="00B569A5">
              <w:rPr>
                <w:sz w:val="24"/>
                <w:szCs w:val="24"/>
              </w:rPr>
              <w:t>технічни</w:t>
            </w:r>
            <w:r w:rsidR="00651AE9">
              <w:rPr>
                <w:sz w:val="24"/>
                <w:szCs w:val="24"/>
              </w:rPr>
              <w:t>х</w:t>
            </w:r>
            <w:r w:rsidR="00B569A5" w:rsidRPr="00B569A5">
              <w:rPr>
                <w:sz w:val="24"/>
                <w:szCs w:val="24"/>
              </w:rPr>
              <w:t xml:space="preserve"> вимог ENTSO-E, а саме </w:t>
            </w:r>
            <w:r w:rsidR="00651AE9">
              <w:rPr>
                <w:sz w:val="24"/>
                <w:szCs w:val="24"/>
              </w:rPr>
              <w:t>до с</w:t>
            </w:r>
            <w:r w:rsidR="00B569A5" w:rsidRPr="00B569A5">
              <w:rPr>
                <w:sz w:val="24"/>
                <w:szCs w:val="24"/>
              </w:rPr>
              <w:t>татті 154 Регламенту ЄС 2017/1485 від 02.08.2017.</w:t>
            </w:r>
          </w:p>
          <w:p w:rsidR="00EA6575" w:rsidRPr="00834436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651AE9">
              <w:rPr>
                <w:sz w:val="24"/>
                <w:szCs w:val="24"/>
              </w:rPr>
              <w:t>Забезпечення можливості з</w:t>
            </w:r>
            <w:r>
              <w:rPr>
                <w:sz w:val="24"/>
                <w:szCs w:val="24"/>
              </w:rPr>
              <w:t>алучення інвестицій.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56405F" w:rsidRPr="00135924" w:rsidRDefault="00AA75E6" w:rsidP="00EA6575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014092" w:rsidRPr="00DB10AE" w:rsidRDefault="00AA75E6" w:rsidP="00F91308">
            <w:pPr>
              <w:pStyle w:val="2"/>
              <w:spacing w:after="0" w:line="240" w:lineRule="auto"/>
              <w:jc w:val="both"/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56405F" w:rsidRPr="00FF5A58" w:rsidRDefault="0056405F" w:rsidP="00F91308">
            <w:pPr>
              <w:pStyle w:val="2"/>
              <w:spacing w:after="0" w:line="240" w:lineRule="auto"/>
              <w:jc w:val="both"/>
            </w:pPr>
            <w:r w:rsidRPr="00FF5A58"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D117BF" w:rsidRDefault="00D117BF" w:rsidP="00EA6575">
            <w:pPr>
              <w:pStyle w:val="2"/>
              <w:spacing w:after="0" w:line="240" w:lineRule="auto"/>
              <w:jc w:val="both"/>
            </w:pPr>
            <w:r>
              <w:t xml:space="preserve">1. Відсутність </w:t>
            </w:r>
            <w:r w:rsidRPr="00BC7F5D">
              <w:t>можлив</w:t>
            </w:r>
            <w:r>
              <w:t>о</w:t>
            </w:r>
            <w:r w:rsidRPr="00BC7F5D">
              <w:t>ст</w:t>
            </w:r>
            <w:r>
              <w:t>і</w:t>
            </w:r>
            <w:r w:rsidRPr="00BC7F5D">
              <w:t xml:space="preserve"> встановлення ОСП «мертвої зони» первинного регулювання штучно з власних міркувань не фіксуючи її величину</w:t>
            </w:r>
            <w:r>
              <w:t>;</w:t>
            </w:r>
          </w:p>
          <w:p w:rsidR="00D117BF" w:rsidRDefault="00D117BF" w:rsidP="00EA6575">
            <w:pPr>
              <w:pStyle w:val="2"/>
              <w:spacing w:after="0" w:line="240" w:lineRule="auto"/>
              <w:jc w:val="both"/>
            </w:pPr>
            <w:r>
              <w:t>2.</w:t>
            </w:r>
            <w:r w:rsidRPr="00BC7F5D">
              <w:t xml:space="preserve"> </w:t>
            </w:r>
            <w:r>
              <w:t>Відсутність</w:t>
            </w:r>
            <w:r w:rsidRPr="00BC7F5D">
              <w:t xml:space="preserve"> вимог щодо тривалості надання РПЧ для одиниці/групи постачання РПЧ з енергоємністю, яка не обмежує їх здатність забезпечувати РПЧ, та для яких є такі обмеження</w:t>
            </w:r>
            <w:r>
              <w:t>;</w:t>
            </w:r>
          </w:p>
          <w:p w:rsidR="00407C41" w:rsidRPr="00FF5A58" w:rsidRDefault="00D117BF" w:rsidP="00EA6575">
            <w:pPr>
              <w:pStyle w:val="2"/>
              <w:spacing w:after="0" w:line="240" w:lineRule="auto"/>
              <w:jc w:val="both"/>
            </w:pPr>
            <w:r>
              <w:t>3. Неточність у</w:t>
            </w:r>
            <w:r w:rsidRPr="00BC7F5D">
              <w:t xml:space="preserve"> розрахунк</w:t>
            </w:r>
            <w:r>
              <w:t>у</w:t>
            </w:r>
            <w:r w:rsidRPr="00BC7F5D">
              <w:t xml:space="preserve"> відхилення частоти у формулі для визначення </w:t>
            </w:r>
            <w:proofErr w:type="spellStart"/>
            <w:r w:rsidRPr="00BC7F5D">
              <w:t>статизму</w:t>
            </w:r>
            <w:proofErr w:type="spellEnd"/>
            <w:r>
              <w:t>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D117BF" w:rsidRDefault="00D117BF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Визначено</w:t>
            </w:r>
            <w:r>
              <w:t xml:space="preserve"> </w:t>
            </w:r>
            <w:r w:rsidRPr="00BC7F5D">
              <w:rPr>
                <w:sz w:val="24"/>
                <w:szCs w:val="24"/>
              </w:rPr>
              <w:t>можлив</w:t>
            </w:r>
            <w:r>
              <w:rPr>
                <w:sz w:val="24"/>
                <w:szCs w:val="24"/>
              </w:rPr>
              <w:t>і</w:t>
            </w:r>
            <w:r w:rsidRPr="00BC7F5D">
              <w:rPr>
                <w:sz w:val="24"/>
                <w:szCs w:val="24"/>
              </w:rPr>
              <w:t>ст</w:t>
            </w:r>
            <w:r>
              <w:rPr>
                <w:sz w:val="24"/>
                <w:szCs w:val="24"/>
              </w:rPr>
              <w:t>ь</w:t>
            </w:r>
            <w:r w:rsidRPr="00BC7F5D">
              <w:rPr>
                <w:sz w:val="24"/>
                <w:szCs w:val="24"/>
              </w:rPr>
              <w:t xml:space="preserve"> встановлення ОСП «мертвої зони» первинного </w:t>
            </w:r>
            <w:r w:rsidRPr="00BC7F5D">
              <w:rPr>
                <w:sz w:val="24"/>
                <w:szCs w:val="24"/>
              </w:rPr>
              <w:lastRenderedPageBreak/>
              <w:t>регулювання штучно з власних міркувань не фіксуючи її величину</w:t>
            </w:r>
            <w:r>
              <w:rPr>
                <w:sz w:val="24"/>
                <w:szCs w:val="24"/>
              </w:rPr>
              <w:t>;</w:t>
            </w:r>
          </w:p>
          <w:p w:rsidR="00D117BF" w:rsidRDefault="00D117BF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BC7F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Уточнено</w:t>
            </w:r>
            <w:r w:rsidRPr="00BC7F5D">
              <w:rPr>
                <w:sz w:val="24"/>
                <w:szCs w:val="24"/>
              </w:rPr>
              <w:t xml:space="preserve"> вимог</w:t>
            </w:r>
            <w:r>
              <w:rPr>
                <w:sz w:val="24"/>
                <w:szCs w:val="24"/>
              </w:rPr>
              <w:t>и</w:t>
            </w:r>
            <w:r w:rsidRPr="00BC7F5D">
              <w:rPr>
                <w:sz w:val="24"/>
                <w:szCs w:val="24"/>
              </w:rPr>
              <w:t xml:space="preserve"> щодо тривалості надання РПЧ для одиниці/групи постачання РПЧ з енергоємністю, яка не обмежує їх здатність забезпечувати РПЧ, та для яких є такі обмеження</w:t>
            </w:r>
            <w:r>
              <w:rPr>
                <w:sz w:val="24"/>
                <w:szCs w:val="24"/>
              </w:rPr>
              <w:t>;</w:t>
            </w:r>
          </w:p>
          <w:p w:rsidR="0056405F" w:rsidRPr="00DB10AE" w:rsidRDefault="00D117BF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А</w:t>
            </w:r>
            <w:r w:rsidRPr="00BC7F5D">
              <w:rPr>
                <w:sz w:val="24"/>
                <w:szCs w:val="24"/>
              </w:rPr>
              <w:t>ктуаліз</w:t>
            </w:r>
            <w:r>
              <w:rPr>
                <w:sz w:val="24"/>
                <w:szCs w:val="24"/>
              </w:rPr>
              <w:t>овано</w:t>
            </w:r>
            <w:r w:rsidRPr="00BC7F5D">
              <w:rPr>
                <w:sz w:val="24"/>
                <w:szCs w:val="24"/>
              </w:rPr>
              <w:t xml:space="preserve"> розрахун</w:t>
            </w:r>
            <w:r>
              <w:rPr>
                <w:sz w:val="24"/>
                <w:szCs w:val="24"/>
              </w:rPr>
              <w:t>о</w:t>
            </w:r>
            <w:r w:rsidRPr="00BC7F5D">
              <w:rPr>
                <w:sz w:val="24"/>
                <w:szCs w:val="24"/>
              </w:rPr>
              <w:t xml:space="preserve">к відхилення частоти у формулі для визначення </w:t>
            </w:r>
            <w:proofErr w:type="spellStart"/>
            <w:r w:rsidRPr="00BC7F5D">
              <w:rPr>
                <w:sz w:val="24"/>
                <w:szCs w:val="24"/>
              </w:rPr>
              <w:t>статизму</w:t>
            </w:r>
            <w:proofErr w:type="spellEnd"/>
            <w:r w:rsidRPr="00BC7F5D">
              <w:rPr>
                <w:sz w:val="24"/>
                <w:szCs w:val="24"/>
              </w:rPr>
              <w:t>, що дорівнює різниці поточного виміряного значення частоти та номінального значення (без врахування меж мертвої зони, якщо її встановлено)</w:t>
            </w:r>
            <w:r w:rsidRPr="00B06E62">
              <w:rPr>
                <w:sz w:val="24"/>
                <w:szCs w:val="24"/>
              </w:rPr>
              <w:t>.</w:t>
            </w:r>
          </w:p>
        </w:tc>
        <w:tc>
          <w:tcPr>
            <w:tcW w:w="3538" w:type="dxa"/>
            <w:shd w:val="clear" w:color="auto" w:fill="auto"/>
          </w:tcPr>
          <w:p w:rsidR="0056405F" w:rsidRPr="00FF5A58" w:rsidRDefault="00044343" w:rsidP="00F913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:rsidTr="00CF43EF">
        <w:trPr>
          <w:trHeight w:val="979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rPr>
          <w:trHeight w:val="970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6405F" w:rsidRPr="005558AE" w:rsidRDefault="0056405F" w:rsidP="00F9130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забезпечить </w:t>
            </w:r>
            <w:r w:rsidR="00014092">
              <w:rPr>
                <w:sz w:val="24"/>
                <w:szCs w:val="24"/>
              </w:rPr>
              <w:t xml:space="preserve">приведення його </w:t>
            </w:r>
            <w:r w:rsidR="00014092" w:rsidRPr="00BB3BAC">
              <w:rPr>
                <w:sz w:val="24"/>
                <w:szCs w:val="24"/>
              </w:rPr>
              <w:t>у відповідність</w:t>
            </w:r>
            <w:r w:rsidR="00651AE9">
              <w:rPr>
                <w:sz w:val="24"/>
                <w:szCs w:val="24"/>
              </w:rPr>
              <w:t xml:space="preserve"> до </w:t>
            </w:r>
            <w:r w:rsidR="00014092" w:rsidRPr="00BB3BAC">
              <w:rPr>
                <w:sz w:val="24"/>
                <w:szCs w:val="24"/>
              </w:rPr>
              <w:t xml:space="preserve"> </w:t>
            </w:r>
            <w:r w:rsidR="00D117BF" w:rsidRPr="00D117BF">
              <w:rPr>
                <w:sz w:val="24"/>
                <w:szCs w:val="24"/>
              </w:rPr>
              <w:t>технічни</w:t>
            </w:r>
            <w:r w:rsidR="00651AE9">
              <w:rPr>
                <w:sz w:val="24"/>
                <w:szCs w:val="24"/>
              </w:rPr>
              <w:t>х</w:t>
            </w:r>
            <w:r w:rsidR="00D117BF" w:rsidRPr="00D117BF">
              <w:rPr>
                <w:sz w:val="24"/>
                <w:szCs w:val="24"/>
              </w:rPr>
              <w:t xml:space="preserve"> вимог ENTSO-E</w:t>
            </w:r>
            <w:r w:rsidR="00014092"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297"/>
        <w:gridCol w:w="3090"/>
      </w:tblGrid>
      <w:tr w:rsidR="0056405F" w:rsidRPr="005558AE" w:rsidTr="002B23BF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:rsidTr="002B23B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297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3090" w:type="dxa"/>
            <w:shd w:val="clear" w:color="auto" w:fill="auto"/>
          </w:tcPr>
          <w:p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2B23B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297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3090" w:type="dxa"/>
            <w:shd w:val="clear" w:color="auto" w:fill="auto"/>
          </w:tcPr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</w:t>
            </w:r>
            <w:r w:rsidRPr="00BB3BAC">
              <w:rPr>
                <w:sz w:val="24"/>
                <w:szCs w:val="24"/>
              </w:rPr>
              <w:t xml:space="preserve">у відповідність </w:t>
            </w:r>
            <w:r w:rsidR="00651AE9">
              <w:rPr>
                <w:sz w:val="24"/>
                <w:szCs w:val="24"/>
              </w:rPr>
              <w:t xml:space="preserve">до </w:t>
            </w:r>
            <w:r w:rsidR="00D117BF" w:rsidRPr="00D117BF">
              <w:rPr>
                <w:sz w:val="24"/>
                <w:szCs w:val="24"/>
              </w:rPr>
              <w:t>технічни</w:t>
            </w:r>
            <w:r w:rsidR="00651AE9">
              <w:rPr>
                <w:sz w:val="24"/>
                <w:szCs w:val="24"/>
              </w:rPr>
              <w:t>х</w:t>
            </w:r>
            <w:r w:rsidR="00D117BF" w:rsidRPr="00D117BF">
              <w:rPr>
                <w:sz w:val="24"/>
                <w:szCs w:val="24"/>
              </w:rPr>
              <w:t xml:space="preserve"> вимог ENTSO-E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lastRenderedPageBreak/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</w:t>
            </w:r>
            <w:r w:rsidR="004D1216">
              <w:rPr>
                <w:sz w:val="24"/>
                <w:szCs w:val="24"/>
              </w:rPr>
              <w:t>и</w:t>
            </w:r>
            <w:r w:rsidR="000B5D93">
              <w:rPr>
                <w:sz w:val="24"/>
                <w:szCs w:val="24"/>
              </w:rPr>
              <w:t xml:space="preserve"> </w:t>
            </w:r>
            <w:r w:rsidR="004D1216">
              <w:rPr>
                <w:sz w:val="24"/>
                <w:szCs w:val="24"/>
              </w:rPr>
              <w:t>передачі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56405F" w:rsidP="00F91308">
            <w:pPr>
              <w:jc w:val="both"/>
              <w:rPr>
                <w:sz w:val="24"/>
                <w:szCs w:val="24"/>
              </w:rPr>
            </w:pPr>
            <w:r w:rsidRPr="00594589">
              <w:rPr>
                <w:sz w:val="24"/>
                <w:szCs w:val="24"/>
              </w:rPr>
              <w:t>Дозволяє вирішити проблему</w:t>
            </w:r>
            <w:r w:rsidR="0000373C">
              <w:rPr>
                <w:sz w:val="24"/>
                <w:szCs w:val="24"/>
              </w:rPr>
              <w:t xml:space="preserve">. </w:t>
            </w:r>
            <w:r w:rsidRPr="00594589">
              <w:rPr>
                <w:sz w:val="24"/>
                <w:szCs w:val="24"/>
              </w:rPr>
              <w:t>Забезпечує виконання вимог чинного законодавства України</w:t>
            </w:r>
            <w:r w:rsidR="00D117BF">
              <w:t xml:space="preserve"> та </w:t>
            </w:r>
            <w:r w:rsidR="00D117BF" w:rsidRPr="00D117BF">
              <w:rPr>
                <w:sz w:val="24"/>
                <w:szCs w:val="24"/>
              </w:rPr>
              <w:t>технічни</w:t>
            </w:r>
            <w:r w:rsidR="00D117BF">
              <w:rPr>
                <w:sz w:val="24"/>
                <w:szCs w:val="24"/>
              </w:rPr>
              <w:t>х</w:t>
            </w:r>
            <w:r w:rsidR="00D117BF" w:rsidRPr="00D117BF">
              <w:rPr>
                <w:sz w:val="24"/>
                <w:szCs w:val="24"/>
              </w:rPr>
              <w:t xml:space="preserve"> вимог ENTSO-E</w:t>
            </w:r>
            <w:r w:rsidRPr="00594589">
              <w:rPr>
                <w:sz w:val="24"/>
                <w:szCs w:val="24"/>
              </w:rPr>
              <w:t>.</w:t>
            </w:r>
          </w:p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 w:rsidRPr="00B336E1"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у відповідність </w:t>
            </w:r>
            <w:r w:rsidR="00651AE9">
              <w:rPr>
                <w:sz w:val="24"/>
                <w:szCs w:val="24"/>
              </w:rPr>
              <w:t xml:space="preserve">до </w:t>
            </w:r>
            <w:r w:rsidR="00D117BF" w:rsidRPr="00D117BF">
              <w:rPr>
                <w:sz w:val="24"/>
                <w:szCs w:val="24"/>
              </w:rPr>
              <w:t>технічни</w:t>
            </w:r>
            <w:r w:rsidR="00651AE9">
              <w:rPr>
                <w:sz w:val="24"/>
                <w:szCs w:val="24"/>
              </w:rPr>
              <w:t>х</w:t>
            </w:r>
            <w:r w:rsidR="00D117BF" w:rsidRPr="00D117BF">
              <w:rPr>
                <w:sz w:val="24"/>
                <w:szCs w:val="24"/>
              </w:rPr>
              <w:t xml:space="preserve"> вимог ENTSO-E</w:t>
            </w:r>
            <w:r w:rsidRPr="00B336E1">
              <w:rPr>
                <w:sz w:val="24"/>
                <w:szCs w:val="24"/>
              </w:rPr>
              <w:t>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56405F" w:rsidRDefault="00B336E1" w:rsidP="0056405F">
      <w:pPr>
        <w:ind w:firstLine="709"/>
        <w:jc w:val="both"/>
        <w:rPr>
          <w:sz w:val="28"/>
          <w:szCs w:val="28"/>
        </w:rPr>
      </w:pPr>
      <w:r w:rsidRPr="00B336E1">
        <w:rPr>
          <w:sz w:val="28"/>
          <w:szCs w:val="28"/>
        </w:rPr>
        <w:t xml:space="preserve">Прийняття проєкту Постанови НКРЕКП матиме наслідком приведення нормативно-правової бази НКРЕКП у  відповідність до </w:t>
      </w:r>
      <w:r w:rsidR="00D117BF" w:rsidRPr="00D117BF">
        <w:rPr>
          <w:sz w:val="28"/>
          <w:szCs w:val="28"/>
        </w:rPr>
        <w:t>технічни</w:t>
      </w:r>
      <w:r w:rsidR="00D117BF">
        <w:rPr>
          <w:sz w:val="28"/>
          <w:szCs w:val="28"/>
        </w:rPr>
        <w:t>х</w:t>
      </w:r>
      <w:r w:rsidR="00D117BF" w:rsidRPr="00D117BF">
        <w:rPr>
          <w:sz w:val="28"/>
          <w:szCs w:val="28"/>
        </w:rPr>
        <w:t xml:space="preserve"> вимог ENTSO-E</w:t>
      </w:r>
      <w:r w:rsidRPr="00B336E1">
        <w:rPr>
          <w:sz w:val="28"/>
          <w:szCs w:val="28"/>
        </w:rPr>
        <w:t>.</w:t>
      </w:r>
    </w:p>
    <w:p w:rsidR="00B336E1" w:rsidRDefault="00B336E1" w:rsidP="0056405F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:rsidR="0056405F" w:rsidRPr="00EF20A4" w:rsidRDefault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56405F" w:rsidRPr="00EF20A4" w:rsidRDefault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>дія акта розповсюджується на</w:t>
      </w:r>
      <w:r w:rsidR="00355E83">
        <w:rPr>
          <w:sz w:val="28"/>
          <w:szCs w:val="28"/>
        </w:rPr>
        <w:t xml:space="preserve"> ОСП,</w:t>
      </w:r>
      <w:r w:rsidR="008D2D8D" w:rsidRPr="008D2D8D">
        <w:rPr>
          <w:sz w:val="28"/>
          <w:szCs w:val="28"/>
        </w:rPr>
        <w:t xml:space="preserve"> 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</w:t>
      </w:r>
      <w:r w:rsidR="00355E83" w:rsidRPr="008D2D8D">
        <w:rPr>
          <w:sz w:val="28"/>
          <w:szCs w:val="28"/>
        </w:rPr>
        <w:t>оператор</w:t>
      </w:r>
      <w:r w:rsidR="00355E83">
        <w:rPr>
          <w:sz w:val="28"/>
          <w:szCs w:val="28"/>
        </w:rPr>
        <w:t>ів</w:t>
      </w:r>
      <w:r w:rsidR="00355E83" w:rsidRPr="008D2D8D">
        <w:rPr>
          <w:sz w:val="28"/>
          <w:szCs w:val="28"/>
        </w:rPr>
        <w:t xml:space="preserve"> </w:t>
      </w:r>
      <w:r w:rsidR="008D2D8D" w:rsidRPr="008D2D8D">
        <w:rPr>
          <w:sz w:val="28"/>
          <w:szCs w:val="28"/>
        </w:rPr>
        <w:t>систем розподілу</w:t>
      </w:r>
      <w:r w:rsidR="008D2D8D">
        <w:rPr>
          <w:sz w:val="28"/>
          <w:szCs w:val="28"/>
        </w:rPr>
        <w:t>,</w:t>
      </w:r>
      <w:r w:rsidR="008D2D8D" w:rsidRPr="008D2D8D">
        <w:rPr>
          <w:sz w:val="28"/>
          <w:szCs w:val="28"/>
        </w:rPr>
        <w:t xml:space="preserve"> </w:t>
      </w:r>
      <w:r w:rsidR="00355E83">
        <w:rPr>
          <w:sz w:val="28"/>
          <w:szCs w:val="28"/>
        </w:rPr>
        <w:t>виробників електричної енергії, операторів установок зберігання енергії</w:t>
      </w:r>
      <w:r w:rsidR="00B17766">
        <w:rPr>
          <w:sz w:val="28"/>
          <w:szCs w:val="28"/>
        </w:rPr>
        <w:t>;</w:t>
      </w:r>
    </w:p>
    <w:p w:rsidR="0056405F" w:rsidRDefault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:rsidR="0056405F" w:rsidRPr="00EF20A4" w:rsidRDefault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proofErr w:type="spellStart"/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>роєкт</w:t>
      </w:r>
      <w:proofErr w:type="spellEnd"/>
      <w:r w:rsidRPr="00EF20A4">
        <w:rPr>
          <w:sz w:val="28"/>
          <w:szCs w:val="28"/>
        </w:rPr>
        <w:t xml:space="preserve">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6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6B55E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</w:t>
      </w:r>
      <w:r w:rsidR="00651AE9">
        <w:rPr>
          <w:sz w:val="28"/>
          <w:szCs w:val="28"/>
        </w:rPr>
        <w:t>положень</w:t>
      </w:r>
      <w:r w:rsidRPr="00EF20A4">
        <w:rPr>
          <w:sz w:val="28"/>
          <w:szCs w:val="28"/>
        </w:rPr>
        <w:t xml:space="preserve"> </w:t>
      </w:r>
      <w:proofErr w:type="spellStart"/>
      <w:r w:rsidRPr="00EF20A4">
        <w:rPr>
          <w:sz w:val="28"/>
          <w:szCs w:val="28"/>
        </w:rPr>
        <w:t>Проєкту</w:t>
      </w:r>
      <w:proofErr w:type="spellEnd"/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 після набрання ним чинності.</w:t>
      </w:r>
    </w:p>
    <w:p w:rsidR="00991381" w:rsidRDefault="00991381" w:rsidP="0056405F">
      <w:pPr>
        <w:jc w:val="center"/>
        <w:rPr>
          <w:b/>
          <w:sz w:val="28"/>
          <w:szCs w:val="28"/>
        </w:rPr>
      </w:pPr>
    </w:p>
    <w:p w:rsidR="002B23BF" w:rsidRDefault="002B23BF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lastRenderedPageBreak/>
        <w:t>VIII. Очікувані результати прийняття регуляторного акта</w:t>
      </w:r>
    </w:p>
    <w:p w:rsidR="0056405F" w:rsidRPr="00EF20A4" w:rsidRDefault="0056405F" w:rsidP="006B55E1">
      <w:pPr>
        <w:ind w:firstLine="567"/>
        <w:jc w:val="both"/>
        <w:rPr>
          <w:sz w:val="28"/>
          <w:szCs w:val="28"/>
        </w:rPr>
      </w:pPr>
    </w:p>
    <w:p w:rsidR="0056405F" w:rsidRDefault="00A816C4" w:rsidP="006B55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Очікуваним р</w:t>
      </w:r>
      <w:r w:rsidR="0056405F" w:rsidRPr="00EF20A4">
        <w:rPr>
          <w:sz w:val="28"/>
          <w:szCs w:val="28"/>
        </w:rPr>
        <w:t xml:space="preserve">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</w:t>
      </w:r>
      <w:r w:rsidR="00355E83">
        <w:rPr>
          <w:sz w:val="28"/>
          <w:szCs w:val="28"/>
        </w:rPr>
        <w:t>и</w:t>
      </w:r>
      <w:r w:rsidR="008D2D8D" w:rsidRPr="008D2D8D">
        <w:rPr>
          <w:sz w:val="28"/>
          <w:szCs w:val="28"/>
        </w:rPr>
        <w:t xml:space="preserve"> </w:t>
      </w:r>
      <w:r w:rsidR="00355E83">
        <w:rPr>
          <w:sz w:val="28"/>
          <w:szCs w:val="28"/>
        </w:rPr>
        <w:t>передачі</w:t>
      </w:r>
      <w:r w:rsidR="008D2D8D" w:rsidRPr="008D2D8D">
        <w:rPr>
          <w:sz w:val="28"/>
          <w:szCs w:val="28"/>
        </w:rPr>
        <w:t>»</w:t>
      </w:r>
      <w:r w:rsidR="0056405F">
        <w:rPr>
          <w:sz w:val="28"/>
          <w:szCs w:val="28"/>
        </w:rPr>
        <w:t xml:space="preserve"> </w:t>
      </w:r>
      <w:r w:rsidR="0056405F" w:rsidRPr="00EF20A4">
        <w:rPr>
          <w:sz w:val="28"/>
          <w:szCs w:val="28"/>
        </w:rPr>
        <w:t xml:space="preserve">має стати: </w:t>
      </w:r>
    </w:p>
    <w:p w:rsidR="000006FD" w:rsidRPr="000006FD" w:rsidRDefault="000006FD" w:rsidP="006B55E1">
      <w:pPr>
        <w:ind w:firstLine="567"/>
        <w:jc w:val="both"/>
        <w:rPr>
          <w:sz w:val="28"/>
          <w:szCs w:val="28"/>
        </w:rPr>
      </w:pPr>
      <w:r w:rsidRPr="000006FD">
        <w:rPr>
          <w:sz w:val="28"/>
          <w:szCs w:val="28"/>
        </w:rPr>
        <w:t>приведення вимог Кодексу системи передачі стосовно відповідності технічних вимог до РПЧ до технічних вимог ENTSO-E;</w:t>
      </w:r>
    </w:p>
    <w:p w:rsidR="000006FD" w:rsidRPr="000006FD" w:rsidRDefault="000006FD" w:rsidP="006B55E1">
      <w:pPr>
        <w:ind w:firstLine="567"/>
        <w:jc w:val="both"/>
        <w:rPr>
          <w:sz w:val="28"/>
          <w:szCs w:val="28"/>
        </w:rPr>
      </w:pPr>
      <w:r w:rsidRPr="000006FD">
        <w:rPr>
          <w:sz w:val="28"/>
          <w:szCs w:val="28"/>
        </w:rPr>
        <w:t>можливість встановлення ОСП «мертвої зони» первинного регулювання штучно з власних міркувань не фіксуючи її величину, а не визначення природніми притаманними властивостями системи регулювання;</w:t>
      </w:r>
    </w:p>
    <w:p w:rsidR="000006FD" w:rsidRPr="000006FD" w:rsidRDefault="000006FD" w:rsidP="006B55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уточнення</w:t>
      </w:r>
      <w:r w:rsidRPr="000006FD">
        <w:rPr>
          <w:sz w:val="28"/>
          <w:szCs w:val="28"/>
        </w:rPr>
        <w:t xml:space="preserve"> вимог щодо тривалості надання РПЧ для одиниці/групи постачання РПЧ з енергоємністю, яка не обмежує їх здатність забезпечувати РПЧ, та для яких є такі обмеження;</w:t>
      </w:r>
    </w:p>
    <w:p w:rsidR="000006FD" w:rsidRDefault="000006FD" w:rsidP="006B55E1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актуалізація </w:t>
      </w:r>
      <w:r w:rsidRPr="000006FD">
        <w:rPr>
          <w:sz w:val="28"/>
          <w:szCs w:val="28"/>
        </w:rPr>
        <w:t>розрахунк</w:t>
      </w:r>
      <w:r>
        <w:rPr>
          <w:sz w:val="28"/>
          <w:szCs w:val="28"/>
        </w:rPr>
        <w:t>у</w:t>
      </w:r>
      <w:r w:rsidRPr="000006FD">
        <w:rPr>
          <w:sz w:val="28"/>
          <w:szCs w:val="28"/>
        </w:rPr>
        <w:t xml:space="preserve"> відхилення частоти у формулі для визначення </w:t>
      </w:r>
      <w:proofErr w:type="spellStart"/>
      <w:r w:rsidRPr="000006FD">
        <w:rPr>
          <w:sz w:val="28"/>
          <w:szCs w:val="28"/>
        </w:rPr>
        <w:t>статизму</w:t>
      </w:r>
      <w:proofErr w:type="spellEnd"/>
      <w:r w:rsidRPr="000006FD">
        <w:rPr>
          <w:sz w:val="28"/>
          <w:szCs w:val="28"/>
        </w:rPr>
        <w:t>, що дорівнює різниці поточного виміряного значення частоти та номінального значення (без врахування меж мертвої зони, якщо її встановлено).</w:t>
      </w:r>
    </w:p>
    <w:p w:rsidR="000006FD" w:rsidRDefault="000006FD" w:rsidP="006B55E1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:rsidR="000006FD" w:rsidRDefault="000006FD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p w:rsidR="0000373C" w:rsidRPr="000A4DC6" w:rsidRDefault="0000373C" w:rsidP="0000373C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Голова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B336E1">
        <w:rPr>
          <w:b/>
          <w:sz w:val="28"/>
          <w:szCs w:val="28"/>
        </w:rPr>
        <w:t>К. Ущаповський</w:t>
      </w: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8D2D8D">
        <w:rPr>
          <w:sz w:val="28"/>
          <w:szCs w:val="28"/>
        </w:rPr>
        <w:t>2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7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54A" w:rsidRDefault="00C1654A">
      <w:r>
        <w:separator/>
      </w:r>
    </w:p>
  </w:endnote>
  <w:endnote w:type="continuationSeparator" w:id="0">
    <w:p w:rsidR="00C1654A" w:rsidRDefault="00C1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54A" w:rsidRDefault="00C1654A">
      <w:r>
        <w:separator/>
      </w:r>
    </w:p>
  </w:footnote>
  <w:footnote w:type="continuationSeparator" w:id="0">
    <w:p w:rsidR="00C1654A" w:rsidRDefault="00C16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816C4">
      <w:rPr>
        <w:noProof/>
      </w:rPr>
      <w:t>4</w:t>
    </w:r>
    <w:r>
      <w:fldChar w:fldCharType="end"/>
    </w:r>
  </w:p>
  <w:p w:rsidR="007D1213" w:rsidRDefault="00C165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5F"/>
    <w:rsid w:val="000006FD"/>
    <w:rsid w:val="0000373C"/>
    <w:rsid w:val="00014092"/>
    <w:rsid w:val="00017CEA"/>
    <w:rsid w:val="00044343"/>
    <w:rsid w:val="00052391"/>
    <w:rsid w:val="000858A0"/>
    <w:rsid w:val="000B5D93"/>
    <w:rsid w:val="0012580C"/>
    <w:rsid w:val="00170781"/>
    <w:rsid w:val="001A4454"/>
    <w:rsid w:val="001B6AF9"/>
    <w:rsid w:val="001E52E4"/>
    <w:rsid w:val="002069AF"/>
    <w:rsid w:val="00211978"/>
    <w:rsid w:val="00215503"/>
    <w:rsid w:val="00223B06"/>
    <w:rsid w:val="00261CC6"/>
    <w:rsid w:val="0027332F"/>
    <w:rsid w:val="002837A6"/>
    <w:rsid w:val="00295A0A"/>
    <w:rsid w:val="002B23BF"/>
    <w:rsid w:val="002B5DEC"/>
    <w:rsid w:val="00302FBD"/>
    <w:rsid w:val="00313E07"/>
    <w:rsid w:val="00336C40"/>
    <w:rsid w:val="00355E83"/>
    <w:rsid w:val="00386C19"/>
    <w:rsid w:val="003E1F55"/>
    <w:rsid w:val="00407C41"/>
    <w:rsid w:val="00442DEC"/>
    <w:rsid w:val="00443FFC"/>
    <w:rsid w:val="004D1216"/>
    <w:rsid w:val="004D6FC1"/>
    <w:rsid w:val="004F6D05"/>
    <w:rsid w:val="00506E71"/>
    <w:rsid w:val="0054096C"/>
    <w:rsid w:val="00557803"/>
    <w:rsid w:val="0056405F"/>
    <w:rsid w:val="005D0B1A"/>
    <w:rsid w:val="005E552B"/>
    <w:rsid w:val="005F0F74"/>
    <w:rsid w:val="005F3340"/>
    <w:rsid w:val="005F448F"/>
    <w:rsid w:val="00603393"/>
    <w:rsid w:val="0060512F"/>
    <w:rsid w:val="00614F67"/>
    <w:rsid w:val="00651AE9"/>
    <w:rsid w:val="006B55E1"/>
    <w:rsid w:val="006C1ED2"/>
    <w:rsid w:val="006F38B5"/>
    <w:rsid w:val="00745E63"/>
    <w:rsid w:val="0077564E"/>
    <w:rsid w:val="00793DA1"/>
    <w:rsid w:val="007A0314"/>
    <w:rsid w:val="007B7BFF"/>
    <w:rsid w:val="007D262E"/>
    <w:rsid w:val="007E3AD4"/>
    <w:rsid w:val="007F3655"/>
    <w:rsid w:val="00824682"/>
    <w:rsid w:val="00826171"/>
    <w:rsid w:val="008D2D8D"/>
    <w:rsid w:val="00903E41"/>
    <w:rsid w:val="00911072"/>
    <w:rsid w:val="00915E66"/>
    <w:rsid w:val="0094149F"/>
    <w:rsid w:val="009539F8"/>
    <w:rsid w:val="009559E2"/>
    <w:rsid w:val="00962651"/>
    <w:rsid w:val="00991381"/>
    <w:rsid w:val="00A47363"/>
    <w:rsid w:val="00A6034C"/>
    <w:rsid w:val="00A67310"/>
    <w:rsid w:val="00A816C4"/>
    <w:rsid w:val="00A91404"/>
    <w:rsid w:val="00A94860"/>
    <w:rsid w:val="00AA75E6"/>
    <w:rsid w:val="00AE3B94"/>
    <w:rsid w:val="00B06E62"/>
    <w:rsid w:val="00B17766"/>
    <w:rsid w:val="00B336E1"/>
    <w:rsid w:val="00B55365"/>
    <w:rsid w:val="00B569A5"/>
    <w:rsid w:val="00B6058C"/>
    <w:rsid w:val="00B729BC"/>
    <w:rsid w:val="00B812FC"/>
    <w:rsid w:val="00BB3BAC"/>
    <w:rsid w:val="00BC4B32"/>
    <w:rsid w:val="00BC7F5D"/>
    <w:rsid w:val="00BE32CA"/>
    <w:rsid w:val="00C02221"/>
    <w:rsid w:val="00C1654A"/>
    <w:rsid w:val="00C70CCC"/>
    <w:rsid w:val="00C75AC5"/>
    <w:rsid w:val="00CE16EF"/>
    <w:rsid w:val="00CF43EF"/>
    <w:rsid w:val="00D117BF"/>
    <w:rsid w:val="00D11E97"/>
    <w:rsid w:val="00D70957"/>
    <w:rsid w:val="00DB10AE"/>
    <w:rsid w:val="00E23ACA"/>
    <w:rsid w:val="00E42A0F"/>
    <w:rsid w:val="00E70E09"/>
    <w:rsid w:val="00EA6575"/>
    <w:rsid w:val="00EB063D"/>
    <w:rsid w:val="00EB6A37"/>
    <w:rsid w:val="00EC0E8A"/>
    <w:rsid w:val="00EC53EB"/>
    <w:rsid w:val="00ED27FA"/>
    <w:rsid w:val="00EE6933"/>
    <w:rsid w:val="00F40038"/>
    <w:rsid w:val="00F83531"/>
    <w:rsid w:val="00FC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40149"/>
  <w15:chartTrackingRefBased/>
  <w15:docId w15:val="{06842805-300F-40E3-9CF3-1C8E089D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523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523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rc.gov.u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Сергій Волков</cp:lastModifiedBy>
  <cp:revision>35</cp:revision>
  <dcterms:created xsi:type="dcterms:W3CDTF">2022-07-04T13:04:00Z</dcterms:created>
  <dcterms:modified xsi:type="dcterms:W3CDTF">2022-08-11T05:13:00Z</dcterms:modified>
</cp:coreProperties>
</file>