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851" w:rsidRPr="0027011A" w:rsidRDefault="000E4851" w:rsidP="000E4851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>АНАЛІЗ</w:t>
      </w:r>
    </w:p>
    <w:p w:rsidR="000E4851" w:rsidRPr="0027011A" w:rsidRDefault="000E4851" w:rsidP="000E4851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 xml:space="preserve">впливу проєкту постанови НКРЕКП </w:t>
      </w:r>
      <w:r w:rsidR="00C10F00" w:rsidRPr="00C10F00">
        <w:rPr>
          <w:rFonts w:ascii="Times New Roman" w:hAnsi="Times New Roman"/>
          <w:sz w:val="28"/>
          <w:szCs w:val="26"/>
          <w:lang w:val="uk-UA"/>
        </w:rPr>
        <w:t>«Про затвердження Змін до деяких постанов НКРЕКП»</w:t>
      </w:r>
      <w:r w:rsidRPr="0027011A">
        <w:rPr>
          <w:rFonts w:ascii="Times New Roman" w:hAnsi="Times New Roman"/>
          <w:sz w:val="28"/>
          <w:szCs w:val="26"/>
          <w:lang w:val="uk-UA"/>
        </w:rPr>
        <w:t>, що має ознаки регуляторного акта</w:t>
      </w:r>
    </w:p>
    <w:p w:rsidR="000E4851" w:rsidRPr="0027011A" w:rsidRDefault="000E4851" w:rsidP="000E4851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</w:p>
    <w:p w:rsidR="00DC1500" w:rsidRPr="0027011A" w:rsidRDefault="00DC1500" w:rsidP="00AE0F01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I. Визначення проблеми</w:t>
      </w:r>
    </w:p>
    <w:p w:rsidR="00DC1500" w:rsidRDefault="00DC1500" w:rsidP="00AE0F01">
      <w:pPr>
        <w:jc w:val="center"/>
        <w:rPr>
          <w:b/>
          <w:bCs/>
          <w:sz w:val="28"/>
          <w:szCs w:val="28"/>
          <w:lang w:val="uk-UA"/>
        </w:rPr>
      </w:pPr>
    </w:p>
    <w:p w:rsidR="00C10F00" w:rsidRDefault="00C10F00" w:rsidP="00C10F0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рамках </w:t>
      </w:r>
      <w:r w:rsidRPr="00B32EF1">
        <w:rPr>
          <w:sz w:val="28"/>
          <w:szCs w:val="28"/>
          <w:lang w:val="uk-UA"/>
        </w:rPr>
        <w:t>Угод</w:t>
      </w:r>
      <w:r>
        <w:rPr>
          <w:sz w:val="28"/>
          <w:szCs w:val="28"/>
          <w:lang w:val="uk-UA"/>
        </w:rPr>
        <w:t>и</w:t>
      </w:r>
      <w:r w:rsidRPr="00B32EF1">
        <w:rPr>
          <w:sz w:val="28"/>
          <w:szCs w:val="28"/>
          <w:lang w:val="uk-UA"/>
        </w:rPr>
        <w:t xml:space="preserve">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сторони,</w:t>
      </w:r>
      <w:r>
        <w:rPr>
          <w:sz w:val="28"/>
          <w:szCs w:val="28"/>
          <w:lang w:val="uk-UA"/>
        </w:rPr>
        <w:t xml:space="preserve"> яка була ратифікована у 2014 році м</w:t>
      </w:r>
      <w:r w:rsidRPr="00385029">
        <w:rPr>
          <w:sz w:val="28"/>
          <w:szCs w:val="28"/>
          <w:lang w:val="uk-UA"/>
        </w:rPr>
        <w:t>іж Європейським союзом та Україною</w:t>
      </w:r>
      <w:r w:rsidRPr="00C94F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Угода про асоціацію),</w:t>
      </w:r>
      <w:r w:rsidRPr="00385029">
        <w:rPr>
          <w:sz w:val="28"/>
          <w:szCs w:val="28"/>
          <w:lang w:val="uk-UA"/>
        </w:rPr>
        <w:t xml:space="preserve"> погоджен</w:t>
      </w:r>
      <w:r>
        <w:rPr>
          <w:sz w:val="28"/>
          <w:szCs w:val="28"/>
          <w:lang w:val="uk-UA"/>
        </w:rPr>
        <w:t>о</w:t>
      </w:r>
      <w:r w:rsidRPr="00385029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ість</w:t>
      </w:r>
      <w:r w:rsidRPr="00385029">
        <w:rPr>
          <w:sz w:val="28"/>
          <w:szCs w:val="28"/>
          <w:lang w:val="uk-UA"/>
        </w:rPr>
        <w:t xml:space="preserve"> підтрим</w:t>
      </w:r>
      <w:r>
        <w:rPr>
          <w:sz w:val="28"/>
          <w:szCs w:val="28"/>
          <w:lang w:val="uk-UA"/>
        </w:rPr>
        <w:t>ки</w:t>
      </w:r>
      <w:r w:rsidRPr="00385029">
        <w:rPr>
          <w:sz w:val="28"/>
          <w:szCs w:val="28"/>
          <w:lang w:val="uk-UA"/>
        </w:rPr>
        <w:t xml:space="preserve"> зусил</w:t>
      </w:r>
      <w:r>
        <w:rPr>
          <w:sz w:val="28"/>
          <w:szCs w:val="28"/>
          <w:lang w:val="uk-UA"/>
        </w:rPr>
        <w:t>ь</w:t>
      </w:r>
      <w:r w:rsidRPr="00385029">
        <w:rPr>
          <w:sz w:val="28"/>
          <w:szCs w:val="28"/>
          <w:lang w:val="uk-UA"/>
        </w:rPr>
        <w:t xml:space="preserve"> України з реформування енергетичного сектору відповідно до законодавства та принципів ЄС.</w:t>
      </w:r>
      <w:r>
        <w:rPr>
          <w:sz w:val="28"/>
          <w:szCs w:val="28"/>
          <w:lang w:val="uk-UA"/>
        </w:rPr>
        <w:t xml:space="preserve"> </w:t>
      </w:r>
    </w:p>
    <w:p w:rsidR="00C10F00" w:rsidRDefault="00C10F00" w:rsidP="00C10F0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C00E4D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забезпечення </w:t>
      </w:r>
      <w:r w:rsidRPr="00C00E4D">
        <w:rPr>
          <w:sz w:val="28"/>
          <w:szCs w:val="28"/>
          <w:lang w:val="uk-UA"/>
        </w:rPr>
        <w:t xml:space="preserve">процесу імплементації енергетичних Директив ЄС </w:t>
      </w:r>
      <w:r>
        <w:rPr>
          <w:sz w:val="28"/>
          <w:szCs w:val="28"/>
          <w:lang w:val="uk-UA"/>
        </w:rPr>
        <w:t xml:space="preserve">до </w:t>
      </w:r>
      <w:r w:rsidRPr="00C00E4D">
        <w:rPr>
          <w:sz w:val="28"/>
          <w:szCs w:val="28"/>
          <w:lang w:val="uk-UA"/>
        </w:rPr>
        <w:t>законодавств</w:t>
      </w:r>
      <w:r>
        <w:rPr>
          <w:sz w:val="28"/>
          <w:szCs w:val="28"/>
          <w:lang w:val="uk-UA"/>
        </w:rPr>
        <w:t>а</w:t>
      </w:r>
      <w:r w:rsidRPr="00C00E4D">
        <w:rPr>
          <w:sz w:val="28"/>
          <w:szCs w:val="28"/>
          <w:lang w:val="uk-UA"/>
        </w:rPr>
        <w:t xml:space="preserve"> України відповідно до членства в енергетичному співтоваристві </w:t>
      </w:r>
      <w:r>
        <w:rPr>
          <w:sz w:val="28"/>
          <w:szCs w:val="28"/>
          <w:lang w:val="uk-UA"/>
        </w:rPr>
        <w:t>прийнято низку нормативно-правових актів, зокрема Закон України «</w:t>
      </w:r>
      <w:r w:rsidRPr="00C00E4D">
        <w:rPr>
          <w:sz w:val="28"/>
          <w:szCs w:val="28"/>
          <w:lang w:val="uk-UA"/>
        </w:rPr>
        <w:t>Про ринок електричної енергії»</w:t>
      </w:r>
      <w:r>
        <w:rPr>
          <w:sz w:val="28"/>
          <w:szCs w:val="28"/>
          <w:lang w:val="uk-UA"/>
        </w:rPr>
        <w:t xml:space="preserve"> (далі – Закон).</w:t>
      </w:r>
    </w:p>
    <w:p w:rsidR="00C10F00" w:rsidRDefault="00C10F00" w:rsidP="00C10F00">
      <w:pPr>
        <w:ind w:firstLine="709"/>
        <w:jc w:val="both"/>
        <w:rPr>
          <w:sz w:val="28"/>
          <w:szCs w:val="28"/>
          <w:lang w:val="uk-UA"/>
        </w:rPr>
      </w:pPr>
      <w:r w:rsidRPr="00BC5DD1">
        <w:rPr>
          <w:sz w:val="28"/>
          <w:szCs w:val="28"/>
          <w:lang w:val="hu-HU"/>
        </w:rPr>
        <w:t>Відповідно до частини</w:t>
      </w:r>
      <w:r w:rsidRPr="00B32EF1">
        <w:rPr>
          <w:sz w:val="28"/>
          <w:szCs w:val="28"/>
          <w:lang w:val="uk-UA"/>
        </w:rPr>
        <w:t xml:space="preserve"> першої статті 2 Закону на виконання зобов’язань України за Договором про заснування Енергетичного Співтовариства та Угодою про асоціацію цей Закон спрямований на імплементацію актів законодавства Енергетичного Співтовариства у сфері енергетики, а саме Директиви 2009/72/ЄС про спільні правила внутрішнього ринку електричної енергії та про скасування Директиви 2003/54/ЄС, Регламенту (ЄС) 714/2009 про умови доступу до мережі транскордонного обміну електроенергією та скасування Регламенту (ЄС) 1228/2003, Директиви 2005/89/ЄС про заходи для забезпечення безпеки інвестування до системи електропостачання та інфраструктури.</w:t>
      </w:r>
    </w:p>
    <w:p w:rsidR="00C10F00" w:rsidRPr="006226C0" w:rsidRDefault="00C10F00" w:rsidP="00C10F00">
      <w:pPr>
        <w:ind w:firstLine="709"/>
        <w:jc w:val="both"/>
        <w:rPr>
          <w:sz w:val="28"/>
          <w:szCs w:val="28"/>
          <w:lang w:val="uk-UA"/>
        </w:rPr>
      </w:pPr>
      <w:r w:rsidRPr="006226C0">
        <w:rPr>
          <w:sz w:val="28"/>
          <w:szCs w:val="28"/>
          <w:lang w:val="uk-UA"/>
        </w:rPr>
        <w:t xml:space="preserve">Відповідно до Договору про заснування Енергетичного Співтовариства та Угоди про асоціацію Україна зобов’язалася </w:t>
      </w:r>
      <w:proofErr w:type="spellStart"/>
      <w:r w:rsidRPr="006226C0">
        <w:rPr>
          <w:sz w:val="28"/>
          <w:szCs w:val="28"/>
          <w:lang w:val="uk-UA"/>
        </w:rPr>
        <w:t>імплементувати</w:t>
      </w:r>
      <w:proofErr w:type="spellEnd"/>
      <w:r w:rsidRPr="006226C0">
        <w:rPr>
          <w:sz w:val="28"/>
          <w:szCs w:val="28"/>
          <w:lang w:val="uk-UA"/>
        </w:rPr>
        <w:t xml:space="preserve"> Регламент (ЄС) №</w:t>
      </w:r>
      <w:r>
        <w:rPr>
          <w:sz w:val="28"/>
          <w:szCs w:val="28"/>
          <w:lang w:val="uk-UA"/>
        </w:rPr>
        <w:t> </w:t>
      </w:r>
      <w:r w:rsidRPr="006226C0">
        <w:rPr>
          <w:sz w:val="28"/>
          <w:szCs w:val="28"/>
          <w:lang w:val="uk-UA"/>
        </w:rPr>
        <w:t>838/2010 від 23.10.2010 про встановлення настанов стосовно механізму компенсації між операторами системи передачі та спільного регуляторного підходу до встановлення плати за передачу електроенергії»</w:t>
      </w:r>
      <w:r w:rsidRPr="006226C0">
        <w:rPr>
          <w:rFonts w:eastAsia="SimSun"/>
          <w:sz w:val="28"/>
          <w:szCs w:val="28"/>
          <w:lang w:val="uk-UA" w:bidi="ta-IN"/>
        </w:rPr>
        <w:t xml:space="preserve"> (далі – Регламент Комісії ЄС)</w:t>
      </w:r>
      <w:r w:rsidRPr="006226C0">
        <w:rPr>
          <w:sz w:val="28"/>
          <w:szCs w:val="28"/>
          <w:lang w:val="uk-UA"/>
        </w:rPr>
        <w:t>.</w:t>
      </w:r>
    </w:p>
    <w:p w:rsidR="00C10F00" w:rsidRPr="00711D31" w:rsidRDefault="00C10F00" w:rsidP="00C10F00">
      <w:pPr>
        <w:ind w:firstLine="709"/>
        <w:jc w:val="both"/>
        <w:rPr>
          <w:sz w:val="28"/>
          <w:szCs w:val="28"/>
          <w:lang w:val="uk-UA"/>
        </w:rPr>
      </w:pPr>
      <w:r w:rsidRPr="00711D31">
        <w:rPr>
          <w:rFonts w:eastAsia="SimSun"/>
          <w:sz w:val="28"/>
          <w:szCs w:val="28"/>
          <w:lang w:val="uk-UA" w:bidi="ta-IN"/>
        </w:rPr>
        <w:t>Регламент Комісії ЄС</w:t>
      </w:r>
      <w:r w:rsidRPr="00711D31">
        <w:rPr>
          <w:sz w:val="28"/>
          <w:szCs w:val="28"/>
          <w:lang w:val="uk-UA"/>
        </w:rPr>
        <w:t xml:space="preserve"> встановлює єдиний підхід до встановлення плати за доступ до систем передачі, що працюють в межах однієї об’єднаної (синхронної) енергосистеми, при здійсненні транскордонних обмінів електричною енергією для забезпечення рівних умов роботи учасників ринку з різних країн на єдиному ринку ЄС. </w:t>
      </w:r>
    </w:p>
    <w:p w:rsidR="00C10F00" w:rsidRPr="00711D31" w:rsidRDefault="00C10F00" w:rsidP="00C10F00">
      <w:pPr>
        <w:ind w:firstLine="709"/>
        <w:jc w:val="both"/>
        <w:rPr>
          <w:rFonts w:eastAsia="SimSun"/>
          <w:sz w:val="28"/>
          <w:szCs w:val="28"/>
          <w:lang w:val="uk-UA" w:bidi="ta-IN"/>
        </w:rPr>
      </w:pPr>
      <w:r w:rsidRPr="00711D31">
        <w:rPr>
          <w:sz w:val="28"/>
          <w:szCs w:val="28"/>
          <w:lang w:val="uk-UA"/>
        </w:rPr>
        <w:t xml:space="preserve">З метою впровадження зобов’язань України щодо імплементації </w:t>
      </w:r>
      <w:r w:rsidRPr="00711D31">
        <w:rPr>
          <w:rFonts w:eastAsia="SimSun"/>
          <w:sz w:val="28"/>
          <w:szCs w:val="28"/>
          <w:lang w:val="uk-UA" w:bidi="ta-IN"/>
        </w:rPr>
        <w:t>Регламенту Комісії ЄС</w:t>
      </w:r>
      <w:r w:rsidRPr="00711D31">
        <w:rPr>
          <w:sz w:val="28"/>
          <w:szCs w:val="28"/>
          <w:lang w:val="uk-UA"/>
        </w:rPr>
        <w:t xml:space="preserve"> для забезпечення участі ОСП України в ІТС механізмі проведено роботу з транспозиції та імплементації положень законодавства ЄС, включених Радою Міністрів Енергетичного Співтовариства до переліку </w:t>
      </w:r>
      <w:r w:rsidR="00012C0D" w:rsidRPr="00012C0D">
        <w:rPr>
          <w:color w:val="202124"/>
          <w:sz w:val="28"/>
          <w:szCs w:val="28"/>
          <w:shd w:val="clear" w:color="auto" w:fill="FFFFFF"/>
          <w:lang w:val="en-US"/>
        </w:rPr>
        <w:t>a</w:t>
      </w:r>
      <w:proofErr w:type="spellStart"/>
      <w:r w:rsidR="00012C0D" w:rsidRPr="00012C0D">
        <w:rPr>
          <w:color w:val="202124"/>
          <w:sz w:val="28"/>
          <w:szCs w:val="28"/>
          <w:shd w:val="clear" w:color="auto" w:fill="FFFFFF"/>
          <w:lang w:val="uk-UA"/>
        </w:rPr>
        <w:t>cquis</w:t>
      </w:r>
      <w:proofErr w:type="spellEnd"/>
      <w:r w:rsidR="00012C0D" w:rsidRPr="003B247A">
        <w:rPr>
          <w:color w:val="FF0000"/>
          <w:sz w:val="28"/>
          <w:szCs w:val="28"/>
          <w:lang w:val="en-US"/>
        </w:rPr>
        <w:t xml:space="preserve"> </w:t>
      </w:r>
      <w:r w:rsidRPr="00711D31">
        <w:rPr>
          <w:sz w:val="28"/>
          <w:szCs w:val="28"/>
          <w:lang w:val="uk-UA"/>
        </w:rPr>
        <w:t>шляхом розроблення відповідних проєктів змін до нормативної бази Регулятора.</w:t>
      </w:r>
    </w:p>
    <w:p w:rsidR="00077030" w:rsidRDefault="00C10F00" w:rsidP="00C10F00">
      <w:pPr>
        <w:ind w:firstLine="709"/>
        <w:jc w:val="both"/>
        <w:rPr>
          <w:rFonts w:eastAsia="SimSun"/>
          <w:sz w:val="28"/>
          <w:szCs w:val="28"/>
          <w:lang w:val="uk-UA" w:bidi="ta-IN"/>
        </w:rPr>
      </w:pPr>
      <w:r w:rsidRPr="00711D31">
        <w:rPr>
          <w:rFonts w:eastAsia="SimSun"/>
          <w:sz w:val="28"/>
          <w:szCs w:val="28"/>
          <w:lang w:val="uk-UA" w:bidi="ta-IN"/>
        </w:rPr>
        <w:t>Так, змінами до Кодексу системи передачі, затвердженого постановою НКРЕКП від 14.03.2018 № 309 (далі – КСП), передбачено впровадження норм щодо забезпечення участі ОСП України у ІТС механізмі із визначенням підходів до здійснення учасниками ринку діяльності експорту/імпорту електричної енергії, зміст яких відповідає положенням Регламенту Комісії ЄС.</w:t>
      </w:r>
    </w:p>
    <w:p w:rsidR="00B12F94" w:rsidRDefault="00077030" w:rsidP="00C10F00">
      <w:pPr>
        <w:ind w:firstLine="709"/>
        <w:jc w:val="both"/>
        <w:rPr>
          <w:sz w:val="28"/>
          <w:szCs w:val="28"/>
          <w:lang w:val="uk-UA"/>
        </w:rPr>
      </w:pPr>
      <w:r w:rsidRPr="00711D31">
        <w:rPr>
          <w:sz w:val="28"/>
          <w:szCs w:val="28"/>
          <w:lang w:val="uk-UA"/>
        </w:rPr>
        <w:lastRenderedPageBreak/>
        <w:t>19.07.2022</w:t>
      </w:r>
      <w:r>
        <w:rPr>
          <w:sz w:val="28"/>
          <w:szCs w:val="28"/>
          <w:lang w:val="uk-UA"/>
        </w:rPr>
        <w:t xml:space="preserve"> на засіданні НКРЕКП, яке відбулось у формі відкритого слухання</w:t>
      </w:r>
      <w:r w:rsidR="005B73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10F00" w:rsidRPr="00711D31">
        <w:rPr>
          <w:sz w:val="28"/>
          <w:szCs w:val="28"/>
          <w:lang w:val="uk-UA"/>
        </w:rPr>
        <w:t>схвале</w:t>
      </w:r>
      <w:r>
        <w:rPr>
          <w:sz w:val="28"/>
          <w:szCs w:val="28"/>
          <w:lang w:val="uk-UA"/>
        </w:rPr>
        <w:t>но</w:t>
      </w:r>
      <w:r w:rsidR="00C10F00" w:rsidRPr="00711D31">
        <w:rPr>
          <w:sz w:val="28"/>
          <w:szCs w:val="28"/>
          <w:lang w:val="uk-UA"/>
        </w:rPr>
        <w:t xml:space="preserve"> проєкт рішення, що має ознаки регуляторного акта, – постанови НКРЕКП «Про затвердження Змін до </w:t>
      </w:r>
      <w:r w:rsidR="00C10F00" w:rsidRPr="00711D31">
        <w:rPr>
          <w:rFonts w:eastAsia="SimSun"/>
          <w:sz w:val="28"/>
          <w:szCs w:val="28"/>
          <w:lang w:val="uk-UA" w:bidi="ta-IN"/>
        </w:rPr>
        <w:t>Кодексу системи передачі</w:t>
      </w:r>
      <w:r w:rsidR="00C10F00" w:rsidRPr="00711D31">
        <w:rPr>
          <w:sz w:val="28"/>
          <w:szCs w:val="28"/>
          <w:lang w:val="uk-UA"/>
        </w:rPr>
        <w:t>» (щодо запровадження ІТС механізму)</w:t>
      </w:r>
      <w:r w:rsidR="00B12F94">
        <w:rPr>
          <w:sz w:val="28"/>
          <w:szCs w:val="28"/>
          <w:lang w:val="uk-UA"/>
        </w:rPr>
        <w:t>.</w:t>
      </w:r>
    </w:p>
    <w:p w:rsidR="00C10F00" w:rsidRPr="00711D31" w:rsidRDefault="00C10F00" w:rsidP="00C10F00">
      <w:pPr>
        <w:ind w:firstLine="709"/>
        <w:jc w:val="both"/>
        <w:rPr>
          <w:sz w:val="28"/>
          <w:szCs w:val="28"/>
          <w:lang w:val="uk-UA"/>
        </w:rPr>
      </w:pPr>
      <w:r w:rsidRPr="00711D31">
        <w:rPr>
          <w:sz w:val="28"/>
          <w:szCs w:val="28"/>
          <w:lang w:val="uk-UA"/>
        </w:rPr>
        <w:t>Таким чином, для запровадження участі оператора системи передачі України в ІТС механізмі необхідним є приведення положень Порядку встановлення (формування) тарифу на послуги з передачі електричної енергії, затвердженого постановою НКРЕКП від 22.04.2019 № 585</w:t>
      </w:r>
      <w:r w:rsidRPr="00711D31">
        <w:rPr>
          <w:rFonts w:eastAsia="SimSun"/>
          <w:sz w:val="28"/>
          <w:szCs w:val="28"/>
          <w:lang w:val="uk-UA" w:bidi="ta-IN"/>
        </w:rPr>
        <w:t xml:space="preserve"> (далі – </w:t>
      </w:r>
      <w:r w:rsidRPr="00711D31">
        <w:rPr>
          <w:sz w:val="28"/>
          <w:szCs w:val="28"/>
          <w:lang w:val="uk-UA"/>
        </w:rPr>
        <w:t xml:space="preserve">Порядок </w:t>
      </w:r>
      <w:r w:rsidR="00645788">
        <w:rPr>
          <w:sz w:val="28"/>
          <w:szCs w:val="28"/>
          <w:lang w:val="uk-UA"/>
        </w:rPr>
        <w:br/>
        <w:t xml:space="preserve">№ </w:t>
      </w:r>
      <w:r w:rsidR="00B12F94">
        <w:rPr>
          <w:sz w:val="28"/>
          <w:szCs w:val="28"/>
          <w:lang w:val="uk-UA"/>
        </w:rPr>
        <w:t>585</w:t>
      </w:r>
      <w:r w:rsidRPr="00711D31">
        <w:rPr>
          <w:rFonts w:eastAsia="SimSun"/>
          <w:sz w:val="28"/>
          <w:szCs w:val="28"/>
          <w:lang w:val="uk-UA" w:bidi="ta-IN"/>
        </w:rPr>
        <w:t>)</w:t>
      </w:r>
      <w:r w:rsidRPr="00711D31">
        <w:rPr>
          <w:sz w:val="28"/>
          <w:szCs w:val="28"/>
          <w:lang w:val="uk-UA"/>
        </w:rPr>
        <w:t>, та Порядку формування тарифу на послуги з диспетчерського (оперативно-технологічного) управління, затвердженого постановою НКРЕКП від 22.04.2019 № 586</w:t>
      </w:r>
      <w:r w:rsidR="00B2051D" w:rsidRPr="00711D31">
        <w:rPr>
          <w:sz w:val="28"/>
          <w:szCs w:val="28"/>
          <w:lang w:val="uk-UA"/>
        </w:rPr>
        <w:t xml:space="preserve"> </w:t>
      </w:r>
      <w:r w:rsidR="00B2051D" w:rsidRPr="00711D31">
        <w:rPr>
          <w:rFonts w:eastAsia="SimSun"/>
          <w:sz w:val="28"/>
          <w:szCs w:val="28"/>
          <w:lang w:val="uk-UA" w:bidi="ta-IN"/>
        </w:rPr>
        <w:t xml:space="preserve">(далі – </w:t>
      </w:r>
      <w:r w:rsidR="00B2051D" w:rsidRPr="00711D31">
        <w:rPr>
          <w:sz w:val="28"/>
          <w:szCs w:val="28"/>
          <w:lang w:val="uk-UA"/>
        </w:rPr>
        <w:t xml:space="preserve">Порядок </w:t>
      </w:r>
      <w:r w:rsidR="00645788">
        <w:rPr>
          <w:sz w:val="28"/>
          <w:szCs w:val="28"/>
          <w:lang w:val="uk-UA"/>
        </w:rPr>
        <w:t xml:space="preserve">№ </w:t>
      </w:r>
      <w:r w:rsidR="00B12F94">
        <w:rPr>
          <w:sz w:val="28"/>
          <w:szCs w:val="28"/>
          <w:lang w:val="uk-UA"/>
        </w:rPr>
        <w:t>586</w:t>
      </w:r>
      <w:r w:rsidR="00B2051D" w:rsidRPr="00711D31">
        <w:rPr>
          <w:rFonts w:eastAsia="SimSun"/>
          <w:sz w:val="28"/>
          <w:szCs w:val="28"/>
          <w:lang w:val="uk-UA" w:bidi="ta-IN"/>
        </w:rPr>
        <w:t>)</w:t>
      </w:r>
      <w:r w:rsidRPr="00711D31">
        <w:rPr>
          <w:sz w:val="28"/>
          <w:szCs w:val="28"/>
          <w:lang w:val="uk-UA"/>
        </w:rPr>
        <w:t>, у відповідність до змін до КСП.</w:t>
      </w:r>
    </w:p>
    <w:p w:rsidR="00C10F00" w:rsidRPr="00711D31" w:rsidRDefault="00B12F94" w:rsidP="00C10F00">
      <w:pPr>
        <w:ind w:firstLine="709"/>
        <w:jc w:val="both"/>
        <w:rPr>
          <w:rFonts w:eastAsia="SimSun"/>
          <w:sz w:val="28"/>
          <w:szCs w:val="28"/>
          <w:lang w:val="uk-UA" w:bidi="ta-IN"/>
        </w:rPr>
      </w:pPr>
      <w:r>
        <w:rPr>
          <w:rFonts w:eastAsia="SimSun"/>
          <w:sz w:val="28"/>
          <w:szCs w:val="28"/>
          <w:lang w:val="uk-UA" w:bidi="ta-IN"/>
        </w:rPr>
        <w:t>З</w:t>
      </w:r>
      <w:r w:rsidR="00C10F00" w:rsidRPr="00711D31">
        <w:rPr>
          <w:rFonts w:eastAsia="SimSun"/>
          <w:sz w:val="28"/>
          <w:szCs w:val="28"/>
          <w:lang w:val="uk-UA" w:bidi="ta-IN"/>
        </w:rPr>
        <w:t>мінами до Порядків</w:t>
      </w:r>
      <w:r>
        <w:rPr>
          <w:rFonts w:eastAsia="SimSun"/>
          <w:sz w:val="28"/>
          <w:szCs w:val="28"/>
          <w:lang w:val="uk-UA" w:bidi="ta-IN"/>
        </w:rPr>
        <w:t xml:space="preserve"> № 585 та № 586</w:t>
      </w:r>
      <w:r w:rsidR="00C10F00" w:rsidRPr="00711D31">
        <w:rPr>
          <w:rFonts w:eastAsia="SimSun"/>
          <w:sz w:val="28"/>
          <w:szCs w:val="28"/>
          <w:lang w:val="uk-UA" w:bidi="ta-IN"/>
        </w:rPr>
        <w:t xml:space="preserve"> унормовано підходи до визначення обсягів передачі електричної енергії та обсягів відпущеної електричної енергії виробниками електричної енергії у періоди до та після приєднання оператора системи передачі України до ІТС механізму.</w:t>
      </w:r>
    </w:p>
    <w:p w:rsidR="00C10F00" w:rsidRPr="00711D31" w:rsidRDefault="00C10F00" w:rsidP="00C10F00">
      <w:pPr>
        <w:ind w:firstLine="709"/>
        <w:jc w:val="both"/>
        <w:rPr>
          <w:rFonts w:eastAsia="SimSun"/>
          <w:sz w:val="28"/>
          <w:szCs w:val="28"/>
          <w:lang w:val="uk-UA" w:bidi="ta-IN"/>
        </w:rPr>
      </w:pPr>
      <w:r w:rsidRPr="00711D31">
        <w:rPr>
          <w:rFonts w:eastAsia="SimSun"/>
          <w:sz w:val="28"/>
          <w:szCs w:val="28"/>
          <w:lang w:val="uk-UA" w:bidi="ta-IN"/>
        </w:rPr>
        <w:t xml:space="preserve">Крім цього, змінами до Порядку </w:t>
      </w:r>
      <w:r w:rsidR="00B12F94">
        <w:rPr>
          <w:rFonts w:eastAsia="SimSun"/>
          <w:sz w:val="28"/>
          <w:szCs w:val="28"/>
          <w:lang w:val="uk-UA" w:bidi="ta-IN"/>
        </w:rPr>
        <w:t xml:space="preserve">№ 585 </w:t>
      </w:r>
      <w:r w:rsidRPr="00711D31">
        <w:rPr>
          <w:rFonts w:eastAsia="SimSun"/>
          <w:sz w:val="28"/>
          <w:szCs w:val="28"/>
          <w:lang w:val="uk-UA" w:bidi="ta-IN"/>
        </w:rPr>
        <w:t>передбачено:</w:t>
      </w:r>
    </w:p>
    <w:p w:rsidR="00C10F00" w:rsidRPr="00711D31" w:rsidRDefault="00C10F00" w:rsidP="00C10F00">
      <w:pPr>
        <w:ind w:firstLine="709"/>
        <w:jc w:val="both"/>
        <w:rPr>
          <w:rFonts w:eastAsia="SimSun"/>
          <w:sz w:val="28"/>
          <w:szCs w:val="28"/>
          <w:lang w:val="uk-UA" w:bidi="ta-IN"/>
        </w:rPr>
      </w:pPr>
      <w:r w:rsidRPr="00711D31">
        <w:rPr>
          <w:rFonts w:eastAsia="SimSun"/>
          <w:sz w:val="28"/>
          <w:szCs w:val="28"/>
          <w:lang w:val="uk-UA" w:bidi="ta-IN"/>
        </w:rPr>
        <w:t xml:space="preserve">застосування </w:t>
      </w:r>
      <w:r w:rsidRPr="00711D31">
        <w:rPr>
          <w:rFonts w:eastAsia="SimSun"/>
          <w:i/>
          <w:sz w:val="28"/>
          <w:szCs w:val="28"/>
          <w:lang w:val="uk-UA" w:bidi="ta-IN"/>
        </w:rPr>
        <w:t>ставки плати за послуги з передачі електричної енергії до/з країн периметру</w:t>
      </w:r>
      <w:r w:rsidRPr="00711D31">
        <w:rPr>
          <w:rFonts w:eastAsia="SimSun"/>
          <w:sz w:val="28"/>
          <w:szCs w:val="28"/>
          <w:lang w:val="uk-UA" w:bidi="ta-IN"/>
        </w:rPr>
        <w:t xml:space="preserve"> – розмір плати за користування системою передачі для країн периметру (</w:t>
      </w:r>
      <w:proofErr w:type="spellStart"/>
      <w:r w:rsidRPr="00711D31">
        <w:rPr>
          <w:rFonts w:eastAsia="SimSun"/>
          <w:sz w:val="28"/>
          <w:szCs w:val="28"/>
          <w:lang w:val="uk-UA" w:bidi="ta-IN"/>
        </w:rPr>
        <w:t>perimeter</w:t>
      </w:r>
      <w:proofErr w:type="spellEnd"/>
      <w:r w:rsidRPr="00711D31">
        <w:rPr>
          <w:rFonts w:eastAsia="SimSun"/>
          <w:sz w:val="28"/>
          <w:szCs w:val="28"/>
          <w:lang w:val="uk-UA" w:bidi="ta-IN"/>
        </w:rPr>
        <w:t xml:space="preserve"> </w:t>
      </w:r>
      <w:proofErr w:type="spellStart"/>
      <w:r w:rsidRPr="00711D31">
        <w:rPr>
          <w:rFonts w:eastAsia="SimSun"/>
          <w:sz w:val="28"/>
          <w:szCs w:val="28"/>
          <w:lang w:val="uk-UA" w:bidi="ta-IN"/>
        </w:rPr>
        <w:t>fee</w:t>
      </w:r>
      <w:proofErr w:type="spellEnd"/>
      <w:r w:rsidRPr="00711D31">
        <w:rPr>
          <w:rFonts w:eastAsia="SimSun"/>
          <w:sz w:val="28"/>
          <w:szCs w:val="28"/>
          <w:lang w:val="uk-UA" w:bidi="ta-IN"/>
        </w:rPr>
        <w:t>), що забезпечує відшкодування оператору системи передачі України витрат за користування системою передачі у разі експорту/імпорту до/з країн периметру;</w:t>
      </w:r>
    </w:p>
    <w:p w:rsidR="00C10F00" w:rsidRPr="00711D31" w:rsidRDefault="00C10F00" w:rsidP="00C10F00">
      <w:pPr>
        <w:ind w:firstLine="709"/>
        <w:jc w:val="both"/>
        <w:rPr>
          <w:rFonts w:eastAsia="SimSun"/>
          <w:sz w:val="28"/>
          <w:szCs w:val="28"/>
          <w:lang w:val="uk-UA" w:bidi="ta-IN"/>
        </w:rPr>
      </w:pPr>
      <w:r w:rsidRPr="00711D31">
        <w:rPr>
          <w:rFonts w:eastAsia="SimSun"/>
          <w:sz w:val="28"/>
          <w:szCs w:val="28"/>
          <w:lang w:val="uk-UA" w:bidi="ta-IN"/>
        </w:rPr>
        <w:t>врахування при розрахунку операційних витрат для визначення прогнозованого необхідного доходу ОСП складової витрат (доходів) оператора систем передачі України за Договором ІТС;</w:t>
      </w:r>
    </w:p>
    <w:p w:rsidR="00147D0A" w:rsidRPr="00711D31" w:rsidRDefault="00C10F00" w:rsidP="00C10F00">
      <w:pPr>
        <w:tabs>
          <w:tab w:val="left" w:pos="9923"/>
        </w:tabs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11D31">
        <w:rPr>
          <w:rFonts w:eastAsia="SimSun"/>
          <w:sz w:val="28"/>
          <w:szCs w:val="28"/>
          <w:lang w:val="uk-UA" w:bidi="ta-IN"/>
        </w:rPr>
        <w:t xml:space="preserve">врахування доходу від застосування ліцензіатом </w:t>
      </w:r>
      <w:r w:rsidRPr="00711D31">
        <w:rPr>
          <w:rFonts w:eastAsia="SimSun"/>
          <w:i/>
          <w:sz w:val="28"/>
          <w:szCs w:val="28"/>
          <w:lang w:val="uk-UA" w:bidi="ta-IN"/>
        </w:rPr>
        <w:t>ставки плати за послуги з передачі електричної енергії до/з країн периметру</w:t>
      </w:r>
      <w:r w:rsidRPr="00711D31">
        <w:rPr>
          <w:rFonts w:eastAsia="SimSun"/>
          <w:sz w:val="28"/>
          <w:szCs w:val="28"/>
          <w:lang w:val="uk-UA" w:bidi="ta-IN"/>
        </w:rPr>
        <w:t xml:space="preserve"> при розрахунку суми витрат (доходів) за Договором ІТС. </w:t>
      </w:r>
    </w:p>
    <w:p w:rsidR="00C10F00" w:rsidRPr="00811D90" w:rsidRDefault="00C10F00" w:rsidP="00C10F00">
      <w:pPr>
        <w:tabs>
          <w:tab w:val="left" w:pos="9923"/>
        </w:tabs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11D31">
        <w:rPr>
          <w:rFonts w:eastAsia="Calibri"/>
          <w:sz w:val="28"/>
          <w:szCs w:val="28"/>
          <w:lang w:val="uk-UA" w:eastAsia="en-US"/>
        </w:rPr>
        <w:t xml:space="preserve">З огляду на зазначене, НКРЕКП розроблено проєкт постанови НКРЕКП </w:t>
      </w:r>
      <w:r w:rsidRPr="00711D31">
        <w:rPr>
          <w:sz w:val="28"/>
          <w:szCs w:val="26"/>
          <w:lang w:val="uk-UA"/>
        </w:rPr>
        <w:t>«Про затвердження Змін до деяких постанов НКРЕКП»</w:t>
      </w:r>
      <w:r w:rsidRPr="00711D31">
        <w:rPr>
          <w:rFonts w:eastAsia="Calibri"/>
          <w:sz w:val="28"/>
          <w:szCs w:val="28"/>
          <w:lang w:val="uk-UA" w:eastAsia="en-US"/>
        </w:rPr>
        <w:t xml:space="preserve"> (далі – проєкт Постанови).</w:t>
      </w:r>
    </w:p>
    <w:p w:rsidR="000E4851" w:rsidRPr="0027011A" w:rsidRDefault="000E4851" w:rsidP="002E2AB9">
      <w:pPr>
        <w:ind w:firstLine="709"/>
        <w:jc w:val="both"/>
        <w:rPr>
          <w:sz w:val="28"/>
          <w:szCs w:val="28"/>
          <w:lang w:val="uk-UA"/>
        </w:rPr>
      </w:pPr>
    </w:p>
    <w:p w:rsidR="00DC1500" w:rsidRPr="0027011A" w:rsidRDefault="00DC1500" w:rsidP="00AE0F01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Вплив проблеми на основні групи (підгрупи):</w:t>
      </w:r>
    </w:p>
    <w:p w:rsidR="00E47DAE" w:rsidRPr="0027011A" w:rsidRDefault="00E47DAE" w:rsidP="00AE0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4"/>
        <w:gridCol w:w="4609"/>
        <w:gridCol w:w="1951"/>
      </w:tblGrid>
      <w:tr w:rsidR="00DC1500" w:rsidRPr="0027011A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Групи (підгрупи)</w:t>
            </w:r>
          </w:p>
        </w:tc>
        <w:tc>
          <w:tcPr>
            <w:tcW w:w="4667" w:type="dxa"/>
            <w:vAlign w:val="center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Так</w:t>
            </w:r>
          </w:p>
        </w:tc>
        <w:tc>
          <w:tcPr>
            <w:tcW w:w="1985" w:type="dxa"/>
            <w:vAlign w:val="center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Ні</w:t>
            </w:r>
          </w:p>
        </w:tc>
      </w:tr>
      <w:tr w:rsidR="00DC1500" w:rsidRPr="0027011A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8F032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Громадяни</w:t>
            </w:r>
          </w:p>
        </w:tc>
        <w:tc>
          <w:tcPr>
            <w:tcW w:w="4667" w:type="dxa"/>
            <w:vAlign w:val="center"/>
          </w:tcPr>
          <w:p w:rsidR="00DC1500" w:rsidRPr="0027011A" w:rsidRDefault="00603C06" w:rsidP="008F0321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1985" w:type="dxa"/>
            <w:vAlign w:val="center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</w:p>
        </w:tc>
      </w:tr>
      <w:tr w:rsidR="00DC1500" w:rsidRPr="003B247A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Держава</w:t>
            </w:r>
          </w:p>
        </w:tc>
        <w:tc>
          <w:tcPr>
            <w:tcW w:w="4667" w:type="dxa"/>
            <w:vAlign w:val="center"/>
          </w:tcPr>
          <w:p w:rsidR="005D751A" w:rsidRPr="00DB06FF" w:rsidRDefault="002800C3" w:rsidP="00D21A8B">
            <w:pPr>
              <w:jc w:val="both"/>
              <w:rPr>
                <w:lang w:val="uk-UA"/>
              </w:rPr>
            </w:pPr>
            <w:r w:rsidRPr="00DB06FF">
              <w:rPr>
                <w:lang w:val="uk-UA"/>
              </w:rPr>
              <w:t>Так. </w:t>
            </w:r>
            <w:r w:rsidR="005D751A" w:rsidRPr="00DB06FF">
              <w:rPr>
                <w:lang w:val="uk-UA"/>
              </w:rPr>
              <w:t>Стабільне функціонування паливно-енергетичного комплексу України</w:t>
            </w:r>
            <w:r w:rsidR="003A5D9C">
              <w:rPr>
                <w:lang w:val="uk-UA"/>
              </w:rPr>
              <w:t>.</w:t>
            </w:r>
          </w:p>
          <w:p w:rsidR="00B12F94" w:rsidRPr="0027011A" w:rsidRDefault="005D751A" w:rsidP="00D21A8B">
            <w:pPr>
              <w:jc w:val="both"/>
              <w:rPr>
                <w:lang w:val="uk-UA"/>
              </w:rPr>
            </w:pPr>
            <w:r w:rsidRPr="00DB06FF">
              <w:rPr>
                <w:lang w:val="uk-UA"/>
              </w:rPr>
              <w:t>Реалізація державної політики в сфері паливно-енергетичного комплексу України</w:t>
            </w:r>
            <w:r w:rsidR="00B12F94">
              <w:rPr>
                <w:lang w:val="uk-UA"/>
              </w:rPr>
              <w:t>. В</w:t>
            </w:r>
            <w:r w:rsidR="00B12F94" w:rsidRPr="00B12F94">
              <w:rPr>
                <w:lang w:val="uk-UA"/>
              </w:rPr>
              <w:t>провадження зобов’язань України щодо імплементації Регламенту Комісії ЄС для забезпечення участі ОСП України в ІТС механізмі</w:t>
            </w:r>
            <w:r w:rsidR="00B12F94">
              <w:rPr>
                <w:lang w:val="uk-UA"/>
              </w:rPr>
              <w:t>.</w:t>
            </w:r>
          </w:p>
        </w:tc>
        <w:tc>
          <w:tcPr>
            <w:tcW w:w="1985" w:type="dxa"/>
            <w:vAlign w:val="center"/>
          </w:tcPr>
          <w:p w:rsidR="00DF70D4" w:rsidRPr="002800C3" w:rsidRDefault="00DF70D4" w:rsidP="001A26D8">
            <w:pPr>
              <w:jc w:val="center"/>
              <w:rPr>
                <w:color w:val="FF0000"/>
                <w:lang w:val="uk-UA"/>
              </w:rPr>
            </w:pPr>
          </w:p>
        </w:tc>
      </w:tr>
      <w:tr w:rsidR="00DC1500" w:rsidRPr="003B247A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Суб’єкти господарювання</w:t>
            </w:r>
          </w:p>
        </w:tc>
        <w:tc>
          <w:tcPr>
            <w:tcW w:w="4667" w:type="dxa"/>
            <w:vAlign w:val="center"/>
          </w:tcPr>
          <w:p w:rsidR="00194522" w:rsidRPr="003E1900" w:rsidRDefault="00143239" w:rsidP="007A151E">
            <w:pPr>
              <w:jc w:val="both"/>
              <w:rPr>
                <w:lang w:val="uk-UA"/>
              </w:rPr>
            </w:pPr>
            <w:r w:rsidRPr="003E1900">
              <w:rPr>
                <w:lang w:val="uk-UA"/>
              </w:rPr>
              <w:t>Так.</w:t>
            </w:r>
            <w:r w:rsidRPr="00194522">
              <w:rPr>
                <w:lang w:val="uk-UA"/>
              </w:rPr>
              <w:t> </w:t>
            </w:r>
            <w:r w:rsidR="00B12F94" w:rsidRPr="003E1900">
              <w:rPr>
                <w:lang w:val="uk-UA"/>
              </w:rPr>
              <w:t>Дозволить</w:t>
            </w:r>
            <w:r w:rsidR="00B12F94" w:rsidRPr="00DA3002">
              <w:rPr>
                <w:lang w:val="uk-UA"/>
              </w:rPr>
              <w:t xml:space="preserve"> </w:t>
            </w:r>
            <w:r w:rsidR="00530C30">
              <w:rPr>
                <w:lang w:val="uk-UA"/>
              </w:rPr>
              <w:t>привести</w:t>
            </w:r>
            <w:r w:rsidR="00752BFD">
              <w:rPr>
                <w:lang w:val="uk-UA"/>
              </w:rPr>
              <w:t xml:space="preserve"> норми</w:t>
            </w:r>
            <w:r w:rsidR="00B12F94">
              <w:rPr>
                <w:lang w:val="uk-UA"/>
              </w:rPr>
              <w:t xml:space="preserve"> </w:t>
            </w:r>
            <w:r w:rsidR="00645788" w:rsidRPr="003E1900">
              <w:rPr>
                <w:lang w:val="uk-UA"/>
              </w:rPr>
              <w:t>Порядк</w:t>
            </w:r>
            <w:r w:rsidR="00645788">
              <w:rPr>
                <w:lang w:val="uk-UA"/>
              </w:rPr>
              <w:t>ів № 585 та № 586</w:t>
            </w:r>
            <w:r w:rsidR="00B12F94">
              <w:rPr>
                <w:lang w:val="uk-UA"/>
              </w:rPr>
              <w:t xml:space="preserve"> </w:t>
            </w:r>
            <w:r w:rsidR="00530C30">
              <w:rPr>
                <w:lang w:val="uk-UA"/>
              </w:rPr>
              <w:t>у відповідність до</w:t>
            </w:r>
            <w:r w:rsidR="002E6F27">
              <w:rPr>
                <w:lang w:val="uk-UA"/>
              </w:rPr>
              <w:t xml:space="preserve"> </w:t>
            </w:r>
            <w:r w:rsidR="002E6F27" w:rsidRPr="00B12F94">
              <w:rPr>
                <w:lang w:val="uk-UA"/>
              </w:rPr>
              <w:t>змін до КСП</w:t>
            </w:r>
            <w:r w:rsidR="00530C30">
              <w:rPr>
                <w:lang w:val="uk-UA"/>
              </w:rPr>
              <w:t xml:space="preserve"> (</w:t>
            </w:r>
            <w:r w:rsidR="002E6F27" w:rsidRPr="007A151E">
              <w:rPr>
                <w:lang w:val="uk-UA"/>
              </w:rPr>
              <w:t>зміст яких відповідає положенням Регламенту Комісії ЄС</w:t>
            </w:r>
            <w:r w:rsidR="00530C30">
              <w:rPr>
                <w:lang w:val="uk-UA"/>
              </w:rPr>
              <w:t>)</w:t>
            </w:r>
            <w:r w:rsidR="002E6F27">
              <w:rPr>
                <w:lang w:val="uk-UA"/>
              </w:rPr>
              <w:t>, для</w:t>
            </w:r>
            <w:r w:rsidR="009200C2" w:rsidRPr="002E6F27">
              <w:rPr>
                <w:lang w:val="uk-UA"/>
              </w:rPr>
              <w:t xml:space="preserve"> </w:t>
            </w:r>
            <w:r w:rsidR="009200C2">
              <w:rPr>
                <w:lang w:val="uk-UA"/>
              </w:rPr>
              <w:t xml:space="preserve">забезпечення </w:t>
            </w:r>
            <w:r w:rsidR="009200C2" w:rsidRPr="007A151E">
              <w:rPr>
                <w:lang w:val="uk-UA"/>
              </w:rPr>
              <w:lastRenderedPageBreak/>
              <w:t>здійснення учасниками ринку діяльності експорту/імпорту електричної енергії</w:t>
            </w:r>
            <w:r w:rsidR="009200C2">
              <w:rPr>
                <w:lang w:val="uk-UA"/>
              </w:rPr>
              <w:t xml:space="preserve"> та </w:t>
            </w:r>
            <w:r w:rsidR="009200C2" w:rsidRPr="002E6F27">
              <w:rPr>
                <w:lang w:val="uk-UA"/>
              </w:rPr>
              <w:t>відшкодування оператору системи передачі України витрат</w:t>
            </w:r>
            <w:r w:rsidR="009200C2">
              <w:rPr>
                <w:lang w:val="uk-UA"/>
              </w:rPr>
              <w:t xml:space="preserve"> (доходів) за надані </w:t>
            </w:r>
            <w:r w:rsidR="009200C2" w:rsidRPr="009200C2">
              <w:rPr>
                <w:lang w:val="uk-UA"/>
              </w:rPr>
              <w:t>послуг</w:t>
            </w:r>
            <w:r w:rsidR="009200C2">
              <w:rPr>
                <w:lang w:val="uk-UA"/>
              </w:rPr>
              <w:t>и</w:t>
            </w:r>
            <w:r w:rsidR="009200C2" w:rsidRPr="009200C2">
              <w:rPr>
                <w:lang w:val="uk-UA"/>
              </w:rPr>
              <w:t xml:space="preserve"> у період після приєднання ОСП України до ІТС механізму</w:t>
            </w:r>
            <w:r w:rsidR="009200C2">
              <w:rPr>
                <w:lang w:val="uk-UA"/>
              </w:rPr>
              <w:t>.</w:t>
            </w:r>
          </w:p>
        </w:tc>
        <w:tc>
          <w:tcPr>
            <w:tcW w:w="1985" w:type="dxa"/>
            <w:vAlign w:val="center"/>
          </w:tcPr>
          <w:p w:rsidR="00DF70D4" w:rsidRPr="002800C3" w:rsidRDefault="00DF70D4" w:rsidP="001A26D8">
            <w:pPr>
              <w:jc w:val="center"/>
              <w:rPr>
                <w:color w:val="FF0000"/>
                <w:lang w:val="uk-UA"/>
              </w:rPr>
            </w:pPr>
          </w:p>
        </w:tc>
      </w:tr>
    </w:tbl>
    <w:p w:rsidR="00DC1500" w:rsidRPr="0027011A" w:rsidRDefault="00DC1500" w:rsidP="00BB14E3">
      <w:pPr>
        <w:jc w:val="center"/>
        <w:rPr>
          <w:b/>
          <w:bCs/>
          <w:sz w:val="28"/>
          <w:szCs w:val="28"/>
          <w:lang w:val="uk-UA"/>
        </w:rPr>
      </w:pPr>
    </w:p>
    <w:p w:rsidR="00DC1500" w:rsidRPr="0027011A" w:rsidRDefault="00DC1500" w:rsidP="00BB14E3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II. Цілі державного регулювання</w:t>
      </w:r>
    </w:p>
    <w:p w:rsidR="00DC1500" w:rsidRPr="00194522" w:rsidRDefault="00DC1500" w:rsidP="006461C4">
      <w:pPr>
        <w:rPr>
          <w:b/>
          <w:bCs/>
          <w:sz w:val="36"/>
          <w:szCs w:val="28"/>
          <w:lang w:val="uk-UA"/>
        </w:rPr>
      </w:pPr>
    </w:p>
    <w:p w:rsidR="00BE473B" w:rsidRDefault="00A5420D" w:rsidP="00BE473B">
      <w:pPr>
        <w:ind w:firstLine="709"/>
        <w:jc w:val="both"/>
        <w:rPr>
          <w:bCs/>
          <w:sz w:val="28"/>
          <w:szCs w:val="28"/>
          <w:lang w:val="uk-UA"/>
        </w:rPr>
      </w:pPr>
      <w:bookmarkStart w:id="0" w:name="_Hlk14968184"/>
      <w:r w:rsidRPr="00B2051D">
        <w:rPr>
          <w:sz w:val="28"/>
          <w:szCs w:val="28"/>
          <w:lang w:val="uk-UA"/>
        </w:rPr>
        <w:t xml:space="preserve">Метою прийняття </w:t>
      </w:r>
      <w:r w:rsidR="00EE35DD" w:rsidRPr="00B2051D">
        <w:rPr>
          <w:bCs/>
          <w:sz w:val="28"/>
          <w:szCs w:val="28"/>
          <w:lang w:val="uk-UA"/>
        </w:rPr>
        <w:t xml:space="preserve">регуляторного </w:t>
      </w:r>
      <w:proofErr w:type="spellStart"/>
      <w:r w:rsidR="00EE35DD" w:rsidRPr="00B2051D">
        <w:rPr>
          <w:bCs/>
          <w:sz w:val="28"/>
          <w:szCs w:val="28"/>
          <w:lang w:val="uk-UA"/>
        </w:rPr>
        <w:t>акта</w:t>
      </w:r>
      <w:proofErr w:type="spellEnd"/>
      <w:r w:rsidRPr="00B2051D">
        <w:rPr>
          <w:sz w:val="28"/>
          <w:szCs w:val="28"/>
          <w:lang w:val="uk-UA" w:eastAsia="uk-UA"/>
        </w:rPr>
        <w:t xml:space="preserve"> </w:t>
      </w:r>
      <w:bookmarkStart w:id="1" w:name="_Hlk63257727"/>
      <w:r w:rsidRPr="00B2051D">
        <w:rPr>
          <w:sz w:val="28"/>
          <w:szCs w:val="28"/>
          <w:lang w:val="uk-UA"/>
        </w:rPr>
        <w:t xml:space="preserve">є </w:t>
      </w:r>
      <w:bookmarkEnd w:id="0"/>
      <w:r w:rsidR="00416E32" w:rsidRPr="00416E32">
        <w:rPr>
          <w:rFonts w:eastAsia="Calibri"/>
          <w:sz w:val="28"/>
          <w:szCs w:val="28"/>
          <w:lang w:val="uk-UA" w:eastAsia="en-US"/>
        </w:rPr>
        <w:t xml:space="preserve">приведення нормативно-правової бази НКРЕКП у відповідність </w:t>
      </w:r>
      <w:r w:rsidR="00416E32" w:rsidRPr="00416E32">
        <w:rPr>
          <w:bCs/>
          <w:sz w:val="28"/>
          <w:szCs w:val="28"/>
          <w:lang w:val="uk-UA"/>
        </w:rPr>
        <w:t>до змін до КСП</w:t>
      </w:r>
      <w:r w:rsidR="00821944">
        <w:rPr>
          <w:bCs/>
          <w:sz w:val="28"/>
          <w:szCs w:val="28"/>
          <w:lang w:val="uk-UA"/>
        </w:rPr>
        <w:t xml:space="preserve">, якими </w:t>
      </w:r>
      <w:r w:rsidR="00821944" w:rsidRPr="006226C0">
        <w:rPr>
          <w:rFonts w:eastAsia="SimSun"/>
          <w:sz w:val="28"/>
          <w:szCs w:val="28"/>
          <w:lang w:val="uk-UA" w:bidi="ta-IN"/>
        </w:rPr>
        <w:t xml:space="preserve">передбачено впровадження норм щодо забезпечення участі ОСП України у ІТС механізмі </w:t>
      </w:r>
      <w:r w:rsidR="00821944">
        <w:rPr>
          <w:rFonts w:eastAsia="SimSun"/>
          <w:sz w:val="28"/>
          <w:szCs w:val="28"/>
          <w:lang w:val="uk-UA" w:bidi="ta-IN"/>
        </w:rPr>
        <w:t>із</w:t>
      </w:r>
      <w:r w:rsidR="00821944" w:rsidRPr="006226C0">
        <w:rPr>
          <w:rFonts w:eastAsia="SimSun"/>
          <w:sz w:val="28"/>
          <w:szCs w:val="28"/>
          <w:lang w:val="uk-UA" w:bidi="ta-IN"/>
        </w:rPr>
        <w:t xml:space="preserve"> </w:t>
      </w:r>
      <w:r w:rsidR="00821944">
        <w:rPr>
          <w:rFonts w:eastAsia="SimSun"/>
          <w:sz w:val="28"/>
          <w:szCs w:val="28"/>
          <w:lang w:val="uk-UA" w:bidi="ta-IN"/>
        </w:rPr>
        <w:t xml:space="preserve">визначенням </w:t>
      </w:r>
      <w:r w:rsidR="00821944" w:rsidRPr="006226C0">
        <w:rPr>
          <w:rFonts w:eastAsia="SimSun"/>
          <w:sz w:val="28"/>
          <w:szCs w:val="28"/>
          <w:lang w:val="uk-UA" w:bidi="ta-IN"/>
        </w:rPr>
        <w:t xml:space="preserve">підходів </w:t>
      </w:r>
      <w:r w:rsidR="00821944">
        <w:rPr>
          <w:rFonts w:eastAsia="SimSun"/>
          <w:sz w:val="28"/>
          <w:szCs w:val="28"/>
          <w:lang w:val="uk-UA" w:bidi="ta-IN"/>
        </w:rPr>
        <w:t xml:space="preserve">до </w:t>
      </w:r>
      <w:r w:rsidR="00821944" w:rsidRPr="006226C0">
        <w:rPr>
          <w:rFonts w:eastAsia="SimSun"/>
          <w:sz w:val="28"/>
          <w:szCs w:val="28"/>
          <w:lang w:val="uk-UA" w:bidi="ta-IN"/>
        </w:rPr>
        <w:t xml:space="preserve">здійснення учасниками ринку діяльності </w:t>
      </w:r>
      <w:r w:rsidR="00BE473B">
        <w:rPr>
          <w:rFonts w:eastAsia="SimSun"/>
          <w:sz w:val="28"/>
          <w:szCs w:val="28"/>
          <w:lang w:val="uk-UA" w:bidi="ta-IN"/>
        </w:rPr>
        <w:t xml:space="preserve">з </w:t>
      </w:r>
      <w:r w:rsidR="00821944" w:rsidRPr="006226C0">
        <w:rPr>
          <w:rFonts w:eastAsia="SimSun"/>
          <w:sz w:val="28"/>
          <w:szCs w:val="28"/>
          <w:lang w:val="uk-UA" w:bidi="ta-IN"/>
        </w:rPr>
        <w:t>експорту/імпорту електричної енергії</w:t>
      </w:r>
      <w:r w:rsidR="00821944">
        <w:rPr>
          <w:rFonts w:eastAsia="SimSun"/>
          <w:sz w:val="28"/>
          <w:szCs w:val="28"/>
          <w:lang w:val="uk-UA" w:bidi="ta-IN"/>
        </w:rPr>
        <w:t>.</w:t>
      </w:r>
    </w:p>
    <w:p w:rsidR="00821944" w:rsidRPr="00916839" w:rsidRDefault="00BE473B" w:rsidP="009A7615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Змінами до</w:t>
      </w:r>
      <w:r w:rsidR="00416E32" w:rsidRPr="00416E32">
        <w:rPr>
          <w:bCs/>
          <w:sz w:val="28"/>
          <w:szCs w:val="28"/>
          <w:lang w:val="uk-UA"/>
        </w:rPr>
        <w:t xml:space="preserve"> Порядків № 585 та № 586</w:t>
      </w:r>
      <w:r>
        <w:rPr>
          <w:bCs/>
          <w:sz w:val="28"/>
          <w:szCs w:val="28"/>
          <w:lang w:val="uk-UA"/>
        </w:rPr>
        <w:t xml:space="preserve"> </w:t>
      </w:r>
      <w:r w:rsidR="00916839" w:rsidRPr="00916839">
        <w:rPr>
          <w:bCs/>
          <w:sz w:val="28"/>
          <w:szCs w:val="28"/>
          <w:lang w:val="uk-UA"/>
        </w:rPr>
        <w:t>унорм</w:t>
      </w:r>
      <w:r>
        <w:rPr>
          <w:bCs/>
          <w:sz w:val="28"/>
          <w:szCs w:val="28"/>
          <w:lang w:val="uk-UA"/>
        </w:rPr>
        <w:t>овано</w:t>
      </w:r>
      <w:r w:rsidR="00916839" w:rsidRPr="00916839">
        <w:rPr>
          <w:bCs/>
          <w:sz w:val="28"/>
          <w:szCs w:val="28"/>
          <w:lang w:val="uk-UA"/>
        </w:rPr>
        <w:t xml:space="preserve"> підход</w:t>
      </w:r>
      <w:r>
        <w:rPr>
          <w:bCs/>
          <w:sz w:val="28"/>
          <w:szCs w:val="28"/>
          <w:lang w:val="uk-UA"/>
        </w:rPr>
        <w:t>и</w:t>
      </w:r>
      <w:r w:rsidR="00916839" w:rsidRPr="009168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 частині</w:t>
      </w:r>
      <w:r w:rsidR="00821944" w:rsidRPr="006226C0">
        <w:rPr>
          <w:rFonts w:eastAsia="SimSun"/>
          <w:sz w:val="28"/>
          <w:szCs w:val="28"/>
          <w:lang w:val="uk-UA" w:bidi="ta-IN"/>
        </w:rPr>
        <w:t xml:space="preserve"> </w:t>
      </w:r>
      <w:r w:rsidR="00821944">
        <w:rPr>
          <w:bCs/>
          <w:sz w:val="28"/>
          <w:szCs w:val="28"/>
          <w:lang w:val="uk-UA"/>
        </w:rPr>
        <w:t xml:space="preserve">визначення </w:t>
      </w:r>
      <w:r w:rsidR="00821944" w:rsidRPr="00711D31">
        <w:rPr>
          <w:rFonts w:eastAsia="SimSun"/>
          <w:sz w:val="28"/>
          <w:szCs w:val="28"/>
          <w:lang w:val="uk-UA" w:bidi="ta-IN"/>
        </w:rPr>
        <w:t xml:space="preserve">обсягів передачі електричної енергії та обсягів відпущеної електричної енергії виробниками електричної енергії у періоди </w:t>
      </w:r>
      <w:r w:rsidR="00821944" w:rsidRPr="00916839">
        <w:rPr>
          <w:bCs/>
          <w:sz w:val="28"/>
          <w:szCs w:val="28"/>
          <w:lang w:val="uk-UA"/>
        </w:rPr>
        <w:t>до та після приєднання оператора системи передачі України до ІТС механізму</w:t>
      </w:r>
      <w:r w:rsidR="00821944">
        <w:rPr>
          <w:bCs/>
          <w:sz w:val="28"/>
          <w:szCs w:val="28"/>
          <w:lang w:val="uk-UA"/>
        </w:rPr>
        <w:t>, а також</w:t>
      </w:r>
      <w:r w:rsidR="00821944" w:rsidRPr="009168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передбачено</w:t>
      </w:r>
      <w:r w:rsidR="00821944">
        <w:rPr>
          <w:bCs/>
          <w:sz w:val="28"/>
          <w:szCs w:val="28"/>
          <w:lang w:val="uk-UA"/>
        </w:rPr>
        <w:t xml:space="preserve"> </w:t>
      </w:r>
      <w:r w:rsidR="009A7615" w:rsidRPr="009A7615">
        <w:rPr>
          <w:bCs/>
          <w:sz w:val="28"/>
          <w:szCs w:val="28"/>
          <w:lang w:val="uk-UA"/>
        </w:rPr>
        <w:t>застосування ставки плати за послуги з передачі електричної енергії до/з країн периметру</w:t>
      </w:r>
      <w:r w:rsidR="009A7615">
        <w:rPr>
          <w:bCs/>
          <w:sz w:val="28"/>
          <w:szCs w:val="28"/>
          <w:lang w:val="uk-UA"/>
        </w:rPr>
        <w:t xml:space="preserve"> та </w:t>
      </w:r>
      <w:r w:rsidR="00821944" w:rsidRPr="00916839">
        <w:rPr>
          <w:bCs/>
          <w:sz w:val="28"/>
          <w:szCs w:val="28"/>
          <w:lang w:val="uk-UA"/>
        </w:rPr>
        <w:t>відшкодування оператору системи передачі України витрат (доходів) за надані послуги у період після приєднання ОСП України до ІТС механізму.</w:t>
      </w:r>
    </w:p>
    <w:p w:rsidR="00916839" w:rsidRPr="00916839" w:rsidRDefault="00916839" w:rsidP="00916839">
      <w:pPr>
        <w:ind w:firstLine="709"/>
        <w:jc w:val="both"/>
        <w:rPr>
          <w:bCs/>
          <w:sz w:val="28"/>
          <w:szCs w:val="28"/>
          <w:lang w:val="uk-UA"/>
        </w:rPr>
      </w:pPr>
    </w:p>
    <w:bookmarkEnd w:id="1"/>
    <w:p w:rsidR="00DC1500" w:rsidRPr="0027011A" w:rsidRDefault="00DC1500" w:rsidP="00BB14E3">
      <w:pPr>
        <w:ind w:firstLine="709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III. Визначення та оцінка альтернативних способів досягнення цілей</w:t>
      </w:r>
    </w:p>
    <w:p w:rsidR="00DC1500" w:rsidRPr="00194522" w:rsidRDefault="00DC1500" w:rsidP="00A82585">
      <w:pPr>
        <w:ind w:firstLine="708"/>
        <w:jc w:val="both"/>
        <w:rPr>
          <w:sz w:val="32"/>
          <w:szCs w:val="20"/>
          <w:lang w:val="uk-UA"/>
        </w:rPr>
      </w:pPr>
    </w:p>
    <w:p w:rsidR="00DC1500" w:rsidRPr="0027011A" w:rsidRDefault="00DC1500" w:rsidP="003359C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Визначення альтернативних способів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DC1500" w:rsidRPr="0027011A">
        <w:tc>
          <w:tcPr>
            <w:tcW w:w="4786" w:type="dxa"/>
          </w:tcPr>
          <w:p w:rsidR="00DC1500" w:rsidRPr="0027011A" w:rsidRDefault="00DC1500" w:rsidP="00AE0F01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4784" w:type="dxa"/>
          </w:tcPr>
          <w:p w:rsidR="00DC1500" w:rsidRPr="0027011A" w:rsidRDefault="00DC1500" w:rsidP="00AE0F01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Опис альтернативи</w:t>
            </w:r>
          </w:p>
        </w:tc>
      </w:tr>
      <w:tr w:rsidR="008B6E83" w:rsidRPr="0027011A" w:rsidTr="008B6E83">
        <w:trPr>
          <w:trHeight w:val="747"/>
        </w:trPr>
        <w:tc>
          <w:tcPr>
            <w:tcW w:w="4786" w:type="dxa"/>
          </w:tcPr>
          <w:p w:rsidR="008B6E83" w:rsidRPr="0027011A" w:rsidRDefault="008B6E83" w:rsidP="008B6E83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8B6E83" w:rsidRPr="0027011A" w:rsidRDefault="008B6E83" w:rsidP="008B6E83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4784" w:type="dxa"/>
          </w:tcPr>
          <w:p w:rsidR="00B1730D" w:rsidRPr="00147D0A" w:rsidRDefault="007A151E" w:rsidP="00147D0A">
            <w:pPr>
              <w:rPr>
                <w:lang w:val="uk-UA"/>
              </w:rPr>
            </w:pPr>
            <w:r>
              <w:rPr>
                <w:lang w:val="uk-UA"/>
              </w:rPr>
              <w:t>Поряд</w:t>
            </w:r>
            <w:r w:rsidR="00B1730D" w:rsidRPr="00DB06FF">
              <w:rPr>
                <w:lang w:val="uk-UA"/>
              </w:rPr>
              <w:t>к</w:t>
            </w:r>
            <w:r>
              <w:rPr>
                <w:lang w:val="uk-UA"/>
              </w:rPr>
              <w:t>и</w:t>
            </w:r>
            <w:r w:rsidR="00B1730D" w:rsidRPr="00DB06FF">
              <w:rPr>
                <w:lang w:val="uk-UA"/>
              </w:rPr>
              <w:t xml:space="preserve"> не відповіда</w:t>
            </w:r>
            <w:r w:rsidR="00147D0A">
              <w:rPr>
                <w:lang w:val="uk-UA"/>
              </w:rPr>
              <w:t>ю</w:t>
            </w:r>
            <w:r w:rsidR="00B1730D" w:rsidRPr="00DB06FF">
              <w:rPr>
                <w:lang w:val="uk-UA"/>
              </w:rPr>
              <w:t xml:space="preserve"> вимогам </w:t>
            </w:r>
            <w:r w:rsidR="00147D0A" w:rsidRPr="00147D0A">
              <w:rPr>
                <w:lang w:val="uk-UA"/>
              </w:rPr>
              <w:t>Регламенту Комісії ЄС</w:t>
            </w:r>
          </w:p>
        </w:tc>
      </w:tr>
      <w:tr w:rsidR="008B6E83" w:rsidRPr="003B247A" w:rsidTr="00DA6B59">
        <w:trPr>
          <w:trHeight w:val="317"/>
        </w:trPr>
        <w:tc>
          <w:tcPr>
            <w:tcW w:w="4786" w:type="dxa"/>
          </w:tcPr>
          <w:p w:rsidR="008B6E83" w:rsidRPr="0027011A" w:rsidRDefault="008B6E83" w:rsidP="008B6E83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8B6E83" w:rsidRPr="0027011A" w:rsidRDefault="00A84680" w:rsidP="008B6E83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У</w:t>
            </w:r>
            <w:r w:rsidR="008B6E83" w:rsidRPr="0027011A">
              <w:rPr>
                <w:lang w:val="uk-UA"/>
              </w:rPr>
              <w:t>несення змін до чинного регуляторного акта</w:t>
            </w:r>
          </w:p>
        </w:tc>
        <w:tc>
          <w:tcPr>
            <w:tcW w:w="4784" w:type="dxa"/>
          </w:tcPr>
          <w:p w:rsidR="008B6E83" w:rsidRPr="0027011A" w:rsidRDefault="00C94521" w:rsidP="002B6D98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 xml:space="preserve">Забезпечує відповідність </w:t>
            </w:r>
            <w:r w:rsidR="00B1730D" w:rsidRPr="00DB06FF">
              <w:rPr>
                <w:lang w:val="uk-UA"/>
              </w:rPr>
              <w:t>Порядк</w:t>
            </w:r>
            <w:r w:rsidR="00147D0A">
              <w:rPr>
                <w:lang w:val="uk-UA"/>
              </w:rPr>
              <w:t>ів</w:t>
            </w:r>
            <w:r w:rsidR="002B6D98">
              <w:rPr>
                <w:lang w:val="uk-UA"/>
              </w:rPr>
              <w:t xml:space="preserve"> до </w:t>
            </w:r>
            <w:r w:rsidR="0038079A">
              <w:rPr>
                <w:lang w:val="uk-UA"/>
              </w:rPr>
              <w:t xml:space="preserve">норм </w:t>
            </w:r>
            <w:r w:rsidR="002B6D98" w:rsidRPr="00B12F94">
              <w:rPr>
                <w:lang w:val="uk-UA"/>
              </w:rPr>
              <w:t>КСП</w:t>
            </w:r>
            <w:r w:rsidR="002B6D98">
              <w:rPr>
                <w:lang w:val="uk-UA"/>
              </w:rPr>
              <w:t xml:space="preserve"> (</w:t>
            </w:r>
            <w:r w:rsidR="002B6D98" w:rsidRPr="007A151E">
              <w:rPr>
                <w:lang w:val="uk-UA"/>
              </w:rPr>
              <w:t>зміст яких відповідає положенням Регламенту Комісії ЄС</w:t>
            </w:r>
            <w:r w:rsidR="002B6D98">
              <w:rPr>
                <w:lang w:val="uk-UA"/>
              </w:rPr>
              <w:t>)</w:t>
            </w:r>
          </w:p>
        </w:tc>
      </w:tr>
    </w:tbl>
    <w:p w:rsidR="00DC1500" w:rsidRPr="00D62C1F" w:rsidRDefault="00DC1500" w:rsidP="00A82585">
      <w:pPr>
        <w:ind w:firstLine="708"/>
        <w:jc w:val="both"/>
        <w:rPr>
          <w:sz w:val="28"/>
          <w:szCs w:val="20"/>
          <w:lang w:val="uk-UA"/>
        </w:rPr>
      </w:pPr>
    </w:p>
    <w:p w:rsidR="00DC1500" w:rsidRDefault="00DC1500" w:rsidP="00A82585">
      <w:pPr>
        <w:ind w:firstLine="708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2. Оцінка вибраних альтернативних способів досягнення цілей</w:t>
      </w:r>
    </w:p>
    <w:p w:rsidR="00712005" w:rsidRPr="0027011A" w:rsidRDefault="00712005" w:rsidP="00A82585">
      <w:pPr>
        <w:ind w:firstLine="708"/>
        <w:jc w:val="both"/>
        <w:rPr>
          <w:sz w:val="28"/>
          <w:szCs w:val="28"/>
          <w:lang w:val="uk-UA"/>
        </w:rPr>
      </w:pPr>
    </w:p>
    <w:p w:rsidR="00DC1500" w:rsidRPr="0027011A" w:rsidRDefault="00DC1500" w:rsidP="003359CD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11A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692"/>
        <w:gridCol w:w="2693"/>
        <w:gridCol w:w="1185"/>
      </w:tblGrid>
      <w:tr w:rsidR="00DC1500" w:rsidRPr="0027011A" w:rsidTr="00166C04">
        <w:trPr>
          <w:trHeight w:val="28"/>
        </w:trPr>
        <w:tc>
          <w:tcPr>
            <w:tcW w:w="5692" w:type="dxa"/>
          </w:tcPr>
          <w:p w:rsidR="00DC1500" w:rsidRPr="0027011A" w:rsidRDefault="00DC1500" w:rsidP="00166C04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2693" w:type="dxa"/>
          </w:tcPr>
          <w:p w:rsidR="00DC1500" w:rsidRPr="0027011A" w:rsidRDefault="00DC1500" w:rsidP="00166C04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185" w:type="dxa"/>
          </w:tcPr>
          <w:p w:rsidR="00DC1500" w:rsidRPr="0027011A" w:rsidRDefault="00DC1500" w:rsidP="00166C04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DC1500" w:rsidRPr="00B1730D" w:rsidTr="003359CD">
        <w:trPr>
          <w:trHeight w:val="169"/>
        </w:trPr>
        <w:tc>
          <w:tcPr>
            <w:tcW w:w="5692" w:type="dxa"/>
          </w:tcPr>
          <w:p w:rsidR="00DC1500" w:rsidRPr="0027011A" w:rsidRDefault="00DC1500" w:rsidP="00DA6B59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DC1500" w:rsidRPr="0027011A" w:rsidRDefault="00DC1500" w:rsidP="00DA6B59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693" w:type="dxa"/>
          </w:tcPr>
          <w:p w:rsidR="00DC1500" w:rsidRPr="004D2B0A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D2B0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185" w:type="dxa"/>
          </w:tcPr>
          <w:p w:rsidR="00667BCB" w:rsidRPr="004D2B0A" w:rsidRDefault="00667BCB" w:rsidP="007B0E9B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  <w:r w:rsidRPr="004D2B0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  <w:p w:rsidR="00DC1500" w:rsidRPr="004D2B0A" w:rsidRDefault="00DC1500" w:rsidP="007B0E9B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</w:p>
        </w:tc>
      </w:tr>
      <w:tr w:rsidR="00DC1500" w:rsidRPr="0027011A" w:rsidTr="003359CD">
        <w:tc>
          <w:tcPr>
            <w:tcW w:w="5692" w:type="dxa"/>
          </w:tcPr>
          <w:p w:rsidR="00DC1500" w:rsidRPr="0027011A" w:rsidRDefault="00DC1500" w:rsidP="00DA6B59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DC1500" w:rsidRPr="0027011A" w:rsidRDefault="00DC1500" w:rsidP="0069722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693" w:type="dxa"/>
          </w:tcPr>
          <w:p w:rsidR="00FD1D93" w:rsidRDefault="00437C6D" w:rsidP="001E43DE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37C6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Дозволить врегулювати питання </w:t>
            </w:r>
            <w:r w:rsidR="00712005" w:rsidRPr="00712005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участі оператора системи передачі України в ІТС механізмі</w:t>
            </w:r>
            <w:r w:rsidR="00F877AA" w:rsidRPr="00F877A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відповідно до </w:t>
            </w:r>
            <w:r w:rsidR="00F877AA" w:rsidRPr="00F877A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lastRenderedPageBreak/>
              <w:t>Регламенту Комісії ЄС</w:t>
            </w:r>
            <w:r w:rsidR="00FD1D93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.</w:t>
            </w:r>
            <w:r w:rsidR="00712005" w:rsidRPr="00437C6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</w:t>
            </w:r>
          </w:p>
          <w:p w:rsidR="004A27D3" w:rsidRDefault="004A27D3" w:rsidP="004A27D3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Забезпечить</w:t>
            </w:r>
            <w:r w:rsidR="00012C0D" w:rsidRPr="003B247A">
              <w:rPr>
                <w:rFonts w:ascii="Times New Roman" w:hAnsi="Times New Roman"/>
                <w:b w:val="0"/>
                <w:color w:val="auto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відповідність</w:t>
            </w:r>
            <w:r w:rsidR="005C405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</w:t>
            </w:r>
            <w:r w:rsidR="005C4056" w:rsidRPr="00012C0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Порядків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змінам до КСП в частині</w:t>
            </w:r>
          </w:p>
          <w:p w:rsidR="00817D9D" w:rsidRDefault="00817D9D" w:rsidP="00817D9D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817D9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застосування ставки плати за послуги з передачі електричної енергії до/з країн периметру</w:t>
            </w:r>
          </w:p>
          <w:p w:rsidR="00FA5462" w:rsidRPr="00437C6D" w:rsidRDefault="009A7615" w:rsidP="00817D9D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та</w:t>
            </w:r>
            <w:r w:rsidR="00817D9D" w:rsidRPr="00437C6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</w:t>
            </w:r>
            <w:r w:rsidR="00FD1D93" w:rsidRPr="00817D9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відшкодування </w:t>
            </w:r>
            <w:r w:rsidR="004A27D3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ОСП</w:t>
            </w:r>
            <w:r w:rsidR="00FD1D93" w:rsidRPr="00817D9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України витрат (доходів) за надані послуги у період після приєднання ОСП України до ІТС механізму.</w:t>
            </w:r>
          </w:p>
        </w:tc>
        <w:tc>
          <w:tcPr>
            <w:tcW w:w="1185" w:type="dxa"/>
          </w:tcPr>
          <w:p w:rsidR="00DC1500" w:rsidRPr="0027011A" w:rsidRDefault="00DC1500" w:rsidP="00DA6B59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lastRenderedPageBreak/>
              <w:t xml:space="preserve">Відсутні </w:t>
            </w:r>
          </w:p>
        </w:tc>
      </w:tr>
    </w:tbl>
    <w:p w:rsidR="00B207DF" w:rsidRDefault="00B207DF" w:rsidP="0069722E">
      <w:pPr>
        <w:ind w:firstLine="709"/>
        <w:jc w:val="both"/>
        <w:rPr>
          <w:sz w:val="28"/>
          <w:szCs w:val="28"/>
          <w:lang w:val="uk-UA"/>
        </w:rPr>
      </w:pPr>
    </w:p>
    <w:p w:rsidR="00DC1500" w:rsidRPr="0027011A" w:rsidRDefault="00DC1500" w:rsidP="0069722E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2) оцінка впливу на сферу інтересів громадян: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1984"/>
        <w:gridCol w:w="1843"/>
      </w:tblGrid>
      <w:tr w:rsidR="00DC1500" w:rsidRPr="0027011A" w:rsidTr="001C614E">
        <w:tc>
          <w:tcPr>
            <w:tcW w:w="5743" w:type="dxa"/>
          </w:tcPr>
          <w:p w:rsidR="00DC1500" w:rsidRPr="0027011A" w:rsidRDefault="00DC1500" w:rsidP="00102EE6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1984" w:type="dxa"/>
          </w:tcPr>
          <w:p w:rsidR="00DC1500" w:rsidRPr="0027011A" w:rsidRDefault="00DC1500" w:rsidP="00102EE6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843" w:type="dxa"/>
          </w:tcPr>
          <w:p w:rsidR="00DC1500" w:rsidRPr="0027011A" w:rsidRDefault="00DC1500" w:rsidP="00102EE6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DC1500" w:rsidRPr="0027011A" w:rsidTr="001C614E">
        <w:tc>
          <w:tcPr>
            <w:tcW w:w="5743" w:type="dxa"/>
          </w:tcPr>
          <w:p w:rsidR="00DC1500" w:rsidRPr="0027011A" w:rsidRDefault="00DC1500" w:rsidP="00DA6B59">
            <w:pPr>
              <w:spacing w:before="40" w:after="40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DC1500" w:rsidRPr="0027011A" w:rsidRDefault="00DC1500" w:rsidP="00DA6B59">
            <w:pPr>
              <w:spacing w:before="40" w:after="40"/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DC1500" w:rsidRPr="0027011A" w:rsidRDefault="00DC1500" w:rsidP="00166C04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DC1500" w:rsidRPr="0027011A" w:rsidRDefault="00DC1500" w:rsidP="00166C04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27011A" w:rsidTr="001C614E">
        <w:tc>
          <w:tcPr>
            <w:tcW w:w="5743" w:type="dxa"/>
          </w:tcPr>
          <w:p w:rsidR="00DC1500" w:rsidRPr="0027011A" w:rsidRDefault="00DC1500" w:rsidP="00DA6B59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DC1500" w:rsidRPr="0027011A" w:rsidRDefault="00DC1500" w:rsidP="0069722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1984" w:type="dxa"/>
          </w:tcPr>
          <w:p w:rsidR="00DC1500" w:rsidRPr="0027011A" w:rsidRDefault="00DC1500" w:rsidP="00166C0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DC1500" w:rsidRPr="0027011A" w:rsidRDefault="00DC1500" w:rsidP="00166C0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:rsidR="001E25EC" w:rsidRDefault="001E25EC" w:rsidP="0069722E">
      <w:pPr>
        <w:ind w:firstLine="709"/>
        <w:jc w:val="both"/>
        <w:rPr>
          <w:sz w:val="28"/>
          <w:szCs w:val="28"/>
          <w:lang w:val="uk-UA"/>
        </w:rPr>
      </w:pPr>
    </w:p>
    <w:p w:rsidR="00DC1500" w:rsidRPr="0027011A" w:rsidRDefault="00DC1500" w:rsidP="0069722E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3) оцінка впливу на сферу інтересів суб’єктів господарювання: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2835"/>
        <w:gridCol w:w="2835"/>
      </w:tblGrid>
      <w:tr w:rsidR="00DC1500" w:rsidRPr="0027011A" w:rsidTr="00B71219">
        <w:trPr>
          <w:trHeight w:val="28"/>
        </w:trPr>
        <w:tc>
          <w:tcPr>
            <w:tcW w:w="3991" w:type="dxa"/>
          </w:tcPr>
          <w:p w:rsidR="00DC1500" w:rsidRPr="0027011A" w:rsidRDefault="00DC1500" w:rsidP="00102EE6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2835" w:type="dxa"/>
          </w:tcPr>
          <w:p w:rsidR="00DC1500" w:rsidRPr="0027011A" w:rsidRDefault="00DC1500" w:rsidP="00102EE6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2835" w:type="dxa"/>
          </w:tcPr>
          <w:p w:rsidR="00DC1500" w:rsidRPr="0027011A" w:rsidRDefault="00DC1500" w:rsidP="00102EE6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194522" w:rsidRPr="003B247A" w:rsidTr="00B71219">
        <w:tc>
          <w:tcPr>
            <w:tcW w:w="3991" w:type="dxa"/>
          </w:tcPr>
          <w:p w:rsidR="00194522" w:rsidRPr="0027011A" w:rsidRDefault="00194522" w:rsidP="00DA6B59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194522" w:rsidRPr="0027011A" w:rsidRDefault="00194522" w:rsidP="00DA6B59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835" w:type="dxa"/>
          </w:tcPr>
          <w:p w:rsidR="00194522" w:rsidRPr="00B4279C" w:rsidRDefault="00194522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lang w:val="uk-UA"/>
              </w:rPr>
            </w:pPr>
            <w:r w:rsidRPr="004D2B0A">
              <w:rPr>
                <w:rFonts w:ascii="Times New Roman" w:hAnsi="Times New Roman" w:cs="Times New Roman"/>
                <w:lang w:val="uk-UA" w:eastAsia="en-US"/>
              </w:rPr>
              <w:t>Додаткових витрат немає</w:t>
            </w:r>
          </w:p>
          <w:p w:rsidR="00194522" w:rsidRPr="00667BCB" w:rsidRDefault="00194522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lang w:val="uk-UA" w:eastAsia="en-US"/>
              </w:rPr>
            </w:pPr>
          </w:p>
        </w:tc>
        <w:tc>
          <w:tcPr>
            <w:tcW w:w="2835" w:type="dxa"/>
          </w:tcPr>
          <w:p w:rsidR="00194522" w:rsidRPr="00151E87" w:rsidRDefault="00194522" w:rsidP="00194522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51E87">
              <w:rPr>
                <w:rFonts w:ascii="Times New Roman" w:hAnsi="Times New Roman" w:cs="Times New Roman"/>
                <w:lang w:val="uk-UA"/>
              </w:rPr>
              <w:t>Відсутн</w:t>
            </w:r>
            <w:r w:rsidR="00B207DF">
              <w:rPr>
                <w:rFonts w:ascii="Times New Roman" w:hAnsi="Times New Roman" w:cs="Times New Roman"/>
                <w:lang w:val="uk-UA"/>
              </w:rPr>
              <w:t>і</w:t>
            </w:r>
          </w:p>
          <w:p w:rsidR="00194522" w:rsidRPr="00151E87" w:rsidRDefault="00B207DF" w:rsidP="00194522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207DF">
              <w:rPr>
                <w:rFonts w:ascii="Times New Roman" w:hAnsi="Times New Roman" w:cs="Times New Roman"/>
                <w:lang w:val="uk-UA"/>
              </w:rPr>
              <w:t>підходи</w:t>
            </w:r>
            <w:r w:rsidR="009A7615">
              <w:rPr>
                <w:rFonts w:ascii="Times New Roman" w:hAnsi="Times New Roman" w:cs="Times New Roman"/>
                <w:lang w:val="uk-UA"/>
              </w:rPr>
              <w:t>,</w:t>
            </w:r>
            <w:r w:rsidRPr="00B207D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7615">
              <w:rPr>
                <w:rFonts w:ascii="Times New Roman" w:hAnsi="Times New Roman"/>
                <w:lang w:val="uk-UA"/>
              </w:rPr>
              <w:t>передбачені</w:t>
            </w:r>
            <w:r w:rsidR="009A7615" w:rsidRPr="00F877AA">
              <w:rPr>
                <w:rFonts w:ascii="Times New Roman" w:hAnsi="Times New Roman"/>
                <w:lang w:val="uk-UA"/>
              </w:rPr>
              <w:t xml:space="preserve"> Регламент</w:t>
            </w:r>
            <w:r w:rsidR="009A7615">
              <w:rPr>
                <w:rFonts w:ascii="Times New Roman" w:hAnsi="Times New Roman"/>
                <w:lang w:val="uk-UA"/>
              </w:rPr>
              <w:t>ом</w:t>
            </w:r>
            <w:r w:rsidR="009A7615" w:rsidRPr="00F877AA">
              <w:rPr>
                <w:rFonts w:ascii="Times New Roman" w:hAnsi="Times New Roman"/>
                <w:lang w:val="uk-UA"/>
              </w:rPr>
              <w:t xml:space="preserve"> Комісії ЄС</w:t>
            </w:r>
            <w:r w:rsidR="009A7615" w:rsidRPr="009A761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7615">
              <w:rPr>
                <w:rFonts w:ascii="Times New Roman" w:hAnsi="Times New Roman" w:cs="Times New Roman"/>
                <w:lang w:val="uk-UA"/>
              </w:rPr>
              <w:t>в частині</w:t>
            </w:r>
            <w:r w:rsidR="009A7615" w:rsidRPr="009A7615">
              <w:rPr>
                <w:rFonts w:ascii="Times New Roman" w:hAnsi="Times New Roman" w:cs="Times New Roman"/>
                <w:lang w:val="uk-UA"/>
              </w:rPr>
              <w:t xml:space="preserve"> забезпечення здійснення учасниками ринку діяльності експорту/імпорту електричної енергії та відшкодування оператору системи передачі України витрат (доходів) за надані послуги у період після приєднання ОСП України до ІТС механізму.</w:t>
            </w:r>
          </w:p>
        </w:tc>
      </w:tr>
      <w:tr w:rsidR="00DC1500" w:rsidRPr="0027011A" w:rsidTr="00B71219">
        <w:tc>
          <w:tcPr>
            <w:tcW w:w="3991" w:type="dxa"/>
          </w:tcPr>
          <w:p w:rsidR="00DC1500" w:rsidRPr="0027011A" w:rsidRDefault="00DC1500" w:rsidP="00DA6B59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DC1500" w:rsidRPr="0027011A" w:rsidRDefault="00DC1500" w:rsidP="00334726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835" w:type="dxa"/>
          </w:tcPr>
          <w:p w:rsidR="004A27D3" w:rsidRDefault="004A27D3" w:rsidP="004A27D3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37C6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Дозволить врегулювати питання </w:t>
            </w:r>
            <w:r w:rsidRPr="00712005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участі 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ОСП</w:t>
            </w:r>
            <w:r w:rsidRPr="00712005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України в ІТС механізмі</w:t>
            </w:r>
            <w:r w:rsidRPr="00F877A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відповідно до Регламенту Комісії ЄС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.</w:t>
            </w:r>
            <w:r w:rsidRPr="00437C6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</w:t>
            </w:r>
          </w:p>
          <w:p w:rsidR="00380389" w:rsidRPr="00EA48C0" w:rsidRDefault="004A27D3" w:rsidP="00EA48C0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Забезпечить відповідність</w:t>
            </w:r>
            <w:r w:rsidR="005C405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</w:t>
            </w:r>
            <w:r w:rsidR="005C4056" w:rsidRPr="00012C0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Порядків</w:t>
            </w:r>
            <w:r w:rsidRPr="00012C0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з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мінам до КСП в частині</w:t>
            </w:r>
            <w:r w:rsidR="00012C0D" w:rsidRPr="003B247A">
              <w:rPr>
                <w:rFonts w:ascii="Times New Roman" w:hAnsi="Times New Roman"/>
                <w:b w:val="0"/>
                <w:color w:val="auto"/>
                <w:szCs w:val="24"/>
                <w:lang w:val="en-US"/>
              </w:rPr>
              <w:t xml:space="preserve"> </w:t>
            </w:r>
            <w:r w:rsidRPr="00817D9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застосування ставки плати за послуги з передачі електричної </w:t>
            </w:r>
            <w:r w:rsidRPr="00817D9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lastRenderedPageBreak/>
              <w:t>енергії до/з країн периметру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</w:t>
            </w:r>
            <w:r w:rsidRPr="004A27D3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та відшкодування оператору системи передачі України витрат (доходів) за надані послуги у період після приєднання ОСП України до ІТС механізму.</w:t>
            </w:r>
          </w:p>
        </w:tc>
        <w:tc>
          <w:tcPr>
            <w:tcW w:w="2835" w:type="dxa"/>
          </w:tcPr>
          <w:p w:rsidR="00DC1500" w:rsidRPr="0027011A" w:rsidRDefault="00DC1500" w:rsidP="008F0321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27011A">
              <w:rPr>
                <w:rFonts w:ascii="Times New Roman" w:hAnsi="Times New Roman" w:cs="Times New Roman"/>
                <w:lang w:val="uk-UA"/>
              </w:rPr>
              <w:lastRenderedPageBreak/>
              <w:t>Відсутні</w:t>
            </w:r>
          </w:p>
        </w:tc>
      </w:tr>
    </w:tbl>
    <w:p w:rsidR="001E43DE" w:rsidRDefault="001E43DE" w:rsidP="002B1A64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p w:rsidR="00DC1500" w:rsidRPr="0027011A" w:rsidRDefault="00DC1500" w:rsidP="002B1A64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IV. Вибір найбільш оптимального альтернативного способу</w:t>
      </w:r>
      <w:r w:rsidRPr="0027011A">
        <w:rPr>
          <w:b/>
          <w:bCs/>
          <w:sz w:val="28"/>
          <w:szCs w:val="28"/>
          <w:lang w:val="uk-UA"/>
        </w:rPr>
        <w:br/>
        <w:t>досягнення цілей</w:t>
      </w:r>
    </w:p>
    <w:p w:rsidR="00787FB5" w:rsidRPr="0027011A" w:rsidRDefault="00787FB5" w:rsidP="00621A84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2835"/>
      </w:tblGrid>
      <w:tr w:rsidR="00DC1500" w:rsidRPr="0027011A" w:rsidTr="002418A4">
        <w:tc>
          <w:tcPr>
            <w:tcW w:w="4467" w:type="dxa"/>
          </w:tcPr>
          <w:p w:rsidR="00DC1500" w:rsidRPr="0027011A" w:rsidRDefault="00DC1500" w:rsidP="00AE0F0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Рейтинг результативності</w:t>
            </w:r>
            <w:r w:rsidRPr="0027011A">
              <w:rPr>
                <w:lang w:val="uk-UA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:rsidR="00DC1500" w:rsidRPr="0027011A" w:rsidRDefault="00DC1500" w:rsidP="00AE0F0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Бал результативності</w:t>
            </w:r>
            <w:r w:rsidRPr="0027011A">
              <w:rPr>
                <w:lang w:val="uk-UA"/>
              </w:rPr>
              <w:br/>
              <w:t>(за чотирибальною системою оцінки)</w:t>
            </w:r>
          </w:p>
        </w:tc>
        <w:tc>
          <w:tcPr>
            <w:tcW w:w="2835" w:type="dxa"/>
          </w:tcPr>
          <w:p w:rsidR="00DC1500" w:rsidRPr="0027011A" w:rsidRDefault="00DC1500" w:rsidP="00AE0F0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Коментарі</w:t>
            </w:r>
            <w:r w:rsidRPr="0027011A">
              <w:rPr>
                <w:lang w:val="uk-UA"/>
              </w:rPr>
              <w:br/>
              <w:t>щодо присвоєння відповідного бала</w:t>
            </w:r>
          </w:p>
        </w:tc>
      </w:tr>
      <w:tr w:rsidR="00DC1500" w:rsidRPr="0027011A" w:rsidTr="002418A4">
        <w:tc>
          <w:tcPr>
            <w:tcW w:w="4467" w:type="dxa"/>
          </w:tcPr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DC1500" w:rsidRPr="0027011A" w:rsidRDefault="00CA2FA3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:rsidR="00DC1500" w:rsidRPr="00B4279C" w:rsidRDefault="00CA2FA3" w:rsidP="00692C56">
            <w:pPr>
              <w:shd w:val="clear" w:color="auto" w:fill="FFFFFF"/>
              <w:jc w:val="both"/>
              <w:rPr>
                <w:bCs/>
                <w:strike/>
                <w:color w:val="FF0000"/>
                <w:lang w:val="uk-UA"/>
              </w:rPr>
            </w:pPr>
            <w:r w:rsidRPr="00B4279C">
              <w:rPr>
                <w:lang w:val="uk-UA"/>
              </w:rPr>
              <w:t>Не досягає поставленої мети</w:t>
            </w:r>
          </w:p>
        </w:tc>
      </w:tr>
      <w:tr w:rsidR="00DC1500" w:rsidRPr="0027011A" w:rsidTr="002418A4">
        <w:tc>
          <w:tcPr>
            <w:tcW w:w="4467" w:type="dxa"/>
          </w:tcPr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Обрана Альтернатива 2.</w:t>
            </w:r>
          </w:p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410" w:type="dxa"/>
          </w:tcPr>
          <w:p w:rsidR="00DC1500" w:rsidRPr="0027011A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:rsidR="00DC1500" w:rsidRPr="00D62C1F" w:rsidRDefault="009E2473" w:rsidP="009E2473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D62C1F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 xml:space="preserve">Дозволяє вирішити проблему </w:t>
            </w:r>
            <w:r w:rsidR="00CA2FA3" w:rsidRPr="00D62C1F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самим ефективним шляхом</w:t>
            </w:r>
            <w:r w:rsidR="00CA2FA3" w:rsidRPr="00D62C1F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3348E5" w:rsidRPr="0027011A" w:rsidRDefault="003348E5" w:rsidP="002418A4">
      <w:pPr>
        <w:ind w:left="-142"/>
        <w:jc w:val="both"/>
        <w:rPr>
          <w:b/>
          <w:bCs/>
          <w:sz w:val="28"/>
          <w:szCs w:val="28"/>
          <w:lang w:val="uk-UA"/>
        </w:rPr>
      </w:pP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2268"/>
        <w:gridCol w:w="1974"/>
        <w:gridCol w:w="2227"/>
      </w:tblGrid>
      <w:tr w:rsidR="00DC1500" w:rsidRPr="0027011A" w:rsidTr="00787FB5">
        <w:trPr>
          <w:trHeight w:val="1128"/>
          <w:jc w:val="center"/>
        </w:trPr>
        <w:tc>
          <w:tcPr>
            <w:tcW w:w="3353" w:type="dxa"/>
          </w:tcPr>
          <w:p w:rsidR="00DC1500" w:rsidRPr="0027011A" w:rsidRDefault="00DC1500" w:rsidP="002418A4">
            <w:pPr>
              <w:ind w:left="-359"/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268" w:type="dxa"/>
          </w:tcPr>
          <w:p w:rsidR="00DC1500" w:rsidRPr="0027011A" w:rsidRDefault="00DC1500" w:rsidP="002418A4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Вигоди (підсумок)</w:t>
            </w:r>
          </w:p>
        </w:tc>
        <w:tc>
          <w:tcPr>
            <w:tcW w:w="1974" w:type="dxa"/>
          </w:tcPr>
          <w:p w:rsidR="00DC1500" w:rsidRPr="0027011A" w:rsidRDefault="00DC1500" w:rsidP="002418A4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227" w:type="dxa"/>
          </w:tcPr>
          <w:p w:rsidR="00DC1500" w:rsidRPr="0027011A" w:rsidRDefault="00DC1500" w:rsidP="002418A4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30098" w:rsidRPr="0027011A" w:rsidTr="00230098">
        <w:trPr>
          <w:jc w:val="center"/>
        </w:trPr>
        <w:tc>
          <w:tcPr>
            <w:tcW w:w="3353" w:type="dxa"/>
          </w:tcPr>
          <w:p w:rsidR="00230098" w:rsidRPr="0027011A" w:rsidRDefault="00230098" w:rsidP="00230098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2268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1974" w:type="dxa"/>
          </w:tcPr>
          <w:p w:rsidR="00787FB5" w:rsidRPr="00CA2FA3" w:rsidRDefault="00CA2FA3" w:rsidP="0034012B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highlight w:val="yellow"/>
                <w:lang w:val="uk-UA"/>
              </w:rPr>
            </w:pPr>
            <w:r w:rsidRPr="00B4279C">
              <w:rPr>
                <w:rFonts w:ascii="Times New Roman" w:hAnsi="Times New Roman" w:cs="Times New Roman"/>
                <w:lang w:val="uk-UA"/>
              </w:rPr>
              <w:t>Відсутні</w:t>
            </w:r>
            <w:r w:rsidRPr="00B4279C">
              <w:rPr>
                <w:rFonts w:ascii="Times New Roman" w:eastAsia="Times New Roman" w:hAnsi="Times New Roman" w:cs="Times New Roman"/>
                <w:strike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27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 xml:space="preserve">Не вирішує проблему </w:t>
            </w:r>
          </w:p>
        </w:tc>
      </w:tr>
      <w:tr w:rsidR="00230098" w:rsidRPr="0027011A" w:rsidTr="00787FB5">
        <w:trPr>
          <w:trHeight w:val="175"/>
          <w:jc w:val="center"/>
        </w:trPr>
        <w:tc>
          <w:tcPr>
            <w:tcW w:w="3353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b/>
                <w:lang w:val="uk-UA"/>
              </w:rPr>
              <w:t>Обрана Альтернатива 2.</w:t>
            </w:r>
            <w:r w:rsidRPr="0027011A">
              <w:rPr>
                <w:lang w:val="uk-UA"/>
              </w:rPr>
              <w:t xml:space="preserve"> Внесення змін до чинного регуляторного акта</w:t>
            </w:r>
          </w:p>
        </w:tc>
        <w:tc>
          <w:tcPr>
            <w:tcW w:w="2268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Відповідає завданням, що поставлені для вирішення існуючої проблеми</w:t>
            </w:r>
          </w:p>
        </w:tc>
        <w:tc>
          <w:tcPr>
            <w:tcW w:w="1974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2227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Дозволяє досягт</w:t>
            </w:r>
            <w:r w:rsidR="00D62C1F">
              <w:rPr>
                <w:lang w:val="uk-UA"/>
              </w:rPr>
              <w:t xml:space="preserve">и цілей державного регулювання </w:t>
            </w:r>
            <w:r w:rsidRPr="0027011A">
              <w:rPr>
                <w:lang w:val="uk-UA"/>
              </w:rPr>
              <w:t>найбільш ефективним шляхом</w:t>
            </w:r>
          </w:p>
        </w:tc>
      </w:tr>
    </w:tbl>
    <w:p w:rsidR="00DC1500" w:rsidRPr="0027011A" w:rsidRDefault="00DC1500" w:rsidP="00E51783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DC1500" w:rsidRPr="0027011A" w:rsidTr="00B727DF">
        <w:trPr>
          <w:jc w:val="center"/>
        </w:trPr>
        <w:tc>
          <w:tcPr>
            <w:tcW w:w="3031" w:type="dxa"/>
          </w:tcPr>
          <w:p w:rsidR="00DC1500" w:rsidRPr="0027011A" w:rsidRDefault="00DC1500" w:rsidP="00E4253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</w:t>
            </w:r>
          </w:p>
        </w:tc>
        <w:tc>
          <w:tcPr>
            <w:tcW w:w="4528" w:type="dxa"/>
          </w:tcPr>
          <w:p w:rsidR="00DC1500" w:rsidRPr="0027011A" w:rsidRDefault="00DC1500" w:rsidP="00E4253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134" w:type="dxa"/>
          </w:tcPr>
          <w:p w:rsidR="00DC1500" w:rsidRPr="0027011A" w:rsidRDefault="00DC1500" w:rsidP="00E4253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DC1500" w:rsidRPr="0027011A" w:rsidTr="00B727DF">
        <w:trPr>
          <w:jc w:val="center"/>
        </w:trPr>
        <w:tc>
          <w:tcPr>
            <w:tcW w:w="3031" w:type="dxa"/>
          </w:tcPr>
          <w:p w:rsidR="00DC1500" w:rsidRPr="0027011A" w:rsidRDefault="00DC1500" w:rsidP="00E4253E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4528" w:type="dxa"/>
          </w:tcPr>
          <w:p w:rsidR="00DC1500" w:rsidRPr="0027011A" w:rsidRDefault="00DC1500" w:rsidP="00E4253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:rsidR="00DC1500" w:rsidRPr="0027011A" w:rsidRDefault="00DC1500" w:rsidP="00E4253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Відсутній</w:t>
            </w:r>
          </w:p>
        </w:tc>
      </w:tr>
      <w:tr w:rsidR="00DC1500" w:rsidRPr="0027011A" w:rsidTr="00135B84">
        <w:trPr>
          <w:trHeight w:val="1200"/>
          <w:jc w:val="center"/>
        </w:trPr>
        <w:tc>
          <w:tcPr>
            <w:tcW w:w="3031" w:type="dxa"/>
          </w:tcPr>
          <w:p w:rsidR="00DC1500" w:rsidRPr="0027011A" w:rsidRDefault="00DC1500" w:rsidP="00E4253E">
            <w:pPr>
              <w:rPr>
                <w:lang w:val="uk-UA"/>
              </w:rPr>
            </w:pPr>
            <w:r w:rsidRPr="0027011A">
              <w:rPr>
                <w:b/>
                <w:lang w:val="uk-UA"/>
              </w:rPr>
              <w:t>Обрана Альтернатива 2.</w:t>
            </w:r>
            <w:r w:rsidRPr="0027011A">
              <w:rPr>
                <w:lang w:val="uk-UA"/>
              </w:rPr>
              <w:t xml:space="preserve"> </w:t>
            </w:r>
            <w:r w:rsidR="000F701B"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4528" w:type="dxa"/>
          </w:tcPr>
          <w:p w:rsidR="00615B36" w:rsidRPr="00B4279C" w:rsidRDefault="00A63596" w:rsidP="00A6359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="00CA2FA3" w:rsidRPr="00B4279C">
              <w:rPr>
                <w:lang w:val="uk-UA"/>
              </w:rPr>
              <w:t>озволяє вирішити</w:t>
            </w:r>
            <w:r w:rsidR="00615B36" w:rsidRPr="00B4279C">
              <w:rPr>
                <w:sz w:val="22"/>
                <w:szCs w:val="22"/>
                <w:lang w:val="uk-UA"/>
              </w:rPr>
              <w:t xml:space="preserve"> </w:t>
            </w:r>
            <w:r w:rsidR="00731C04" w:rsidRPr="00B4279C">
              <w:rPr>
                <w:sz w:val="22"/>
                <w:szCs w:val="22"/>
                <w:lang w:val="uk-UA"/>
              </w:rPr>
              <w:t xml:space="preserve">проблему </w:t>
            </w:r>
            <w:r w:rsidR="00CA2FA3" w:rsidRPr="00B4279C">
              <w:rPr>
                <w:lang w:val="uk-UA"/>
              </w:rPr>
              <w:t>з найменшими витратами ресурсів, забезпечує досягнення цілей державного регулювання.</w:t>
            </w:r>
          </w:p>
        </w:tc>
        <w:tc>
          <w:tcPr>
            <w:tcW w:w="2134" w:type="dxa"/>
          </w:tcPr>
          <w:p w:rsidR="00DC1500" w:rsidRPr="0027011A" w:rsidRDefault="00DC1500" w:rsidP="00E4253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Відсутній</w:t>
            </w:r>
          </w:p>
        </w:tc>
      </w:tr>
    </w:tbl>
    <w:p w:rsidR="00DC1500" w:rsidRDefault="00DC1500" w:rsidP="00417143">
      <w:pPr>
        <w:jc w:val="center"/>
        <w:rPr>
          <w:b/>
          <w:bCs/>
          <w:sz w:val="20"/>
          <w:szCs w:val="28"/>
          <w:lang w:val="uk-UA"/>
        </w:rPr>
      </w:pPr>
    </w:p>
    <w:p w:rsidR="002B1A64" w:rsidRPr="0027011A" w:rsidRDefault="002B1A64" w:rsidP="00417143">
      <w:pPr>
        <w:jc w:val="center"/>
        <w:rPr>
          <w:b/>
          <w:bCs/>
          <w:sz w:val="20"/>
          <w:szCs w:val="28"/>
          <w:lang w:val="uk-UA"/>
        </w:rPr>
      </w:pPr>
    </w:p>
    <w:p w:rsidR="00DC1500" w:rsidRPr="0027011A" w:rsidRDefault="00DC1500" w:rsidP="00417143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lastRenderedPageBreak/>
        <w:t>V. Механізми та заходи, які забезпечать розв’язання визначеної проблеми</w:t>
      </w:r>
    </w:p>
    <w:p w:rsidR="00DC1500" w:rsidRPr="0027011A" w:rsidRDefault="00DC1500" w:rsidP="00417143">
      <w:pPr>
        <w:jc w:val="center"/>
        <w:rPr>
          <w:b/>
          <w:bCs/>
          <w:sz w:val="28"/>
          <w:szCs w:val="28"/>
          <w:lang w:val="uk-UA"/>
        </w:rPr>
      </w:pPr>
    </w:p>
    <w:p w:rsidR="00651DEB" w:rsidRPr="00651DEB" w:rsidRDefault="00242785" w:rsidP="00651DEB">
      <w:pPr>
        <w:ind w:firstLine="709"/>
        <w:jc w:val="both"/>
        <w:rPr>
          <w:sz w:val="28"/>
          <w:szCs w:val="28"/>
          <w:lang w:val="uk-UA"/>
        </w:rPr>
      </w:pPr>
      <w:r w:rsidRPr="00211C2F">
        <w:rPr>
          <w:sz w:val="28"/>
          <w:szCs w:val="28"/>
          <w:lang w:val="uk-UA"/>
        </w:rPr>
        <w:t>Прийняття Проєкту постанови дозволить</w:t>
      </w:r>
      <w:r w:rsidR="00381637">
        <w:rPr>
          <w:sz w:val="28"/>
          <w:szCs w:val="28"/>
          <w:lang w:val="uk-UA"/>
        </w:rPr>
        <w:t xml:space="preserve"> </w:t>
      </w:r>
      <w:r w:rsidR="00651DEB" w:rsidRPr="00711D31">
        <w:rPr>
          <w:sz w:val="28"/>
          <w:szCs w:val="28"/>
          <w:lang w:val="uk-UA"/>
        </w:rPr>
        <w:t>приве</w:t>
      </w:r>
      <w:r w:rsidR="00651DEB">
        <w:rPr>
          <w:sz w:val="28"/>
          <w:szCs w:val="28"/>
          <w:lang w:val="uk-UA"/>
        </w:rPr>
        <w:t xml:space="preserve">сти </w:t>
      </w:r>
      <w:r w:rsidR="00651DEB" w:rsidRPr="00711D31">
        <w:rPr>
          <w:sz w:val="28"/>
          <w:szCs w:val="28"/>
          <w:lang w:val="uk-UA"/>
        </w:rPr>
        <w:t>положен</w:t>
      </w:r>
      <w:r w:rsidR="00651DEB">
        <w:rPr>
          <w:sz w:val="28"/>
          <w:szCs w:val="28"/>
          <w:lang w:val="uk-UA"/>
        </w:rPr>
        <w:t>ня</w:t>
      </w:r>
      <w:r w:rsidR="00651DEB" w:rsidRPr="00711D31">
        <w:rPr>
          <w:sz w:val="28"/>
          <w:szCs w:val="28"/>
          <w:lang w:val="uk-UA"/>
        </w:rPr>
        <w:t xml:space="preserve"> Порядку </w:t>
      </w:r>
      <w:r w:rsidR="00651DEB">
        <w:rPr>
          <w:sz w:val="28"/>
          <w:szCs w:val="28"/>
          <w:lang w:val="uk-UA"/>
        </w:rPr>
        <w:br/>
        <w:t xml:space="preserve">№ </w:t>
      </w:r>
      <w:r w:rsidR="00651DEB" w:rsidRPr="00711D31">
        <w:rPr>
          <w:sz w:val="28"/>
          <w:szCs w:val="28"/>
          <w:lang w:val="uk-UA"/>
        </w:rPr>
        <w:t>585</w:t>
      </w:r>
      <w:r w:rsidR="00651DEB" w:rsidRPr="0024170D">
        <w:rPr>
          <w:sz w:val="28"/>
          <w:szCs w:val="28"/>
          <w:lang w:val="uk-UA"/>
        </w:rPr>
        <w:t xml:space="preserve"> та </w:t>
      </w:r>
      <w:r w:rsidR="00651DEB" w:rsidRPr="00711D31">
        <w:rPr>
          <w:sz w:val="28"/>
          <w:szCs w:val="28"/>
          <w:lang w:val="uk-UA"/>
        </w:rPr>
        <w:t>Порядку № 586 у відповідність до змін до КСП</w:t>
      </w:r>
      <w:r w:rsidR="0024170D">
        <w:rPr>
          <w:sz w:val="28"/>
          <w:szCs w:val="28"/>
          <w:lang w:val="uk-UA"/>
        </w:rPr>
        <w:t xml:space="preserve"> </w:t>
      </w:r>
      <w:r w:rsidR="0024170D" w:rsidRPr="0024170D">
        <w:rPr>
          <w:sz w:val="28"/>
          <w:szCs w:val="28"/>
          <w:lang w:val="uk-UA"/>
        </w:rPr>
        <w:t>(зміст яких відповідає положенням Регламенту Комісії ЄС)</w:t>
      </w:r>
      <w:r w:rsidR="00651DEB">
        <w:rPr>
          <w:sz w:val="28"/>
          <w:szCs w:val="28"/>
          <w:lang w:val="uk-UA"/>
        </w:rPr>
        <w:t xml:space="preserve"> </w:t>
      </w:r>
      <w:r w:rsidR="0024170D">
        <w:rPr>
          <w:sz w:val="28"/>
          <w:szCs w:val="28"/>
          <w:lang w:val="uk-UA"/>
        </w:rPr>
        <w:t xml:space="preserve">в </w:t>
      </w:r>
      <w:r w:rsidR="00651DEB" w:rsidRPr="0024170D">
        <w:rPr>
          <w:sz w:val="28"/>
          <w:szCs w:val="28"/>
          <w:lang w:val="uk-UA"/>
        </w:rPr>
        <w:t>частині визначення обсягів передачі електричної енергії та обсягів відпущеної електричної енергії виробниками електричної енергії у періоди до та після приєднання оператора системи передачі України до ІТС механізму, а також застосування ставки плати за послуги з</w:t>
      </w:r>
      <w:r w:rsidR="00651DEB" w:rsidRPr="009A7615">
        <w:rPr>
          <w:bCs/>
          <w:sz w:val="28"/>
          <w:szCs w:val="28"/>
          <w:lang w:val="uk-UA"/>
        </w:rPr>
        <w:t xml:space="preserve"> передачі електричної енергії до/з країн периметру</w:t>
      </w:r>
      <w:r w:rsidR="00651DEB">
        <w:rPr>
          <w:bCs/>
          <w:sz w:val="28"/>
          <w:szCs w:val="28"/>
          <w:lang w:val="uk-UA"/>
        </w:rPr>
        <w:t xml:space="preserve"> та </w:t>
      </w:r>
      <w:r w:rsidR="00651DEB" w:rsidRPr="00916839">
        <w:rPr>
          <w:bCs/>
          <w:sz w:val="28"/>
          <w:szCs w:val="28"/>
          <w:lang w:val="uk-UA"/>
        </w:rPr>
        <w:t>відшкодування оператору системи передачі України витрат (доходів) за надані послуги у період після приєднання ОСП України до ІТС механізму.</w:t>
      </w:r>
    </w:p>
    <w:p w:rsidR="00DC1500" w:rsidRPr="0027011A" w:rsidRDefault="00DC1500" w:rsidP="00A63596">
      <w:pPr>
        <w:pStyle w:val="2"/>
        <w:spacing w:before="0" w:beforeAutospacing="0" w:after="0" w:afterAutospacing="0"/>
        <w:ind w:right="-1"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E25EC">
        <w:rPr>
          <w:rFonts w:ascii="Times New Roman" w:eastAsia="SimSun" w:hAnsi="Times New Roman"/>
          <w:b w:val="0"/>
          <w:sz w:val="28"/>
          <w:szCs w:val="28"/>
          <w:lang w:val="uk-UA" w:bidi="ta-IN"/>
        </w:rPr>
        <w:t>Впливу зовнішніх факторів, що можуть мати негативний вплив на</w:t>
      </w:r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 виконання вимог регуляторного акта, не очікується.</w:t>
      </w:r>
    </w:p>
    <w:p w:rsidR="00DC1500" w:rsidRPr="0027011A" w:rsidRDefault="00DC1500" w:rsidP="00A63596">
      <w:pPr>
        <w:pStyle w:val="2"/>
        <w:spacing w:before="0" w:beforeAutospacing="0" w:after="0" w:afterAutospacing="0"/>
        <w:ind w:right="-1"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27011A">
        <w:rPr>
          <w:rFonts w:ascii="Times New Roman" w:hAnsi="Times New Roman"/>
          <w:b w:val="0"/>
          <w:sz w:val="28"/>
          <w:szCs w:val="28"/>
          <w:lang w:val="uk-UA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DC1500" w:rsidRPr="0027011A" w:rsidRDefault="00DC1500" w:rsidP="00A63596">
      <w:pPr>
        <w:pStyle w:val="2"/>
        <w:spacing w:before="0" w:beforeAutospacing="0" w:after="0" w:afterAutospacing="0"/>
        <w:ind w:right="-1"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 </w:t>
      </w:r>
    </w:p>
    <w:p w:rsidR="00DC1500" w:rsidRDefault="00DC1500" w:rsidP="00B727DF">
      <w:pPr>
        <w:widowControl w:val="0"/>
        <w:jc w:val="both"/>
        <w:rPr>
          <w:bCs/>
          <w:sz w:val="28"/>
          <w:szCs w:val="28"/>
          <w:lang w:val="uk-UA"/>
        </w:rPr>
      </w:pPr>
    </w:p>
    <w:p w:rsidR="00DC1500" w:rsidRPr="0027011A" w:rsidRDefault="00DC1500" w:rsidP="00417143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VI. Обґрунтування запропонованого</w:t>
      </w:r>
      <w:bookmarkStart w:id="2" w:name="_GoBack"/>
      <w:bookmarkEnd w:id="2"/>
      <w:r w:rsidRPr="0027011A">
        <w:rPr>
          <w:b/>
          <w:bCs/>
          <w:sz w:val="28"/>
          <w:szCs w:val="28"/>
          <w:lang w:val="uk-UA"/>
        </w:rPr>
        <w:t xml:space="preserve"> строку дії регуляторного акта</w:t>
      </w:r>
    </w:p>
    <w:p w:rsidR="00DC1500" w:rsidRPr="00D62C1F" w:rsidRDefault="00DC1500" w:rsidP="00B727DF">
      <w:pPr>
        <w:widowControl w:val="0"/>
        <w:rPr>
          <w:bCs/>
          <w:sz w:val="28"/>
          <w:szCs w:val="28"/>
          <w:lang w:val="uk-UA"/>
        </w:rPr>
      </w:pPr>
    </w:p>
    <w:p w:rsidR="00DC1500" w:rsidRPr="0027011A" w:rsidRDefault="007F7127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>Строк</w:t>
      </w:r>
      <w:r w:rsidRPr="002701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DC1500" w:rsidRPr="002701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дії </w:t>
      </w:r>
      <w:proofErr w:type="spellStart"/>
      <w:r w:rsidR="00DC1500" w:rsidRPr="0027011A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="00DC1500" w:rsidRPr="002701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 обмежений та може бути змінений у разі внесення відповідних змін до законодавства.</w:t>
      </w:r>
    </w:p>
    <w:p w:rsidR="008723D9" w:rsidRPr="0027011A" w:rsidRDefault="008723D9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DC1500" w:rsidRPr="0027011A" w:rsidRDefault="00DC1500" w:rsidP="0041714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DC1500" w:rsidRPr="0027011A" w:rsidRDefault="00DC1500" w:rsidP="0041714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DC1500" w:rsidRPr="0027011A" w:rsidRDefault="00DC1500" w:rsidP="00417143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Після набрання чинності постанов</w:t>
      </w:r>
      <w:r w:rsidR="00D62C1F">
        <w:rPr>
          <w:sz w:val="28"/>
          <w:szCs w:val="28"/>
          <w:lang w:val="uk-UA"/>
        </w:rPr>
        <w:t>и</w:t>
      </w:r>
      <w:r w:rsidRPr="0027011A">
        <w:rPr>
          <w:sz w:val="28"/>
          <w:szCs w:val="28"/>
          <w:lang w:val="uk-UA"/>
        </w:rPr>
        <w:t xml:space="preserve"> НКРЕКП</w:t>
      </w:r>
      <w:r w:rsidR="00AA0E7F" w:rsidRPr="0027011A">
        <w:rPr>
          <w:sz w:val="28"/>
          <w:szCs w:val="28"/>
          <w:lang w:val="uk-UA"/>
        </w:rPr>
        <w:t xml:space="preserve"> </w:t>
      </w:r>
      <w:r w:rsidR="001E25EC" w:rsidRPr="00C10F00">
        <w:rPr>
          <w:sz w:val="28"/>
          <w:szCs w:val="26"/>
          <w:lang w:val="uk-UA"/>
        </w:rPr>
        <w:t>«Про затвердження Змін до деяких постанов НКРЕКП»</w:t>
      </w:r>
      <w:r w:rsidR="00AA0E7F" w:rsidRPr="0027011A">
        <w:rPr>
          <w:sz w:val="28"/>
          <w:szCs w:val="28"/>
          <w:lang w:val="uk-UA"/>
        </w:rPr>
        <w:t xml:space="preserve"> </w:t>
      </w:r>
      <w:r w:rsidRPr="0027011A">
        <w:rPr>
          <w:sz w:val="28"/>
          <w:szCs w:val="28"/>
          <w:lang w:val="uk-UA"/>
        </w:rPr>
        <w:t>її результативність визначатиметься такими показниками:</w:t>
      </w:r>
    </w:p>
    <w:p w:rsidR="00A65E7D" w:rsidRPr="00A65E7D" w:rsidRDefault="00A65E7D" w:rsidP="00A65E7D">
      <w:pPr>
        <w:ind w:firstLine="709"/>
        <w:jc w:val="both"/>
        <w:rPr>
          <w:sz w:val="28"/>
          <w:szCs w:val="28"/>
          <w:lang w:val="uk-UA"/>
        </w:rPr>
      </w:pPr>
      <w:r w:rsidRPr="00151E87">
        <w:rPr>
          <w:sz w:val="28"/>
          <w:szCs w:val="28"/>
        </w:rPr>
        <w:t>1) </w:t>
      </w:r>
      <w:r w:rsidRPr="00A65E7D">
        <w:rPr>
          <w:sz w:val="28"/>
          <w:szCs w:val="28"/>
          <w:lang w:val="uk-UA"/>
        </w:rPr>
        <w:t xml:space="preserve">розміром надходжень до державного та місцевих бюджетів і державних цільових фондів, пов’язаних з дією акта – не передбачаються; </w:t>
      </w:r>
    </w:p>
    <w:p w:rsidR="00A65E7D" w:rsidRPr="00A65E7D" w:rsidRDefault="00A65E7D" w:rsidP="00A65E7D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 xml:space="preserve">2) кількістю суб’єктів господарювання та/або фізичних осіб, на яких поширюватиметься дія акта – дія акта поширюватиметься на оператора системи передачі, який здійснює функції з надання послуги з передачі електричної </w:t>
      </w:r>
      <w:r w:rsidR="001D07FF">
        <w:rPr>
          <w:sz w:val="28"/>
          <w:szCs w:val="28"/>
          <w:lang w:val="uk-UA"/>
        </w:rPr>
        <w:t xml:space="preserve">енергії </w:t>
      </w:r>
      <w:r w:rsidRPr="00A65E7D">
        <w:rPr>
          <w:sz w:val="28"/>
          <w:szCs w:val="28"/>
          <w:lang w:val="uk-UA"/>
        </w:rPr>
        <w:t>на недискримінаційних засадах, користувачів, які уклали з оператором системи передачі договір про надання послуг з передачі електричної енергії.</w:t>
      </w:r>
    </w:p>
    <w:p w:rsidR="00A65E7D" w:rsidRPr="00A65E7D" w:rsidRDefault="00A65E7D" w:rsidP="00A65E7D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 xml:space="preserve">3) рівнем поінформованості суб’єктів господарювання та/або фізичних осіб з основних положень акта – середній. </w:t>
      </w:r>
    </w:p>
    <w:p w:rsidR="000A5843" w:rsidRPr="000A5843" w:rsidRDefault="000A5843" w:rsidP="00A65E7D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>Відповідно до статті 15 Закону України «Про Національну</w:t>
      </w:r>
      <w:r w:rsidRPr="000A5843">
        <w:rPr>
          <w:sz w:val="28"/>
          <w:szCs w:val="28"/>
          <w:lang w:val="uk-UA"/>
        </w:rPr>
        <w:t xml:space="preserve"> комісію, що здійснює державне регулювання у сферах енергетики та комунальних послуг» Проєкт постанови, аналіз впливу та повідомлення про оприлюднення розміщено на офіційному вебсайті Національної комісії, що здійснює державне </w:t>
      </w:r>
      <w:r w:rsidRPr="000A5843">
        <w:rPr>
          <w:sz w:val="28"/>
          <w:szCs w:val="28"/>
          <w:lang w:val="uk-UA"/>
        </w:rPr>
        <w:lastRenderedPageBreak/>
        <w:t xml:space="preserve">регулювання у сферах енергетики та комунальних послуг, в мережі Інтернет http://nerc.gov.ua. </w:t>
      </w:r>
    </w:p>
    <w:p w:rsidR="000A5843" w:rsidRPr="000A5843" w:rsidRDefault="000A5843" w:rsidP="000A5843">
      <w:pPr>
        <w:ind w:firstLine="540"/>
        <w:jc w:val="both"/>
        <w:rPr>
          <w:sz w:val="28"/>
          <w:szCs w:val="28"/>
          <w:lang w:val="uk-UA"/>
        </w:rPr>
      </w:pPr>
      <w:r w:rsidRPr="000A5843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</w:t>
      </w:r>
      <w:proofErr w:type="spellStart"/>
      <w:r w:rsidRPr="000A5843">
        <w:rPr>
          <w:sz w:val="28"/>
          <w:szCs w:val="28"/>
          <w:lang w:val="uk-UA"/>
        </w:rPr>
        <w:t>проєкту</w:t>
      </w:r>
      <w:proofErr w:type="spellEnd"/>
      <w:r w:rsidRPr="000A5843">
        <w:rPr>
          <w:sz w:val="28"/>
          <w:szCs w:val="28"/>
          <w:lang w:val="uk-UA"/>
        </w:rPr>
        <w:t xml:space="preserve"> регуляторного </w:t>
      </w:r>
      <w:proofErr w:type="spellStart"/>
      <w:r w:rsidRPr="000A5843">
        <w:rPr>
          <w:sz w:val="28"/>
          <w:szCs w:val="28"/>
          <w:lang w:val="uk-UA"/>
        </w:rPr>
        <w:t>акта</w:t>
      </w:r>
      <w:proofErr w:type="spellEnd"/>
      <w:r w:rsidRPr="000A5843">
        <w:rPr>
          <w:sz w:val="28"/>
          <w:szCs w:val="28"/>
          <w:lang w:val="uk-UA"/>
        </w:rPr>
        <w:t xml:space="preserve"> і надаватиме роз’яснення щодо застосування акта, який буде оприлюднено на офіційному вебсайті НКРЕКП після його прийняття. </w:t>
      </w:r>
    </w:p>
    <w:p w:rsidR="008723D9" w:rsidRDefault="008723D9" w:rsidP="00417143">
      <w:pPr>
        <w:ind w:firstLine="709"/>
        <w:jc w:val="both"/>
        <w:rPr>
          <w:b/>
          <w:bCs/>
          <w:strike/>
          <w:sz w:val="28"/>
          <w:szCs w:val="28"/>
          <w:lang w:val="uk-UA"/>
        </w:rPr>
      </w:pPr>
    </w:p>
    <w:p w:rsidR="00DC1500" w:rsidRPr="0027011A" w:rsidRDefault="00DC1500" w:rsidP="00417143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VIII. Очікувані результати прийняття регуляторного акта</w:t>
      </w:r>
    </w:p>
    <w:p w:rsidR="00DC1500" w:rsidRPr="0027011A" w:rsidRDefault="00DC1500" w:rsidP="006A11D4">
      <w:pPr>
        <w:jc w:val="both"/>
        <w:rPr>
          <w:sz w:val="28"/>
          <w:szCs w:val="28"/>
          <w:lang w:val="uk-UA"/>
        </w:rPr>
      </w:pPr>
    </w:p>
    <w:p w:rsidR="0024170D" w:rsidRPr="0099520B" w:rsidRDefault="00DD4DF1" w:rsidP="002417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Очікуваним р</w:t>
      </w:r>
      <w:r w:rsidR="00E36CF3" w:rsidRPr="0027011A">
        <w:rPr>
          <w:sz w:val="28"/>
          <w:szCs w:val="28"/>
          <w:lang w:val="uk-UA"/>
        </w:rPr>
        <w:t>езультатом п</w:t>
      </w:r>
      <w:r w:rsidR="00DC1500" w:rsidRPr="0027011A">
        <w:rPr>
          <w:sz w:val="28"/>
          <w:szCs w:val="28"/>
          <w:lang w:val="uk-UA"/>
        </w:rPr>
        <w:t xml:space="preserve">рийняття постанови НКРЕКП </w:t>
      </w:r>
      <w:r w:rsidR="001E25EC" w:rsidRPr="00C10F00">
        <w:rPr>
          <w:sz w:val="28"/>
          <w:szCs w:val="26"/>
          <w:lang w:val="uk-UA"/>
        </w:rPr>
        <w:t>«Про затвердження Змін до деяких постанов НКРЕКП»</w:t>
      </w:r>
      <w:r w:rsidR="00D7105C" w:rsidRPr="0027011A">
        <w:rPr>
          <w:sz w:val="28"/>
          <w:szCs w:val="28"/>
          <w:lang w:val="uk-UA"/>
        </w:rPr>
        <w:t xml:space="preserve"> </w:t>
      </w:r>
      <w:r w:rsidR="00767499" w:rsidRPr="0027011A">
        <w:rPr>
          <w:sz w:val="28"/>
          <w:szCs w:val="28"/>
          <w:lang w:val="uk-UA"/>
        </w:rPr>
        <w:t xml:space="preserve">має стати удосконалення та актуалізація норм </w:t>
      </w:r>
      <w:r w:rsidR="001E25EC" w:rsidRPr="00147D0A">
        <w:rPr>
          <w:rFonts w:eastAsia="SimSun"/>
          <w:sz w:val="28"/>
          <w:szCs w:val="28"/>
          <w:lang w:val="uk-UA" w:bidi="ta-IN"/>
        </w:rPr>
        <w:t>Порядк</w:t>
      </w:r>
      <w:r w:rsidR="00046943">
        <w:rPr>
          <w:rFonts w:eastAsia="SimSun"/>
          <w:sz w:val="28"/>
          <w:szCs w:val="28"/>
          <w:lang w:val="uk-UA" w:bidi="ta-IN"/>
        </w:rPr>
        <w:t>ів</w:t>
      </w:r>
      <w:r w:rsidR="001E25EC" w:rsidRPr="00147D0A">
        <w:rPr>
          <w:rFonts w:eastAsia="SimSun"/>
          <w:sz w:val="28"/>
          <w:szCs w:val="28"/>
          <w:lang w:val="uk-UA" w:bidi="ta-IN"/>
        </w:rPr>
        <w:t xml:space="preserve"> </w:t>
      </w:r>
      <w:r w:rsidR="0024170D">
        <w:rPr>
          <w:rFonts w:eastAsia="SimSun"/>
          <w:sz w:val="28"/>
          <w:szCs w:val="28"/>
          <w:lang w:val="uk-UA" w:bidi="ta-IN"/>
        </w:rPr>
        <w:t>№ 585</w:t>
      </w:r>
      <w:r w:rsidR="00046943">
        <w:rPr>
          <w:rFonts w:eastAsia="SimSun"/>
          <w:sz w:val="28"/>
          <w:szCs w:val="28"/>
          <w:lang w:val="uk-UA" w:bidi="ta-IN"/>
        </w:rPr>
        <w:t xml:space="preserve"> та № </w:t>
      </w:r>
      <w:r w:rsidR="0024170D">
        <w:rPr>
          <w:rFonts w:eastAsia="SimSun"/>
          <w:sz w:val="28"/>
          <w:szCs w:val="28"/>
          <w:lang w:val="uk-UA" w:bidi="ta-IN"/>
        </w:rPr>
        <w:t xml:space="preserve">586 </w:t>
      </w:r>
      <w:r w:rsidR="00767499" w:rsidRPr="0024170D">
        <w:rPr>
          <w:sz w:val="28"/>
          <w:szCs w:val="26"/>
          <w:lang w:val="uk-UA"/>
        </w:rPr>
        <w:t xml:space="preserve">відповідно </w:t>
      </w:r>
      <w:r w:rsidR="009224DF" w:rsidRPr="0024170D">
        <w:rPr>
          <w:sz w:val="28"/>
          <w:szCs w:val="26"/>
          <w:lang w:val="uk-UA"/>
        </w:rPr>
        <w:t>до</w:t>
      </w:r>
      <w:r w:rsidR="00012247" w:rsidRPr="0024170D">
        <w:rPr>
          <w:sz w:val="28"/>
          <w:szCs w:val="26"/>
          <w:lang w:val="uk-UA"/>
        </w:rPr>
        <w:t xml:space="preserve"> змін до КСП</w:t>
      </w:r>
      <w:r w:rsidR="0024170D" w:rsidRPr="0024170D">
        <w:rPr>
          <w:sz w:val="28"/>
          <w:szCs w:val="26"/>
          <w:lang w:val="uk-UA"/>
        </w:rPr>
        <w:t xml:space="preserve"> (зміст яких відповідає положенням Регламенту Комісії ЄС)</w:t>
      </w:r>
      <w:r w:rsidR="00046943">
        <w:rPr>
          <w:sz w:val="28"/>
          <w:szCs w:val="26"/>
          <w:lang w:val="uk-UA"/>
        </w:rPr>
        <w:t>,</w:t>
      </w:r>
      <w:r w:rsidR="0024170D" w:rsidRPr="0024170D">
        <w:rPr>
          <w:sz w:val="28"/>
          <w:szCs w:val="26"/>
          <w:lang w:val="uk-UA"/>
        </w:rPr>
        <w:t xml:space="preserve"> </w:t>
      </w:r>
      <w:r w:rsidR="00046943">
        <w:rPr>
          <w:sz w:val="28"/>
          <w:szCs w:val="26"/>
          <w:lang w:val="uk-UA"/>
        </w:rPr>
        <w:t xml:space="preserve">а також </w:t>
      </w:r>
      <w:r w:rsidR="0024170D" w:rsidRPr="0024170D">
        <w:rPr>
          <w:sz w:val="28"/>
          <w:szCs w:val="26"/>
          <w:lang w:val="uk-UA"/>
        </w:rPr>
        <w:t xml:space="preserve">забезпечення принципу прозорості </w:t>
      </w:r>
      <w:r w:rsidR="0099520B">
        <w:rPr>
          <w:sz w:val="28"/>
          <w:szCs w:val="26"/>
          <w:lang w:val="uk-UA"/>
        </w:rPr>
        <w:t>в частині</w:t>
      </w:r>
      <w:r w:rsidR="0024170D" w:rsidRPr="0024170D">
        <w:rPr>
          <w:sz w:val="28"/>
          <w:szCs w:val="26"/>
          <w:lang w:val="uk-UA"/>
        </w:rPr>
        <w:t xml:space="preserve"> </w:t>
      </w:r>
      <w:r w:rsidR="0099520B" w:rsidRPr="0099520B">
        <w:rPr>
          <w:sz w:val="28"/>
          <w:szCs w:val="28"/>
          <w:lang w:val="uk-UA"/>
        </w:rPr>
        <w:t>застосування ставки плати за послуги з передачі електричної енергії до/з країн периметру та відшкодування оператору системи передачі України витрат (доходів) за послуги</w:t>
      </w:r>
      <w:r w:rsidR="00046943">
        <w:rPr>
          <w:sz w:val="28"/>
          <w:szCs w:val="28"/>
          <w:lang w:val="uk-UA"/>
        </w:rPr>
        <w:t xml:space="preserve"> з</w:t>
      </w:r>
      <w:r w:rsidR="0099520B" w:rsidRPr="0099520B">
        <w:rPr>
          <w:sz w:val="28"/>
          <w:szCs w:val="28"/>
          <w:lang w:val="uk-UA"/>
        </w:rPr>
        <w:t xml:space="preserve"> </w:t>
      </w:r>
      <w:r w:rsidR="00046943">
        <w:rPr>
          <w:sz w:val="28"/>
          <w:szCs w:val="28"/>
          <w:lang w:val="uk-UA"/>
        </w:rPr>
        <w:t xml:space="preserve">передачі електричної енергії </w:t>
      </w:r>
      <w:r w:rsidR="0099520B" w:rsidRPr="0099520B">
        <w:rPr>
          <w:sz w:val="28"/>
          <w:szCs w:val="28"/>
          <w:lang w:val="uk-UA"/>
        </w:rPr>
        <w:t>у період після приєднання ОСП України до ІТС механізму.</w:t>
      </w:r>
    </w:p>
    <w:p w:rsidR="006755E7" w:rsidRDefault="006755E7" w:rsidP="00012247">
      <w:pPr>
        <w:ind w:firstLine="709"/>
        <w:jc w:val="both"/>
        <w:rPr>
          <w:sz w:val="28"/>
          <w:szCs w:val="28"/>
          <w:lang w:val="uk-UA"/>
        </w:rPr>
      </w:pPr>
    </w:p>
    <w:p w:rsidR="003273AC" w:rsidRPr="0027011A" w:rsidRDefault="003273AC" w:rsidP="00C232E5">
      <w:pPr>
        <w:jc w:val="both"/>
        <w:rPr>
          <w:sz w:val="28"/>
          <w:szCs w:val="28"/>
          <w:lang w:val="uk-UA"/>
        </w:rPr>
      </w:pPr>
    </w:p>
    <w:p w:rsidR="003273AC" w:rsidRPr="0027011A" w:rsidRDefault="003273AC" w:rsidP="00C232E5">
      <w:pPr>
        <w:jc w:val="both"/>
        <w:rPr>
          <w:sz w:val="28"/>
          <w:szCs w:val="28"/>
          <w:lang w:val="uk-UA"/>
        </w:rPr>
      </w:pPr>
    </w:p>
    <w:p w:rsidR="00DC1500" w:rsidRPr="00994F55" w:rsidRDefault="00DC1500" w:rsidP="00C232E5">
      <w:pPr>
        <w:jc w:val="both"/>
        <w:rPr>
          <w:sz w:val="28"/>
          <w:szCs w:val="28"/>
        </w:rPr>
      </w:pPr>
      <w:r w:rsidRPr="0027011A">
        <w:rPr>
          <w:sz w:val="28"/>
          <w:szCs w:val="28"/>
          <w:lang w:val="uk-UA"/>
        </w:rPr>
        <w:t>Голова НКРЕКП</w:t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="000F701B" w:rsidRPr="0027011A">
        <w:rPr>
          <w:sz w:val="28"/>
          <w:szCs w:val="28"/>
          <w:lang w:val="uk-UA"/>
        </w:rPr>
        <w:t xml:space="preserve">                               </w:t>
      </w:r>
      <w:r w:rsidR="005D751A" w:rsidRPr="0027011A">
        <w:rPr>
          <w:sz w:val="28"/>
          <w:szCs w:val="28"/>
          <w:lang w:val="uk-UA"/>
        </w:rPr>
        <w:t>К. У</w:t>
      </w:r>
      <w:proofErr w:type="spellStart"/>
      <w:r w:rsidR="005D751A" w:rsidRPr="00994F55">
        <w:rPr>
          <w:sz w:val="28"/>
          <w:szCs w:val="28"/>
        </w:rPr>
        <w:t>щаповський</w:t>
      </w:r>
      <w:proofErr w:type="spellEnd"/>
      <w:r w:rsidR="005D751A" w:rsidRPr="00994F55">
        <w:rPr>
          <w:b/>
          <w:sz w:val="28"/>
          <w:szCs w:val="28"/>
        </w:rPr>
        <w:tab/>
      </w:r>
    </w:p>
    <w:sectPr w:rsidR="00DC1500" w:rsidRPr="00994F55" w:rsidSect="007F13EC">
      <w:headerReference w:type="default" r:id="rId8"/>
      <w:pgSz w:w="11906" w:h="16838"/>
      <w:pgMar w:top="1134" w:right="567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712" w:rsidRDefault="00182712" w:rsidP="00B4485B">
      <w:r>
        <w:separator/>
      </w:r>
    </w:p>
  </w:endnote>
  <w:endnote w:type="continuationSeparator" w:id="0">
    <w:p w:rsidR="00182712" w:rsidRDefault="00182712" w:rsidP="00B4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712" w:rsidRDefault="00182712" w:rsidP="00B4485B">
      <w:r>
        <w:separator/>
      </w:r>
    </w:p>
  </w:footnote>
  <w:footnote w:type="continuationSeparator" w:id="0">
    <w:p w:rsidR="00182712" w:rsidRDefault="00182712" w:rsidP="00B4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D31" w:rsidRPr="00726447" w:rsidRDefault="00711D31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1D07FF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  <w:p w:rsidR="00711D31" w:rsidRPr="00194522" w:rsidRDefault="00711D31" w:rsidP="001C6EAC">
    <w:pPr>
      <w:pStyle w:val="a4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0F82"/>
    <w:rsid w:val="000011EF"/>
    <w:rsid w:val="00002C99"/>
    <w:rsid w:val="00012247"/>
    <w:rsid w:val="0001257D"/>
    <w:rsid w:val="00012C0D"/>
    <w:rsid w:val="00017848"/>
    <w:rsid w:val="00020178"/>
    <w:rsid w:val="000217A1"/>
    <w:rsid w:val="00024A45"/>
    <w:rsid w:val="000302DC"/>
    <w:rsid w:val="000317F3"/>
    <w:rsid w:val="00036637"/>
    <w:rsid w:val="00037F49"/>
    <w:rsid w:val="00045D69"/>
    <w:rsid w:val="00046943"/>
    <w:rsid w:val="000534F1"/>
    <w:rsid w:val="00057EC0"/>
    <w:rsid w:val="00063F4C"/>
    <w:rsid w:val="00067E13"/>
    <w:rsid w:val="00077030"/>
    <w:rsid w:val="00077764"/>
    <w:rsid w:val="000834CE"/>
    <w:rsid w:val="000858E6"/>
    <w:rsid w:val="00085927"/>
    <w:rsid w:val="00087085"/>
    <w:rsid w:val="00090D4B"/>
    <w:rsid w:val="000938AE"/>
    <w:rsid w:val="000A4FA6"/>
    <w:rsid w:val="000A502C"/>
    <w:rsid w:val="000A5556"/>
    <w:rsid w:val="000A5843"/>
    <w:rsid w:val="000B0574"/>
    <w:rsid w:val="000B0808"/>
    <w:rsid w:val="000B100A"/>
    <w:rsid w:val="000B3619"/>
    <w:rsid w:val="000B6295"/>
    <w:rsid w:val="000C1767"/>
    <w:rsid w:val="000C77FE"/>
    <w:rsid w:val="000D526A"/>
    <w:rsid w:val="000D5C76"/>
    <w:rsid w:val="000E1F7F"/>
    <w:rsid w:val="000E36E7"/>
    <w:rsid w:val="000E3DAA"/>
    <w:rsid w:val="000E4851"/>
    <w:rsid w:val="000E5B56"/>
    <w:rsid w:val="000E6897"/>
    <w:rsid w:val="000F14E3"/>
    <w:rsid w:val="000F2305"/>
    <w:rsid w:val="000F5926"/>
    <w:rsid w:val="000F69B8"/>
    <w:rsid w:val="000F701B"/>
    <w:rsid w:val="000F72F6"/>
    <w:rsid w:val="000F7AA9"/>
    <w:rsid w:val="00100DFA"/>
    <w:rsid w:val="00101536"/>
    <w:rsid w:val="00102EE6"/>
    <w:rsid w:val="00103458"/>
    <w:rsid w:val="00115EAB"/>
    <w:rsid w:val="00116198"/>
    <w:rsid w:val="001174E2"/>
    <w:rsid w:val="00120A54"/>
    <w:rsid w:val="00120A93"/>
    <w:rsid w:val="0012257B"/>
    <w:rsid w:val="00132723"/>
    <w:rsid w:val="00135B84"/>
    <w:rsid w:val="00143239"/>
    <w:rsid w:val="00143658"/>
    <w:rsid w:val="001455DF"/>
    <w:rsid w:val="00147D0A"/>
    <w:rsid w:val="00151E1F"/>
    <w:rsid w:val="0015200C"/>
    <w:rsid w:val="00153A13"/>
    <w:rsid w:val="00160780"/>
    <w:rsid w:val="0016248E"/>
    <w:rsid w:val="00166C04"/>
    <w:rsid w:val="00172AC3"/>
    <w:rsid w:val="00173C82"/>
    <w:rsid w:val="00174909"/>
    <w:rsid w:val="00175E93"/>
    <w:rsid w:val="00177D27"/>
    <w:rsid w:val="0018088F"/>
    <w:rsid w:val="00182712"/>
    <w:rsid w:val="00194522"/>
    <w:rsid w:val="00194734"/>
    <w:rsid w:val="001A23E3"/>
    <w:rsid w:val="001A26D8"/>
    <w:rsid w:val="001A3EF0"/>
    <w:rsid w:val="001B21CF"/>
    <w:rsid w:val="001B2A83"/>
    <w:rsid w:val="001B30DA"/>
    <w:rsid w:val="001B4AF1"/>
    <w:rsid w:val="001C3229"/>
    <w:rsid w:val="001C5354"/>
    <w:rsid w:val="001C614E"/>
    <w:rsid w:val="001C6EAC"/>
    <w:rsid w:val="001D07FF"/>
    <w:rsid w:val="001D2835"/>
    <w:rsid w:val="001D2837"/>
    <w:rsid w:val="001E159C"/>
    <w:rsid w:val="001E25EC"/>
    <w:rsid w:val="001E43DE"/>
    <w:rsid w:val="001F2EE3"/>
    <w:rsid w:val="001F64D6"/>
    <w:rsid w:val="00211C2F"/>
    <w:rsid w:val="00211F05"/>
    <w:rsid w:val="00217C9C"/>
    <w:rsid w:val="00230098"/>
    <w:rsid w:val="002319A9"/>
    <w:rsid w:val="00231DDE"/>
    <w:rsid w:val="00234FAE"/>
    <w:rsid w:val="0024170D"/>
    <w:rsid w:val="002418A4"/>
    <w:rsid w:val="00242785"/>
    <w:rsid w:val="00254B51"/>
    <w:rsid w:val="0025569A"/>
    <w:rsid w:val="00262D37"/>
    <w:rsid w:val="00264427"/>
    <w:rsid w:val="00266989"/>
    <w:rsid w:val="00267A9C"/>
    <w:rsid w:val="00267E2F"/>
    <w:rsid w:val="00267F26"/>
    <w:rsid w:val="0027011A"/>
    <w:rsid w:val="002800C3"/>
    <w:rsid w:val="00285079"/>
    <w:rsid w:val="00291B29"/>
    <w:rsid w:val="002947D7"/>
    <w:rsid w:val="002A5C41"/>
    <w:rsid w:val="002A7E1C"/>
    <w:rsid w:val="002B1A64"/>
    <w:rsid w:val="002B53F1"/>
    <w:rsid w:val="002B6D98"/>
    <w:rsid w:val="002C457D"/>
    <w:rsid w:val="002C4681"/>
    <w:rsid w:val="002C6647"/>
    <w:rsid w:val="002C7012"/>
    <w:rsid w:val="002D36B9"/>
    <w:rsid w:val="002D6D37"/>
    <w:rsid w:val="002E2AB9"/>
    <w:rsid w:val="002E416D"/>
    <w:rsid w:val="002E5440"/>
    <w:rsid w:val="002E6F27"/>
    <w:rsid w:val="002F06AB"/>
    <w:rsid w:val="002F7DAD"/>
    <w:rsid w:val="003028DB"/>
    <w:rsid w:val="0031498D"/>
    <w:rsid w:val="00314F6A"/>
    <w:rsid w:val="00320D04"/>
    <w:rsid w:val="00322A23"/>
    <w:rsid w:val="003239F3"/>
    <w:rsid w:val="00324646"/>
    <w:rsid w:val="00326E0B"/>
    <w:rsid w:val="003273AC"/>
    <w:rsid w:val="003314B9"/>
    <w:rsid w:val="00332A09"/>
    <w:rsid w:val="003342C9"/>
    <w:rsid w:val="00334726"/>
    <w:rsid w:val="003348E5"/>
    <w:rsid w:val="003359CD"/>
    <w:rsid w:val="0034012B"/>
    <w:rsid w:val="003409E2"/>
    <w:rsid w:val="00345833"/>
    <w:rsid w:val="003474B3"/>
    <w:rsid w:val="003522C9"/>
    <w:rsid w:val="00353168"/>
    <w:rsid w:val="003579E4"/>
    <w:rsid w:val="00360D00"/>
    <w:rsid w:val="003664D1"/>
    <w:rsid w:val="00377979"/>
    <w:rsid w:val="00377DED"/>
    <w:rsid w:val="003800B0"/>
    <w:rsid w:val="00380389"/>
    <w:rsid w:val="0038079A"/>
    <w:rsid w:val="00381637"/>
    <w:rsid w:val="00381B8C"/>
    <w:rsid w:val="00385BF8"/>
    <w:rsid w:val="00386DAD"/>
    <w:rsid w:val="00394B81"/>
    <w:rsid w:val="003A142D"/>
    <w:rsid w:val="003A31DF"/>
    <w:rsid w:val="003A4CA7"/>
    <w:rsid w:val="003A5A9C"/>
    <w:rsid w:val="003A5D9C"/>
    <w:rsid w:val="003B1240"/>
    <w:rsid w:val="003B247A"/>
    <w:rsid w:val="003C422F"/>
    <w:rsid w:val="003C6392"/>
    <w:rsid w:val="003D5282"/>
    <w:rsid w:val="003D7395"/>
    <w:rsid w:val="003E095C"/>
    <w:rsid w:val="003E1900"/>
    <w:rsid w:val="003E7DCD"/>
    <w:rsid w:val="004008AD"/>
    <w:rsid w:val="00404136"/>
    <w:rsid w:val="00405F7B"/>
    <w:rsid w:val="00410F64"/>
    <w:rsid w:val="004136D7"/>
    <w:rsid w:val="00416E32"/>
    <w:rsid w:val="00417105"/>
    <w:rsid w:val="00417143"/>
    <w:rsid w:val="00425431"/>
    <w:rsid w:val="00426751"/>
    <w:rsid w:val="00426E85"/>
    <w:rsid w:val="004326DB"/>
    <w:rsid w:val="00434F9B"/>
    <w:rsid w:val="00437C6D"/>
    <w:rsid w:val="00441CBF"/>
    <w:rsid w:val="00442260"/>
    <w:rsid w:val="00444E09"/>
    <w:rsid w:val="004473EE"/>
    <w:rsid w:val="0044796E"/>
    <w:rsid w:val="0045238D"/>
    <w:rsid w:val="00452DE6"/>
    <w:rsid w:val="00457587"/>
    <w:rsid w:val="0047038C"/>
    <w:rsid w:val="00470497"/>
    <w:rsid w:val="004714F0"/>
    <w:rsid w:val="00483555"/>
    <w:rsid w:val="00484365"/>
    <w:rsid w:val="00486E66"/>
    <w:rsid w:val="00491849"/>
    <w:rsid w:val="00493E17"/>
    <w:rsid w:val="00493F28"/>
    <w:rsid w:val="00495612"/>
    <w:rsid w:val="00495F36"/>
    <w:rsid w:val="004A27D3"/>
    <w:rsid w:val="004A38ED"/>
    <w:rsid w:val="004A4623"/>
    <w:rsid w:val="004A7F3E"/>
    <w:rsid w:val="004B429B"/>
    <w:rsid w:val="004B7026"/>
    <w:rsid w:val="004B7DDC"/>
    <w:rsid w:val="004D15A4"/>
    <w:rsid w:val="004D2B0A"/>
    <w:rsid w:val="004E06D1"/>
    <w:rsid w:val="004E1170"/>
    <w:rsid w:val="004E64B9"/>
    <w:rsid w:val="004E7298"/>
    <w:rsid w:val="00501CDA"/>
    <w:rsid w:val="005050CE"/>
    <w:rsid w:val="00524579"/>
    <w:rsid w:val="00524F83"/>
    <w:rsid w:val="00526105"/>
    <w:rsid w:val="00530C30"/>
    <w:rsid w:val="00531C01"/>
    <w:rsid w:val="00550CD1"/>
    <w:rsid w:val="0055596E"/>
    <w:rsid w:val="0055705C"/>
    <w:rsid w:val="0056222A"/>
    <w:rsid w:val="00562A6B"/>
    <w:rsid w:val="0057175A"/>
    <w:rsid w:val="005819C0"/>
    <w:rsid w:val="00581BA8"/>
    <w:rsid w:val="00583613"/>
    <w:rsid w:val="00584119"/>
    <w:rsid w:val="005A77E4"/>
    <w:rsid w:val="005B322E"/>
    <w:rsid w:val="005B7352"/>
    <w:rsid w:val="005B78AF"/>
    <w:rsid w:val="005C1692"/>
    <w:rsid w:val="005C3ADD"/>
    <w:rsid w:val="005C4056"/>
    <w:rsid w:val="005C4E52"/>
    <w:rsid w:val="005C59BB"/>
    <w:rsid w:val="005D2566"/>
    <w:rsid w:val="005D4AFC"/>
    <w:rsid w:val="005D4D24"/>
    <w:rsid w:val="005D751A"/>
    <w:rsid w:val="005D7AFC"/>
    <w:rsid w:val="005E17E0"/>
    <w:rsid w:val="005E40E9"/>
    <w:rsid w:val="005E610D"/>
    <w:rsid w:val="005F452B"/>
    <w:rsid w:val="005F5595"/>
    <w:rsid w:val="005F5AD4"/>
    <w:rsid w:val="00603C06"/>
    <w:rsid w:val="0060642F"/>
    <w:rsid w:val="006072A5"/>
    <w:rsid w:val="00610EB1"/>
    <w:rsid w:val="006110F1"/>
    <w:rsid w:val="00615B36"/>
    <w:rsid w:val="00617164"/>
    <w:rsid w:val="00621A84"/>
    <w:rsid w:val="0063136D"/>
    <w:rsid w:val="006361B6"/>
    <w:rsid w:val="006428F3"/>
    <w:rsid w:val="00645788"/>
    <w:rsid w:val="006461C4"/>
    <w:rsid w:val="00650A25"/>
    <w:rsid w:val="00651D66"/>
    <w:rsid w:val="00651DEB"/>
    <w:rsid w:val="00653566"/>
    <w:rsid w:val="006544DB"/>
    <w:rsid w:val="00654DC5"/>
    <w:rsid w:val="00657095"/>
    <w:rsid w:val="00665CB5"/>
    <w:rsid w:val="00667BCB"/>
    <w:rsid w:val="00667E06"/>
    <w:rsid w:val="00671172"/>
    <w:rsid w:val="006755E7"/>
    <w:rsid w:val="00675966"/>
    <w:rsid w:val="006831B3"/>
    <w:rsid w:val="00692C56"/>
    <w:rsid w:val="00692E34"/>
    <w:rsid w:val="00693DA7"/>
    <w:rsid w:val="0069411C"/>
    <w:rsid w:val="0069722E"/>
    <w:rsid w:val="006A0B68"/>
    <w:rsid w:val="006A11D4"/>
    <w:rsid w:val="006A2CB3"/>
    <w:rsid w:val="006A3018"/>
    <w:rsid w:val="006A5211"/>
    <w:rsid w:val="006A6E45"/>
    <w:rsid w:val="006B2454"/>
    <w:rsid w:val="006C3047"/>
    <w:rsid w:val="006C6F99"/>
    <w:rsid w:val="006D2E25"/>
    <w:rsid w:val="006E1745"/>
    <w:rsid w:val="006F1F1A"/>
    <w:rsid w:val="006F32CB"/>
    <w:rsid w:val="0070151A"/>
    <w:rsid w:val="007048F0"/>
    <w:rsid w:val="007107F0"/>
    <w:rsid w:val="00711D31"/>
    <w:rsid w:val="00712005"/>
    <w:rsid w:val="0071464F"/>
    <w:rsid w:val="007218AB"/>
    <w:rsid w:val="00722A56"/>
    <w:rsid w:val="00725546"/>
    <w:rsid w:val="00726447"/>
    <w:rsid w:val="007279EF"/>
    <w:rsid w:val="00731C04"/>
    <w:rsid w:val="007343D5"/>
    <w:rsid w:val="00735107"/>
    <w:rsid w:val="00735994"/>
    <w:rsid w:val="007367A4"/>
    <w:rsid w:val="00743C04"/>
    <w:rsid w:val="007466BB"/>
    <w:rsid w:val="00746BF0"/>
    <w:rsid w:val="00747418"/>
    <w:rsid w:val="00752BFD"/>
    <w:rsid w:val="00752E85"/>
    <w:rsid w:val="00754669"/>
    <w:rsid w:val="00755F9A"/>
    <w:rsid w:val="00767499"/>
    <w:rsid w:val="00772241"/>
    <w:rsid w:val="00774C7B"/>
    <w:rsid w:val="00787FB5"/>
    <w:rsid w:val="00790968"/>
    <w:rsid w:val="007951B9"/>
    <w:rsid w:val="007A0C79"/>
    <w:rsid w:val="007A0ED1"/>
    <w:rsid w:val="007A151E"/>
    <w:rsid w:val="007A274A"/>
    <w:rsid w:val="007A5F35"/>
    <w:rsid w:val="007B07B3"/>
    <w:rsid w:val="007B0E9B"/>
    <w:rsid w:val="007B1CB2"/>
    <w:rsid w:val="007C110F"/>
    <w:rsid w:val="007C1BCE"/>
    <w:rsid w:val="007C3B0E"/>
    <w:rsid w:val="007C78DC"/>
    <w:rsid w:val="007D0772"/>
    <w:rsid w:val="007D0C1D"/>
    <w:rsid w:val="007D2061"/>
    <w:rsid w:val="007D2972"/>
    <w:rsid w:val="007E249F"/>
    <w:rsid w:val="007E5783"/>
    <w:rsid w:val="007E639D"/>
    <w:rsid w:val="007E7663"/>
    <w:rsid w:val="007F128D"/>
    <w:rsid w:val="007F13EC"/>
    <w:rsid w:val="007F2C6A"/>
    <w:rsid w:val="007F7127"/>
    <w:rsid w:val="0080168E"/>
    <w:rsid w:val="00802EF7"/>
    <w:rsid w:val="00804338"/>
    <w:rsid w:val="00811D90"/>
    <w:rsid w:val="008143D2"/>
    <w:rsid w:val="008163CB"/>
    <w:rsid w:val="00817BEB"/>
    <w:rsid w:val="00817D9D"/>
    <w:rsid w:val="00821944"/>
    <w:rsid w:val="00830C8C"/>
    <w:rsid w:val="00833DA0"/>
    <w:rsid w:val="008358EB"/>
    <w:rsid w:val="008409A6"/>
    <w:rsid w:val="0084143C"/>
    <w:rsid w:val="00851833"/>
    <w:rsid w:val="00852845"/>
    <w:rsid w:val="00852A4C"/>
    <w:rsid w:val="00862E3E"/>
    <w:rsid w:val="008651AB"/>
    <w:rsid w:val="00867969"/>
    <w:rsid w:val="008723D9"/>
    <w:rsid w:val="008726FF"/>
    <w:rsid w:val="00872DB8"/>
    <w:rsid w:val="0087366F"/>
    <w:rsid w:val="00877806"/>
    <w:rsid w:val="00881E32"/>
    <w:rsid w:val="00882408"/>
    <w:rsid w:val="00884B7C"/>
    <w:rsid w:val="00886B09"/>
    <w:rsid w:val="00893CB2"/>
    <w:rsid w:val="008A3DA4"/>
    <w:rsid w:val="008A56C3"/>
    <w:rsid w:val="008B222D"/>
    <w:rsid w:val="008B2A04"/>
    <w:rsid w:val="008B343D"/>
    <w:rsid w:val="008B6E83"/>
    <w:rsid w:val="008C131A"/>
    <w:rsid w:val="008D2BBB"/>
    <w:rsid w:val="008E1C45"/>
    <w:rsid w:val="008E4216"/>
    <w:rsid w:val="008E497D"/>
    <w:rsid w:val="008E4C33"/>
    <w:rsid w:val="008E587F"/>
    <w:rsid w:val="008E70A8"/>
    <w:rsid w:val="008E7528"/>
    <w:rsid w:val="008F0321"/>
    <w:rsid w:val="008F0EB5"/>
    <w:rsid w:val="008F4D8E"/>
    <w:rsid w:val="00905582"/>
    <w:rsid w:val="0090639B"/>
    <w:rsid w:val="00911D9D"/>
    <w:rsid w:val="00916839"/>
    <w:rsid w:val="00916D13"/>
    <w:rsid w:val="009200C2"/>
    <w:rsid w:val="009224A2"/>
    <w:rsid w:val="009224DF"/>
    <w:rsid w:val="00926157"/>
    <w:rsid w:val="00931269"/>
    <w:rsid w:val="00944C00"/>
    <w:rsid w:val="009457D8"/>
    <w:rsid w:val="00950C76"/>
    <w:rsid w:val="009513DC"/>
    <w:rsid w:val="00952CC7"/>
    <w:rsid w:val="00956C42"/>
    <w:rsid w:val="009609E9"/>
    <w:rsid w:val="009626AB"/>
    <w:rsid w:val="00970C37"/>
    <w:rsid w:val="00971777"/>
    <w:rsid w:val="0097534C"/>
    <w:rsid w:val="009809E9"/>
    <w:rsid w:val="00984516"/>
    <w:rsid w:val="00987C87"/>
    <w:rsid w:val="00992CE4"/>
    <w:rsid w:val="00994F55"/>
    <w:rsid w:val="0099520B"/>
    <w:rsid w:val="009969E1"/>
    <w:rsid w:val="009979CF"/>
    <w:rsid w:val="009A7615"/>
    <w:rsid w:val="009B3293"/>
    <w:rsid w:val="009B3F59"/>
    <w:rsid w:val="009B45AF"/>
    <w:rsid w:val="009B4F29"/>
    <w:rsid w:val="009B7C4D"/>
    <w:rsid w:val="009C1292"/>
    <w:rsid w:val="009C4C04"/>
    <w:rsid w:val="009C5DC5"/>
    <w:rsid w:val="009D55C8"/>
    <w:rsid w:val="009E2473"/>
    <w:rsid w:val="009E49B9"/>
    <w:rsid w:val="009E62F5"/>
    <w:rsid w:val="009E68F3"/>
    <w:rsid w:val="009F38A7"/>
    <w:rsid w:val="009F4D0C"/>
    <w:rsid w:val="009F713C"/>
    <w:rsid w:val="00A06801"/>
    <w:rsid w:val="00A1073C"/>
    <w:rsid w:val="00A10F02"/>
    <w:rsid w:val="00A1354A"/>
    <w:rsid w:val="00A14381"/>
    <w:rsid w:val="00A20CB7"/>
    <w:rsid w:val="00A23607"/>
    <w:rsid w:val="00A276E5"/>
    <w:rsid w:val="00A30DDB"/>
    <w:rsid w:val="00A32BC8"/>
    <w:rsid w:val="00A340E9"/>
    <w:rsid w:val="00A40F9E"/>
    <w:rsid w:val="00A46844"/>
    <w:rsid w:val="00A52A86"/>
    <w:rsid w:val="00A5420D"/>
    <w:rsid w:val="00A56E0D"/>
    <w:rsid w:val="00A602B6"/>
    <w:rsid w:val="00A63596"/>
    <w:rsid w:val="00A63FC7"/>
    <w:rsid w:val="00A656C8"/>
    <w:rsid w:val="00A65E7D"/>
    <w:rsid w:val="00A71788"/>
    <w:rsid w:val="00A735DF"/>
    <w:rsid w:val="00A81CB0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A0E7F"/>
    <w:rsid w:val="00AA2A7C"/>
    <w:rsid w:val="00AC020C"/>
    <w:rsid w:val="00AC430D"/>
    <w:rsid w:val="00AC5352"/>
    <w:rsid w:val="00AC5CAD"/>
    <w:rsid w:val="00AE0F01"/>
    <w:rsid w:val="00AE4C97"/>
    <w:rsid w:val="00AE6A33"/>
    <w:rsid w:val="00AF426A"/>
    <w:rsid w:val="00AF7567"/>
    <w:rsid w:val="00B01472"/>
    <w:rsid w:val="00B025D4"/>
    <w:rsid w:val="00B10792"/>
    <w:rsid w:val="00B12F94"/>
    <w:rsid w:val="00B14BA9"/>
    <w:rsid w:val="00B16969"/>
    <w:rsid w:val="00B1730D"/>
    <w:rsid w:val="00B2051D"/>
    <w:rsid w:val="00B207DF"/>
    <w:rsid w:val="00B20CED"/>
    <w:rsid w:val="00B212A4"/>
    <w:rsid w:val="00B2548A"/>
    <w:rsid w:val="00B307F5"/>
    <w:rsid w:val="00B35800"/>
    <w:rsid w:val="00B37F08"/>
    <w:rsid w:val="00B40887"/>
    <w:rsid w:val="00B4279C"/>
    <w:rsid w:val="00B4485B"/>
    <w:rsid w:val="00B47CEF"/>
    <w:rsid w:val="00B501E4"/>
    <w:rsid w:val="00B67068"/>
    <w:rsid w:val="00B67A0A"/>
    <w:rsid w:val="00B67AC6"/>
    <w:rsid w:val="00B71219"/>
    <w:rsid w:val="00B722E6"/>
    <w:rsid w:val="00B727DF"/>
    <w:rsid w:val="00B74265"/>
    <w:rsid w:val="00B760E6"/>
    <w:rsid w:val="00B76890"/>
    <w:rsid w:val="00B82D0F"/>
    <w:rsid w:val="00B85DD1"/>
    <w:rsid w:val="00B86194"/>
    <w:rsid w:val="00B93CD7"/>
    <w:rsid w:val="00BB14E3"/>
    <w:rsid w:val="00BB1826"/>
    <w:rsid w:val="00BB20C2"/>
    <w:rsid w:val="00BB2473"/>
    <w:rsid w:val="00BB4051"/>
    <w:rsid w:val="00BB4ECF"/>
    <w:rsid w:val="00BC0F64"/>
    <w:rsid w:val="00BC3E8A"/>
    <w:rsid w:val="00BC58B5"/>
    <w:rsid w:val="00BD211E"/>
    <w:rsid w:val="00BD253C"/>
    <w:rsid w:val="00BD3C08"/>
    <w:rsid w:val="00BD663B"/>
    <w:rsid w:val="00BD7CE8"/>
    <w:rsid w:val="00BE2FAA"/>
    <w:rsid w:val="00BE473B"/>
    <w:rsid w:val="00BE6833"/>
    <w:rsid w:val="00BE7D22"/>
    <w:rsid w:val="00C07D5A"/>
    <w:rsid w:val="00C1042D"/>
    <w:rsid w:val="00C10F00"/>
    <w:rsid w:val="00C12511"/>
    <w:rsid w:val="00C13324"/>
    <w:rsid w:val="00C139E9"/>
    <w:rsid w:val="00C13E31"/>
    <w:rsid w:val="00C17D2C"/>
    <w:rsid w:val="00C20386"/>
    <w:rsid w:val="00C232E5"/>
    <w:rsid w:val="00C309C5"/>
    <w:rsid w:val="00C31E59"/>
    <w:rsid w:val="00C34F6C"/>
    <w:rsid w:val="00C45D3C"/>
    <w:rsid w:val="00C52F3B"/>
    <w:rsid w:val="00C70EED"/>
    <w:rsid w:val="00C71B7F"/>
    <w:rsid w:val="00C84F90"/>
    <w:rsid w:val="00C858DD"/>
    <w:rsid w:val="00C90169"/>
    <w:rsid w:val="00C93A2A"/>
    <w:rsid w:val="00C94521"/>
    <w:rsid w:val="00C96271"/>
    <w:rsid w:val="00C96DFF"/>
    <w:rsid w:val="00CA00E6"/>
    <w:rsid w:val="00CA2FA3"/>
    <w:rsid w:val="00CC1151"/>
    <w:rsid w:val="00CC1E93"/>
    <w:rsid w:val="00CD21E6"/>
    <w:rsid w:val="00CD2EF7"/>
    <w:rsid w:val="00CE3D5C"/>
    <w:rsid w:val="00CF3127"/>
    <w:rsid w:val="00D0135B"/>
    <w:rsid w:val="00D02317"/>
    <w:rsid w:val="00D02BB8"/>
    <w:rsid w:val="00D0693F"/>
    <w:rsid w:val="00D06B22"/>
    <w:rsid w:val="00D107EB"/>
    <w:rsid w:val="00D10F87"/>
    <w:rsid w:val="00D12C2A"/>
    <w:rsid w:val="00D16E98"/>
    <w:rsid w:val="00D17970"/>
    <w:rsid w:val="00D21A8B"/>
    <w:rsid w:val="00D25653"/>
    <w:rsid w:val="00D279B2"/>
    <w:rsid w:val="00D30604"/>
    <w:rsid w:val="00D30704"/>
    <w:rsid w:val="00D46D40"/>
    <w:rsid w:val="00D50238"/>
    <w:rsid w:val="00D51A3F"/>
    <w:rsid w:val="00D5562E"/>
    <w:rsid w:val="00D62366"/>
    <w:rsid w:val="00D62C1F"/>
    <w:rsid w:val="00D7105C"/>
    <w:rsid w:val="00D76242"/>
    <w:rsid w:val="00D81F11"/>
    <w:rsid w:val="00D85FCD"/>
    <w:rsid w:val="00D923D2"/>
    <w:rsid w:val="00DA1839"/>
    <w:rsid w:val="00DA3002"/>
    <w:rsid w:val="00DA5B04"/>
    <w:rsid w:val="00DA6B59"/>
    <w:rsid w:val="00DA707D"/>
    <w:rsid w:val="00DA7626"/>
    <w:rsid w:val="00DA7FAB"/>
    <w:rsid w:val="00DB06FF"/>
    <w:rsid w:val="00DB1967"/>
    <w:rsid w:val="00DB341C"/>
    <w:rsid w:val="00DB6BB8"/>
    <w:rsid w:val="00DC1500"/>
    <w:rsid w:val="00DC31BF"/>
    <w:rsid w:val="00DC74A6"/>
    <w:rsid w:val="00DD0497"/>
    <w:rsid w:val="00DD425A"/>
    <w:rsid w:val="00DD4DF1"/>
    <w:rsid w:val="00DD799D"/>
    <w:rsid w:val="00DE1BA3"/>
    <w:rsid w:val="00DE74D7"/>
    <w:rsid w:val="00DF323B"/>
    <w:rsid w:val="00DF568D"/>
    <w:rsid w:val="00DF581A"/>
    <w:rsid w:val="00DF70D4"/>
    <w:rsid w:val="00E03813"/>
    <w:rsid w:val="00E04A2C"/>
    <w:rsid w:val="00E04B25"/>
    <w:rsid w:val="00E063F3"/>
    <w:rsid w:val="00E106ED"/>
    <w:rsid w:val="00E11098"/>
    <w:rsid w:val="00E13ACC"/>
    <w:rsid w:val="00E14F8E"/>
    <w:rsid w:val="00E21790"/>
    <w:rsid w:val="00E24421"/>
    <w:rsid w:val="00E25C3B"/>
    <w:rsid w:val="00E27ACC"/>
    <w:rsid w:val="00E32D1B"/>
    <w:rsid w:val="00E35C28"/>
    <w:rsid w:val="00E369D2"/>
    <w:rsid w:val="00E36C55"/>
    <w:rsid w:val="00E36CF3"/>
    <w:rsid w:val="00E37C20"/>
    <w:rsid w:val="00E40BCF"/>
    <w:rsid w:val="00E41075"/>
    <w:rsid w:val="00E4253E"/>
    <w:rsid w:val="00E42C7D"/>
    <w:rsid w:val="00E47DAE"/>
    <w:rsid w:val="00E51783"/>
    <w:rsid w:val="00E55959"/>
    <w:rsid w:val="00E60645"/>
    <w:rsid w:val="00E64493"/>
    <w:rsid w:val="00E64ABE"/>
    <w:rsid w:val="00E86D3B"/>
    <w:rsid w:val="00E9145D"/>
    <w:rsid w:val="00EA1207"/>
    <w:rsid w:val="00EA196D"/>
    <w:rsid w:val="00EA48C0"/>
    <w:rsid w:val="00EA7449"/>
    <w:rsid w:val="00EB5AC6"/>
    <w:rsid w:val="00ED095D"/>
    <w:rsid w:val="00EE35DD"/>
    <w:rsid w:val="00EE518D"/>
    <w:rsid w:val="00EE5A59"/>
    <w:rsid w:val="00EF538D"/>
    <w:rsid w:val="00F05459"/>
    <w:rsid w:val="00F23F54"/>
    <w:rsid w:val="00F247A3"/>
    <w:rsid w:val="00F41AA9"/>
    <w:rsid w:val="00F45BE6"/>
    <w:rsid w:val="00F46AA1"/>
    <w:rsid w:val="00F47A65"/>
    <w:rsid w:val="00F52C8C"/>
    <w:rsid w:val="00F60625"/>
    <w:rsid w:val="00F809DF"/>
    <w:rsid w:val="00F877AA"/>
    <w:rsid w:val="00F9406B"/>
    <w:rsid w:val="00F9537D"/>
    <w:rsid w:val="00F97878"/>
    <w:rsid w:val="00FA0091"/>
    <w:rsid w:val="00FA3687"/>
    <w:rsid w:val="00FA3AFE"/>
    <w:rsid w:val="00FA4320"/>
    <w:rsid w:val="00FA4A66"/>
    <w:rsid w:val="00FA5462"/>
    <w:rsid w:val="00FA6FC6"/>
    <w:rsid w:val="00FB1F07"/>
    <w:rsid w:val="00FB35CD"/>
    <w:rsid w:val="00FB4795"/>
    <w:rsid w:val="00FC4E07"/>
    <w:rsid w:val="00FC5A80"/>
    <w:rsid w:val="00FC622E"/>
    <w:rsid w:val="00FD1D93"/>
    <w:rsid w:val="00FE5E9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C56374-C9F5-4FE9-878A-2FDD4ED4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19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/>
      <w:outlineLvl w:val="1"/>
    </w:pPr>
    <w:rPr>
      <w:rFonts w:ascii="Calibri" w:eastAsia="Calibri" w:hAnsi="Calibri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b">
    <w:name w:val="Body Text"/>
    <w:basedOn w:val="a"/>
    <w:link w:val="ac"/>
    <w:uiPriority w:val="99"/>
    <w:rsid w:val="00B760E6"/>
    <w:rPr>
      <w:rFonts w:ascii="Calibri" w:eastAsia="Calibri" w:hAnsi="Calibri"/>
      <w:b/>
      <w:color w:val="000000"/>
      <w:szCs w:val="20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e">
    <w:name w:val="Title"/>
    <w:basedOn w:val="a"/>
    <w:link w:val="af"/>
    <w:uiPriority w:val="99"/>
    <w:qFormat/>
    <w:locked/>
    <w:rsid w:val="00B760E6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rPr>
      <w:rFonts w:ascii="Verdana" w:eastAsia="Calibri" w:hAnsi="Verdana" w:cs="Verdana"/>
      <w:sz w:val="20"/>
      <w:szCs w:val="20"/>
      <w:lang w:val="en-US" w:eastAsia="en-US"/>
    </w:rPr>
  </w:style>
  <w:style w:type="character" w:styleId="af2">
    <w:name w:val="annotation reference"/>
    <w:basedOn w:val="a0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pPr>
      <w:spacing w:after="200" w:line="276" w:lineRule="auto"/>
    </w:pPr>
    <w:rPr>
      <w:rFonts w:ascii="Calibri" w:eastAsia="Calibri" w:hAnsi="Calibri" w:cs="Calibri"/>
      <w:sz w:val="20"/>
      <w:szCs w:val="20"/>
      <w:lang w:val="uk-UA" w:eastAsia="en-US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FB35CD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3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FE472-9E86-4CF9-A833-F244806F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1710</Words>
  <Characters>11777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Морозова</dc:creator>
  <cp:lastModifiedBy>Ірина Кириленко</cp:lastModifiedBy>
  <cp:revision>10</cp:revision>
  <cp:lastPrinted>2020-12-16T14:12:00Z</cp:lastPrinted>
  <dcterms:created xsi:type="dcterms:W3CDTF">2022-07-18T11:45:00Z</dcterms:created>
  <dcterms:modified xsi:type="dcterms:W3CDTF">2022-07-19T08:12:00Z</dcterms:modified>
</cp:coreProperties>
</file>