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51" w:rsidRPr="0027011A" w:rsidRDefault="000E4851" w:rsidP="00E27D79">
      <w:pPr>
        <w:pStyle w:val="2"/>
        <w:spacing w:before="0" w:beforeAutospacing="0" w:after="0" w:afterAutospacing="0"/>
        <w:jc w:val="center"/>
        <w:rPr>
          <w:lang w:val="uk-UA"/>
        </w:rPr>
      </w:pPr>
      <w:r w:rsidRPr="00E27D79">
        <w:rPr>
          <w:rFonts w:ascii="Times New Roman" w:hAnsi="Times New Roman"/>
          <w:sz w:val="28"/>
          <w:szCs w:val="26"/>
          <w:lang w:val="uk-UA"/>
        </w:rPr>
        <w:t>АНАЛІЗ</w:t>
      </w:r>
    </w:p>
    <w:p w:rsidR="004C3016" w:rsidRDefault="000E4851" w:rsidP="004C3016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впливу проєкту постанови НКРЕКП</w:t>
      </w:r>
    </w:p>
    <w:p w:rsidR="004C3016" w:rsidRDefault="004C3016" w:rsidP="004C3016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4C3016">
        <w:rPr>
          <w:rFonts w:ascii="Times New Roman" w:hAnsi="Times New Roman"/>
          <w:sz w:val="28"/>
          <w:szCs w:val="26"/>
          <w:lang w:val="uk-UA"/>
        </w:rPr>
        <w:t>«Про затвердження Змін до Кодексу системи передачі»</w:t>
      </w:r>
      <w:r w:rsidR="000E4851" w:rsidRPr="0027011A">
        <w:rPr>
          <w:rFonts w:ascii="Times New Roman" w:hAnsi="Times New Roman"/>
          <w:sz w:val="28"/>
          <w:szCs w:val="26"/>
          <w:lang w:val="uk-UA"/>
        </w:rPr>
        <w:t xml:space="preserve">, </w:t>
      </w:r>
    </w:p>
    <w:p w:rsidR="000E4851" w:rsidRPr="0027011A" w:rsidRDefault="000E4851" w:rsidP="004C3016">
      <w:pPr>
        <w:pStyle w:val="2"/>
        <w:spacing w:before="0" w:beforeAutospacing="0" w:after="0" w:afterAutospacing="0"/>
        <w:jc w:val="center"/>
        <w:rPr>
          <w:rFonts w:ascii="Times New Roman" w:hAnsi="Times New Roman"/>
          <w:sz w:val="28"/>
          <w:szCs w:val="26"/>
          <w:lang w:val="uk-UA"/>
        </w:rPr>
      </w:pPr>
      <w:r w:rsidRPr="0027011A">
        <w:rPr>
          <w:rFonts w:ascii="Times New Roman" w:hAnsi="Times New Roman"/>
          <w:sz w:val="28"/>
          <w:szCs w:val="26"/>
          <w:lang w:val="uk-UA"/>
        </w:rPr>
        <w:t>що має ознаки регуляторного акта</w:t>
      </w:r>
    </w:p>
    <w:p w:rsidR="000E4851" w:rsidRPr="0027011A" w:rsidRDefault="000E4851" w:rsidP="000E4851">
      <w:pPr>
        <w:pStyle w:val="2"/>
        <w:spacing w:before="0" w:beforeAutospacing="0" w:after="0" w:afterAutospacing="0"/>
        <w:ind w:right="-1"/>
        <w:jc w:val="center"/>
        <w:rPr>
          <w:rFonts w:ascii="Times New Roman" w:hAnsi="Times New Roman"/>
          <w:sz w:val="28"/>
          <w:szCs w:val="26"/>
          <w:lang w:val="uk-UA"/>
        </w:rPr>
      </w:pPr>
    </w:p>
    <w:p w:rsidR="00DC1500" w:rsidRPr="0027011A" w:rsidRDefault="00DC1500" w:rsidP="00AE0F01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I. Визначення проблеми</w:t>
      </w:r>
    </w:p>
    <w:p w:rsidR="00DC1500" w:rsidRDefault="00DC1500" w:rsidP="00AE0F01">
      <w:pPr>
        <w:jc w:val="center"/>
        <w:rPr>
          <w:b/>
          <w:bCs/>
          <w:sz w:val="28"/>
          <w:szCs w:val="28"/>
          <w:lang w:val="uk-UA"/>
        </w:rPr>
      </w:pPr>
    </w:p>
    <w:p w:rsidR="00C10F00" w:rsidRDefault="00C10F00" w:rsidP="00C10F0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рамках </w:t>
      </w:r>
      <w:r w:rsidRPr="00B32EF1">
        <w:rPr>
          <w:sz w:val="28"/>
          <w:szCs w:val="28"/>
          <w:lang w:val="uk-UA"/>
        </w:rPr>
        <w:t>Угод</w:t>
      </w:r>
      <w:r>
        <w:rPr>
          <w:sz w:val="28"/>
          <w:szCs w:val="28"/>
          <w:lang w:val="uk-UA"/>
        </w:rPr>
        <w:t>и</w:t>
      </w:r>
      <w:r w:rsidRPr="00B32EF1">
        <w:rPr>
          <w:sz w:val="28"/>
          <w:szCs w:val="28"/>
          <w:lang w:val="uk-UA"/>
        </w:rPr>
        <w:t xml:space="preserve">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сторони,</w:t>
      </w:r>
      <w:r>
        <w:rPr>
          <w:sz w:val="28"/>
          <w:szCs w:val="28"/>
          <w:lang w:val="uk-UA"/>
        </w:rPr>
        <w:t xml:space="preserve"> яка була ратифікована у 2014 році м</w:t>
      </w:r>
      <w:r w:rsidRPr="00385029">
        <w:rPr>
          <w:sz w:val="28"/>
          <w:szCs w:val="28"/>
          <w:lang w:val="uk-UA"/>
        </w:rPr>
        <w:t>іж Європейським союзом та Україною</w:t>
      </w:r>
      <w:r w:rsidRPr="00C94F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Угода про асоціацію),</w:t>
      </w:r>
      <w:r w:rsidRPr="00385029">
        <w:rPr>
          <w:sz w:val="28"/>
          <w:szCs w:val="28"/>
          <w:lang w:val="uk-UA"/>
        </w:rPr>
        <w:t xml:space="preserve"> погоджен</w:t>
      </w:r>
      <w:r>
        <w:rPr>
          <w:sz w:val="28"/>
          <w:szCs w:val="28"/>
          <w:lang w:val="uk-UA"/>
        </w:rPr>
        <w:t>о</w:t>
      </w:r>
      <w:r w:rsidRPr="00385029">
        <w:rPr>
          <w:sz w:val="28"/>
          <w:szCs w:val="28"/>
          <w:lang w:val="uk-UA"/>
        </w:rPr>
        <w:t xml:space="preserve"> необхідн</w:t>
      </w:r>
      <w:r>
        <w:rPr>
          <w:sz w:val="28"/>
          <w:szCs w:val="28"/>
          <w:lang w:val="uk-UA"/>
        </w:rPr>
        <w:t>ість</w:t>
      </w:r>
      <w:r w:rsidRPr="00385029">
        <w:rPr>
          <w:sz w:val="28"/>
          <w:szCs w:val="28"/>
          <w:lang w:val="uk-UA"/>
        </w:rPr>
        <w:t xml:space="preserve"> підтрим</w:t>
      </w:r>
      <w:r>
        <w:rPr>
          <w:sz w:val="28"/>
          <w:szCs w:val="28"/>
          <w:lang w:val="uk-UA"/>
        </w:rPr>
        <w:t>ки</w:t>
      </w:r>
      <w:r w:rsidRPr="00385029">
        <w:rPr>
          <w:sz w:val="28"/>
          <w:szCs w:val="28"/>
          <w:lang w:val="uk-UA"/>
        </w:rPr>
        <w:t xml:space="preserve"> зусил</w:t>
      </w:r>
      <w:r>
        <w:rPr>
          <w:sz w:val="28"/>
          <w:szCs w:val="28"/>
          <w:lang w:val="uk-UA"/>
        </w:rPr>
        <w:t>ь</w:t>
      </w:r>
      <w:r w:rsidRPr="00385029">
        <w:rPr>
          <w:sz w:val="28"/>
          <w:szCs w:val="28"/>
          <w:lang w:val="uk-UA"/>
        </w:rPr>
        <w:t xml:space="preserve"> України з реформування енергетичного сектору відповідно до законодавства та принципів ЄС.</w:t>
      </w:r>
      <w:r>
        <w:rPr>
          <w:sz w:val="28"/>
          <w:szCs w:val="28"/>
          <w:lang w:val="uk-UA"/>
        </w:rPr>
        <w:t xml:space="preserve"> </w:t>
      </w:r>
    </w:p>
    <w:p w:rsidR="00C10F00" w:rsidRDefault="005567CE" w:rsidP="00C10F0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567CE">
        <w:rPr>
          <w:sz w:val="28"/>
          <w:szCs w:val="28"/>
          <w:lang w:val="uk-UA"/>
        </w:rPr>
        <w:t xml:space="preserve">На виконання зобов’язань України </w:t>
      </w:r>
      <w:r>
        <w:rPr>
          <w:sz w:val="28"/>
          <w:szCs w:val="28"/>
          <w:lang w:val="uk-UA"/>
        </w:rPr>
        <w:t>за Договором ЄС та Угодою про асоціацію</w:t>
      </w:r>
      <w:r w:rsidR="00C10F00" w:rsidRPr="00C00E4D">
        <w:rPr>
          <w:sz w:val="28"/>
          <w:szCs w:val="28"/>
          <w:lang w:val="uk-UA"/>
        </w:rPr>
        <w:t xml:space="preserve"> </w:t>
      </w:r>
      <w:r w:rsidR="00C10F00">
        <w:rPr>
          <w:sz w:val="28"/>
          <w:szCs w:val="28"/>
          <w:lang w:val="uk-UA"/>
        </w:rPr>
        <w:t>прийнято низку нормативно-правових актів, зокрема Закон України «</w:t>
      </w:r>
      <w:r w:rsidR="00C10F00" w:rsidRPr="00C00E4D">
        <w:rPr>
          <w:sz w:val="28"/>
          <w:szCs w:val="28"/>
          <w:lang w:val="uk-UA"/>
        </w:rPr>
        <w:t>Про ринок електричної енергії»</w:t>
      </w:r>
      <w:r w:rsidR="00C10F00">
        <w:rPr>
          <w:sz w:val="28"/>
          <w:szCs w:val="28"/>
          <w:lang w:val="uk-UA"/>
        </w:rPr>
        <w:t xml:space="preserve"> (далі – Закон</w:t>
      </w:r>
      <w:r>
        <w:rPr>
          <w:sz w:val="28"/>
          <w:szCs w:val="28"/>
          <w:lang w:val="uk-UA"/>
        </w:rPr>
        <w:t>), який</w:t>
      </w:r>
      <w:r w:rsidRPr="005567CE">
        <w:rPr>
          <w:sz w:val="28"/>
          <w:szCs w:val="28"/>
          <w:lang w:val="uk-UA"/>
        </w:rPr>
        <w:t xml:space="preserve"> спрямований на імплементацію актів законодавства </w:t>
      </w:r>
      <w:r w:rsidRPr="002666EE">
        <w:rPr>
          <w:sz w:val="28"/>
          <w:szCs w:val="28"/>
          <w:lang w:val="uk-UA"/>
        </w:rPr>
        <w:t>Енергетичного Співтовариства у сфері енергетики</w:t>
      </w:r>
      <w:r w:rsidRPr="00C00E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C00E4D">
        <w:rPr>
          <w:sz w:val="28"/>
          <w:szCs w:val="28"/>
          <w:lang w:val="uk-UA"/>
        </w:rPr>
        <w:t>законодавств</w:t>
      </w:r>
      <w:r>
        <w:rPr>
          <w:sz w:val="28"/>
          <w:szCs w:val="28"/>
          <w:lang w:val="uk-UA"/>
        </w:rPr>
        <w:t>а</w:t>
      </w:r>
      <w:r w:rsidRPr="00C00E4D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.</w:t>
      </w:r>
    </w:p>
    <w:p w:rsidR="00C10F00" w:rsidRPr="006226C0" w:rsidRDefault="0095203A" w:rsidP="00C10F0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</w:t>
      </w:r>
      <w:r w:rsidR="00E948F8">
        <w:rPr>
          <w:sz w:val="28"/>
          <w:szCs w:val="28"/>
          <w:lang w:val="uk-UA"/>
        </w:rPr>
        <w:t xml:space="preserve">, </w:t>
      </w:r>
      <w:r w:rsidR="00C10F00" w:rsidRPr="006226C0">
        <w:rPr>
          <w:sz w:val="28"/>
          <w:szCs w:val="28"/>
          <w:lang w:val="uk-UA"/>
        </w:rPr>
        <w:t xml:space="preserve">Україна зобов’язалася </w:t>
      </w:r>
      <w:proofErr w:type="spellStart"/>
      <w:r w:rsidR="00C10F00" w:rsidRPr="006226C0">
        <w:rPr>
          <w:sz w:val="28"/>
          <w:szCs w:val="28"/>
          <w:lang w:val="uk-UA"/>
        </w:rPr>
        <w:t>імплементувати</w:t>
      </w:r>
      <w:proofErr w:type="spellEnd"/>
      <w:r w:rsidR="00C10F00" w:rsidRPr="006226C0">
        <w:rPr>
          <w:sz w:val="28"/>
          <w:szCs w:val="28"/>
          <w:lang w:val="uk-UA"/>
        </w:rPr>
        <w:t xml:space="preserve"> Регламент (ЄС) №</w:t>
      </w:r>
      <w:r w:rsidR="00C10F00">
        <w:rPr>
          <w:sz w:val="28"/>
          <w:szCs w:val="28"/>
          <w:lang w:val="uk-UA"/>
        </w:rPr>
        <w:t> </w:t>
      </w:r>
      <w:r w:rsidR="00C10F00" w:rsidRPr="006226C0">
        <w:rPr>
          <w:sz w:val="28"/>
          <w:szCs w:val="28"/>
          <w:lang w:val="uk-UA"/>
        </w:rPr>
        <w:t>838/2010 від 23.10.2010 про встановлення настанов стосовно механізму компенсації між операторами системи передачі та спільного регуляторного підходу до встановлення плати за передачу електроенергії»</w:t>
      </w:r>
      <w:r w:rsidR="00C10F00" w:rsidRPr="006226C0">
        <w:rPr>
          <w:rFonts w:eastAsia="SimSun"/>
          <w:sz w:val="28"/>
          <w:szCs w:val="28"/>
          <w:lang w:val="uk-UA" w:bidi="ta-IN"/>
        </w:rPr>
        <w:t xml:space="preserve"> (далі – Регламент Комісії ЄС)</w:t>
      </w:r>
      <w:r w:rsidR="00C10F00" w:rsidRPr="006226C0">
        <w:rPr>
          <w:sz w:val="28"/>
          <w:szCs w:val="28"/>
          <w:lang w:val="uk-UA"/>
        </w:rPr>
        <w:t>.</w:t>
      </w:r>
    </w:p>
    <w:p w:rsidR="00C10F00" w:rsidRDefault="00C10F00" w:rsidP="00C10F00">
      <w:pPr>
        <w:ind w:firstLine="709"/>
        <w:jc w:val="both"/>
        <w:rPr>
          <w:sz w:val="28"/>
          <w:szCs w:val="28"/>
          <w:lang w:val="uk-UA"/>
        </w:rPr>
      </w:pPr>
      <w:r w:rsidRPr="00711D31">
        <w:rPr>
          <w:rFonts w:eastAsia="SimSun"/>
          <w:sz w:val="28"/>
          <w:szCs w:val="28"/>
          <w:lang w:val="uk-UA" w:bidi="ta-IN"/>
        </w:rPr>
        <w:t>Регламент Комісії ЄС</w:t>
      </w:r>
      <w:r w:rsidRPr="00711D31">
        <w:rPr>
          <w:sz w:val="28"/>
          <w:szCs w:val="28"/>
          <w:lang w:val="uk-UA"/>
        </w:rPr>
        <w:t xml:space="preserve"> встановлює єдиний підхід до встановлення плати за доступ до систем передачі, що працюють в межах однієї об’єднаної (синхронної) енергосистеми, при здійсненні транскордонних обмінів електричною енергією для забезпечення рівних умов роботи учасників ринку з різних країн на єдиному ринку ЄС. </w:t>
      </w:r>
    </w:p>
    <w:p w:rsidR="005567CE" w:rsidRDefault="005567CE" w:rsidP="005567CE">
      <w:pPr>
        <w:ind w:firstLine="539"/>
        <w:jc w:val="both"/>
        <w:outlineLvl w:val="1"/>
        <w:rPr>
          <w:bCs/>
          <w:sz w:val="28"/>
          <w:szCs w:val="28"/>
          <w:lang w:val="uk-UA"/>
        </w:rPr>
      </w:pPr>
      <w:r w:rsidRPr="00EF15DA">
        <w:rPr>
          <w:sz w:val="28"/>
          <w:szCs w:val="28"/>
          <w:lang w:val="uk-UA"/>
        </w:rPr>
        <w:t xml:space="preserve">Отже, з метою впровадження </w:t>
      </w:r>
      <w:r w:rsidRPr="0051138A">
        <w:rPr>
          <w:bCs/>
          <w:sz w:val="28"/>
          <w:szCs w:val="28"/>
          <w:lang w:val="uk-UA"/>
        </w:rPr>
        <w:t>ключових</w:t>
      </w:r>
      <w:r w:rsidRPr="00EF15DA">
        <w:rPr>
          <w:sz w:val="28"/>
          <w:szCs w:val="28"/>
          <w:lang w:val="uk-UA"/>
        </w:rPr>
        <w:t xml:space="preserve"> положень Регламенту Комісії ЄС </w:t>
      </w:r>
      <w:r w:rsidRPr="00EF15DA">
        <w:rPr>
          <w:bCs/>
          <w:sz w:val="28"/>
          <w:szCs w:val="28"/>
          <w:lang w:val="uk-UA"/>
        </w:rPr>
        <w:t>у вторинне</w:t>
      </w:r>
      <w:r w:rsidRPr="0051138A">
        <w:rPr>
          <w:bCs/>
          <w:sz w:val="28"/>
          <w:szCs w:val="28"/>
          <w:lang w:val="uk-UA"/>
        </w:rPr>
        <w:t xml:space="preserve"> законодавство</w:t>
      </w:r>
      <w:r>
        <w:rPr>
          <w:bCs/>
          <w:sz w:val="28"/>
          <w:szCs w:val="28"/>
          <w:lang w:val="uk-UA"/>
        </w:rPr>
        <w:t xml:space="preserve"> -</w:t>
      </w:r>
      <w:r w:rsidRPr="0051138A">
        <w:rPr>
          <w:bCs/>
          <w:sz w:val="28"/>
          <w:szCs w:val="28"/>
          <w:lang w:val="uk-UA"/>
        </w:rPr>
        <w:t xml:space="preserve"> </w:t>
      </w:r>
      <w:r w:rsidRPr="00FB03ED">
        <w:rPr>
          <w:sz w:val="28"/>
          <w:szCs w:val="28"/>
          <w:lang w:val="uk-UA"/>
        </w:rPr>
        <w:t>нормативн</w:t>
      </w:r>
      <w:r>
        <w:rPr>
          <w:sz w:val="28"/>
          <w:szCs w:val="28"/>
          <w:lang w:val="uk-UA"/>
        </w:rPr>
        <w:t>у</w:t>
      </w:r>
      <w:r w:rsidRPr="00FB03ED">
        <w:rPr>
          <w:sz w:val="28"/>
          <w:szCs w:val="28"/>
          <w:lang w:val="uk-UA"/>
        </w:rPr>
        <w:t xml:space="preserve"> баз</w:t>
      </w:r>
      <w:r>
        <w:rPr>
          <w:sz w:val="28"/>
          <w:szCs w:val="28"/>
          <w:lang w:val="uk-UA"/>
        </w:rPr>
        <w:t>у</w:t>
      </w:r>
      <w:r w:rsidRPr="00FB03ED">
        <w:rPr>
          <w:sz w:val="28"/>
          <w:szCs w:val="28"/>
          <w:lang w:val="uk-UA"/>
        </w:rPr>
        <w:t xml:space="preserve"> Регулятора</w:t>
      </w:r>
      <w:r>
        <w:rPr>
          <w:sz w:val="28"/>
          <w:szCs w:val="28"/>
          <w:lang w:val="uk-UA"/>
        </w:rPr>
        <w:t>,</w:t>
      </w:r>
      <w:r w:rsidRPr="00FB03ED">
        <w:rPr>
          <w:sz w:val="28"/>
          <w:szCs w:val="28"/>
          <w:lang w:val="uk-UA"/>
        </w:rPr>
        <w:t xml:space="preserve"> </w:t>
      </w:r>
      <w:r w:rsidRPr="0051138A">
        <w:rPr>
          <w:bCs/>
          <w:sz w:val="28"/>
          <w:szCs w:val="28"/>
          <w:lang w:val="uk-UA"/>
        </w:rPr>
        <w:t xml:space="preserve">розроблено </w:t>
      </w:r>
      <w:proofErr w:type="spellStart"/>
      <w:r w:rsidRPr="0051138A">
        <w:rPr>
          <w:bCs/>
          <w:sz w:val="28"/>
          <w:szCs w:val="28"/>
          <w:lang w:val="uk-UA"/>
        </w:rPr>
        <w:t>проєкт</w:t>
      </w:r>
      <w:proofErr w:type="spellEnd"/>
      <w:r w:rsidRPr="0051138A">
        <w:rPr>
          <w:bCs/>
          <w:sz w:val="28"/>
          <w:szCs w:val="28"/>
          <w:lang w:val="uk-UA"/>
        </w:rPr>
        <w:t xml:space="preserve"> постанови НКРЕКП «Про затвердження Змін до Кодексу системи передачі» (далі – Проект</w:t>
      </w:r>
      <w:r>
        <w:rPr>
          <w:bCs/>
          <w:sz w:val="28"/>
          <w:szCs w:val="28"/>
          <w:lang w:val="uk-UA"/>
        </w:rPr>
        <w:t xml:space="preserve"> постанови</w:t>
      </w:r>
      <w:r w:rsidRPr="0051138A">
        <w:rPr>
          <w:bCs/>
          <w:sz w:val="28"/>
          <w:szCs w:val="28"/>
          <w:lang w:val="uk-UA"/>
        </w:rPr>
        <w:t xml:space="preserve">). </w:t>
      </w:r>
    </w:p>
    <w:p w:rsidR="002F2401" w:rsidRDefault="002F2401" w:rsidP="00C10F0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 </w:t>
      </w:r>
      <w:r w:rsidR="005567CE">
        <w:rPr>
          <w:sz w:val="28"/>
          <w:szCs w:val="28"/>
          <w:lang w:val="uk-UA"/>
        </w:rPr>
        <w:t xml:space="preserve">до Кодексу системи передачі </w:t>
      </w:r>
      <w:r>
        <w:rPr>
          <w:sz w:val="28"/>
          <w:szCs w:val="28"/>
          <w:lang w:val="uk-UA"/>
        </w:rPr>
        <w:t>запропоновані з</w:t>
      </w:r>
      <w:r w:rsidRPr="002F2401">
        <w:rPr>
          <w:sz w:val="28"/>
          <w:szCs w:val="28"/>
          <w:lang w:val="uk-UA"/>
        </w:rPr>
        <w:t xml:space="preserve"> метою </w:t>
      </w:r>
      <w:r w:rsidR="00111862" w:rsidRPr="00AD4C66">
        <w:rPr>
          <w:sz w:val="28"/>
          <w:szCs w:val="28"/>
          <w:lang w:val="uk-UA"/>
        </w:rPr>
        <w:t xml:space="preserve">виконання </w:t>
      </w:r>
      <w:r w:rsidRPr="002F2401">
        <w:rPr>
          <w:sz w:val="28"/>
          <w:szCs w:val="28"/>
          <w:lang w:val="uk-UA"/>
        </w:rPr>
        <w:t xml:space="preserve">зобов’язань України щодо імплементації Регламенту Комісії ЄС для забезпечення </w:t>
      </w:r>
      <w:r w:rsidR="00D27853">
        <w:rPr>
          <w:sz w:val="28"/>
          <w:szCs w:val="28"/>
          <w:lang w:val="uk-UA"/>
        </w:rPr>
        <w:t xml:space="preserve">та </w:t>
      </w:r>
      <w:r w:rsidR="00D27853" w:rsidRPr="00D27853">
        <w:rPr>
          <w:bCs/>
          <w:sz w:val="28"/>
          <w:szCs w:val="28"/>
          <w:lang w:val="uk-UA"/>
        </w:rPr>
        <w:t>оптимізації організаційних процесів</w:t>
      </w:r>
      <w:r w:rsidR="00D27853" w:rsidRPr="002F2401">
        <w:rPr>
          <w:sz w:val="28"/>
          <w:szCs w:val="28"/>
          <w:lang w:val="uk-UA"/>
        </w:rPr>
        <w:t xml:space="preserve"> </w:t>
      </w:r>
      <w:r w:rsidRPr="002F2401">
        <w:rPr>
          <w:sz w:val="28"/>
          <w:szCs w:val="28"/>
          <w:lang w:val="uk-UA"/>
        </w:rPr>
        <w:t xml:space="preserve">участі ОСП України в </w:t>
      </w:r>
      <w:r w:rsidR="00106C17">
        <w:rPr>
          <w:sz w:val="28"/>
          <w:szCs w:val="28"/>
          <w:lang w:val="uk-UA"/>
        </w:rPr>
        <w:t xml:space="preserve">механізмі </w:t>
      </w:r>
      <w:r w:rsidR="00106C17" w:rsidRPr="00106C17">
        <w:rPr>
          <w:sz w:val="28"/>
          <w:szCs w:val="28"/>
          <w:lang w:val="uk-UA"/>
        </w:rPr>
        <w:t>компенсац</w:t>
      </w:r>
      <w:r w:rsidR="00106C17">
        <w:rPr>
          <w:sz w:val="28"/>
          <w:szCs w:val="28"/>
          <w:lang w:val="uk-UA"/>
        </w:rPr>
        <w:t>ії</w:t>
      </w:r>
      <w:r w:rsidR="00106C17" w:rsidRPr="00106C17">
        <w:rPr>
          <w:sz w:val="28"/>
          <w:szCs w:val="28"/>
          <w:lang w:val="uk-UA"/>
        </w:rPr>
        <w:t xml:space="preserve"> витрат системних операторів при </w:t>
      </w:r>
      <w:r w:rsidR="00106C17">
        <w:rPr>
          <w:sz w:val="28"/>
          <w:szCs w:val="28"/>
          <w:lang w:val="uk-UA"/>
        </w:rPr>
        <w:t>експорті/імпорті  електричної енергії</w:t>
      </w:r>
      <w:r w:rsidR="00106C17" w:rsidRPr="00106C17">
        <w:rPr>
          <w:sz w:val="28"/>
          <w:szCs w:val="28"/>
          <w:lang w:val="uk-UA"/>
        </w:rPr>
        <w:t xml:space="preserve"> </w:t>
      </w:r>
      <w:r w:rsidR="001178F4">
        <w:rPr>
          <w:sz w:val="28"/>
          <w:szCs w:val="28"/>
          <w:lang w:val="uk-UA"/>
        </w:rPr>
        <w:t>(</w:t>
      </w:r>
      <w:r w:rsidR="00D064F6">
        <w:rPr>
          <w:sz w:val="28"/>
          <w:szCs w:val="28"/>
          <w:lang w:val="uk-UA"/>
        </w:rPr>
        <w:t>ІТС механізм</w:t>
      </w:r>
      <w:r w:rsidR="00D27853">
        <w:rPr>
          <w:sz w:val="28"/>
          <w:szCs w:val="28"/>
          <w:lang w:val="uk-UA"/>
        </w:rPr>
        <w:t>)</w:t>
      </w:r>
      <w:r w:rsidR="005567CE">
        <w:rPr>
          <w:sz w:val="28"/>
          <w:szCs w:val="28"/>
          <w:lang w:val="uk-UA"/>
        </w:rPr>
        <w:t>.</w:t>
      </w:r>
      <w:r w:rsidR="001178F4">
        <w:rPr>
          <w:sz w:val="28"/>
          <w:szCs w:val="28"/>
          <w:lang w:val="uk-UA"/>
        </w:rPr>
        <w:t xml:space="preserve"> </w:t>
      </w:r>
      <w:r w:rsidR="005567CE">
        <w:rPr>
          <w:sz w:val="28"/>
          <w:szCs w:val="28"/>
          <w:lang w:val="uk-UA"/>
        </w:rPr>
        <w:t xml:space="preserve">Таким чином </w:t>
      </w:r>
      <w:proofErr w:type="spellStart"/>
      <w:r w:rsidR="005567CE">
        <w:rPr>
          <w:sz w:val="28"/>
          <w:szCs w:val="28"/>
          <w:lang w:val="uk-UA"/>
        </w:rPr>
        <w:t>Проєктом</w:t>
      </w:r>
      <w:proofErr w:type="spellEnd"/>
      <w:r w:rsidR="005567CE">
        <w:rPr>
          <w:sz w:val="28"/>
          <w:szCs w:val="28"/>
          <w:lang w:val="uk-UA"/>
        </w:rPr>
        <w:t xml:space="preserve"> постанови</w:t>
      </w:r>
      <w:r w:rsidRPr="002F2401">
        <w:rPr>
          <w:sz w:val="28"/>
          <w:szCs w:val="28"/>
          <w:lang w:val="uk-UA"/>
        </w:rPr>
        <w:t xml:space="preserve"> </w:t>
      </w:r>
      <w:r w:rsidR="005567CE">
        <w:rPr>
          <w:sz w:val="28"/>
          <w:szCs w:val="28"/>
          <w:lang w:val="uk-UA"/>
        </w:rPr>
        <w:t xml:space="preserve">пропонується </w:t>
      </w:r>
      <w:r w:rsidRPr="002F2401">
        <w:rPr>
          <w:sz w:val="28"/>
          <w:szCs w:val="28"/>
          <w:lang w:val="uk-UA"/>
        </w:rPr>
        <w:t>імплементаці</w:t>
      </w:r>
      <w:r w:rsidR="005567CE">
        <w:rPr>
          <w:sz w:val="28"/>
          <w:szCs w:val="28"/>
          <w:lang w:val="uk-UA"/>
        </w:rPr>
        <w:t xml:space="preserve">я </w:t>
      </w:r>
      <w:r w:rsidRPr="002F2401">
        <w:rPr>
          <w:sz w:val="28"/>
          <w:szCs w:val="28"/>
          <w:lang w:val="uk-UA"/>
        </w:rPr>
        <w:t xml:space="preserve">положень законодавства ЄС, включених Радою Міністрів Енергетичного Співтовариства до переліку </w:t>
      </w:r>
      <w:r w:rsidRPr="00AD4C66">
        <w:rPr>
          <w:sz w:val="28"/>
          <w:szCs w:val="28"/>
          <w:lang w:val="uk-UA"/>
        </w:rPr>
        <w:t>a</w:t>
      </w:r>
      <w:r w:rsidR="004E2FDC" w:rsidRPr="00AD4C66">
        <w:rPr>
          <w:sz w:val="28"/>
          <w:szCs w:val="28"/>
          <w:lang w:val="en-US"/>
        </w:rPr>
        <w:t>c</w:t>
      </w:r>
      <w:proofErr w:type="spellStart"/>
      <w:r w:rsidRPr="00AD4C66">
        <w:rPr>
          <w:sz w:val="28"/>
          <w:szCs w:val="28"/>
          <w:lang w:val="uk-UA"/>
        </w:rPr>
        <w:t>quis</w:t>
      </w:r>
      <w:proofErr w:type="spellEnd"/>
      <w:r w:rsidRPr="002F2401">
        <w:rPr>
          <w:sz w:val="28"/>
          <w:szCs w:val="28"/>
          <w:lang w:val="uk-UA"/>
        </w:rPr>
        <w:t xml:space="preserve"> шляхом розроблення відповідних </w:t>
      </w:r>
      <w:proofErr w:type="spellStart"/>
      <w:r w:rsidRPr="002F2401">
        <w:rPr>
          <w:sz w:val="28"/>
          <w:szCs w:val="28"/>
          <w:lang w:val="uk-UA"/>
        </w:rPr>
        <w:t>проєктів</w:t>
      </w:r>
      <w:proofErr w:type="spellEnd"/>
      <w:r w:rsidRPr="002F2401">
        <w:rPr>
          <w:sz w:val="28"/>
          <w:szCs w:val="28"/>
          <w:lang w:val="uk-UA"/>
        </w:rPr>
        <w:t xml:space="preserve"> змін до нормативної бази Регулятора.</w:t>
      </w:r>
    </w:p>
    <w:p w:rsidR="00FB03ED" w:rsidRPr="0027011A" w:rsidRDefault="00FB03ED" w:rsidP="00FB03ED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Вплив проблеми на основні групи (підгрупи):</w:t>
      </w:r>
    </w:p>
    <w:p w:rsidR="00FB03ED" w:rsidRPr="00E27D79" w:rsidRDefault="00FB03ED" w:rsidP="00FB03ED">
      <w:pPr>
        <w:ind w:firstLine="709"/>
        <w:jc w:val="both"/>
        <w:rPr>
          <w:i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667"/>
        <w:gridCol w:w="1985"/>
      </w:tblGrid>
      <w:tr w:rsidR="00FB03ED" w:rsidRPr="0027011A" w:rsidTr="00FB03ED">
        <w:trPr>
          <w:trHeight w:val="70"/>
        </w:trPr>
        <w:tc>
          <w:tcPr>
            <w:tcW w:w="3202" w:type="dxa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Групи (підгрупи)</w:t>
            </w:r>
          </w:p>
        </w:tc>
        <w:tc>
          <w:tcPr>
            <w:tcW w:w="4667" w:type="dxa"/>
            <w:vAlign w:val="center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Так</w:t>
            </w:r>
          </w:p>
        </w:tc>
        <w:tc>
          <w:tcPr>
            <w:tcW w:w="1985" w:type="dxa"/>
            <w:vAlign w:val="center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Ні</w:t>
            </w:r>
          </w:p>
        </w:tc>
      </w:tr>
      <w:tr w:rsidR="00FB03ED" w:rsidRPr="0027011A" w:rsidTr="00FB03ED">
        <w:trPr>
          <w:trHeight w:val="70"/>
        </w:trPr>
        <w:tc>
          <w:tcPr>
            <w:tcW w:w="3202" w:type="dxa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Громадяни</w:t>
            </w:r>
          </w:p>
        </w:tc>
        <w:tc>
          <w:tcPr>
            <w:tcW w:w="4667" w:type="dxa"/>
            <w:vAlign w:val="center"/>
          </w:tcPr>
          <w:p w:rsidR="00FB03ED" w:rsidRPr="0027011A" w:rsidRDefault="00FB03ED" w:rsidP="00FB03ED">
            <w:pPr>
              <w:rPr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FB03ED" w:rsidRPr="0027011A" w:rsidRDefault="00E914F8" w:rsidP="00FB03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</w:tr>
      <w:tr w:rsidR="00FB03ED" w:rsidRPr="00A21E20" w:rsidTr="00FB03ED">
        <w:trPr>
          <w:trHeight w:val="70"/>
        </w:trPr>
        <w:tc>
          <w:tcPr>
            <w:tcW w:w="3202" w:type="dxa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Держава</w:t>
            </w:r>
          </w:p>
        </w:tc>
        <w:tc>
          <w:tcPr>
            <w:tcW w:w="4667" w:type="dxa"/>
            <w:vAlign w:val="center"/>
          </w:tcPr>
          <w:p w:rsidR="001C4872" w:rsidRPr="001C4872" w:rsidRDefault="001C4872" w:rsidP="001C4872">
            <w:pPr>
              <w:jc w:val="both"/>
              <w:rPr>
                <w:lang w:val="uk-UA"/>
              </w:rPr>
            </w:pPr>
            <w:r w:rsidRPr="001C4872">
              <w:rPr>
                <w:lang w:val="uk-UA"/>
              </w:rPr>
              <w:t>Так. Стабільне функціонування паливно-енергетичного комплексу України</w:t>
            </w:r>
            <w:r w:rsidR="00142D3A">
              <w:rPr>
                <w:lang w:val="uk-UA"/>
              </w:rPr>
              <w:t>.</w:t>
            </w:r>
          </w:p>
          <w:p w:rsidR="00FB03ED" w:rsidRPr="004E2FDC" w:rsidRDefault="001C4872" w:rsidP="001C4872">
            <w:pPr>
              <w:jc w:val="both"/>
              <w:rPr>
                <w:highlight w:val="yellow"/>
                <w:lang w:val="uk-UA"/>
              </w:rPr>
            </w:pPr>
            <w:r w:rsidRPr="001C4872">
              <w:rPr>
                <w:lang w:val="uk-UA"/>
              </w:rPr>
              <w:lastRenderedPageBreak/>
              <w:t>Реалізація державної політики в сфері паливно-енергетичного комплексу України. Впровадження зобов’язань України щодо імплементації Регламенту Комісії ЄС для забезпечення участі ОСП України в ІТС механізмі.</w:t>
            </w:r>
          </w:p>
        </w:tc>
        <w:tc>
          <w:tcPr>
            <w:tcW w:w="1985" w:type="dxa"/>
            <w:vAlign w:val="center"/>
          </w:tcPr>
          <w:p w:rsidR="00FB03ED" w:rsidRPr="00A21E20" w:rsidRDefault="00FB03ED" w:rsidP="00FB03ED">
            <w:pPr>
              <w:jc w:val="center"/>
              <w:rPr>
                <w:lang w:val="uk-UA"/>
              </w:rPr>
            </w:pPr>
          </w:p>
        </w:tc>
      </w:tr>
      <w:tr w:rsidR="00FB03ED" w:rsidRPr="00A21E20" w:rsidTr="00FB03ED">
        <w:trPr>
          <w:trHeight w:val="70"/>
        </w:trPr>
        <w:tc>
          <w:tcPr>
            <w:tcW w:w="3202" w:type="dxa"/>
          </w:tcPr>
          <w:p w:rsidR="00FB03ED" w:rsidRPr="0027011A" w:rsidRDefault="00FB03ED" w:rsidP="00FB03ED">
            <w:pPr>
              <w:jc w:val="center"/>
              <w:rPr>
                <w:lang w:val="uk-UA"/>
              </w:rPr>
            </w:pPr>
            <w:bookmarkStart w:id="0" w:name="_GoBack" w:colFirst="3" w:colLast="3"/>
            <w:r w:rsidRPr="0027011A">
              <w:rPr>
                <w:lang w:val="uk-UA"/>
              </w:rPr>
              <w:lastRenderedPageBreak/>
              <w:t>Суб’єкти господарювання</w:t>
            </w:r>
          </w:p>
        </w:tc>
        <w:tc>
          <w:tcPr>
            <w:tcW w:w="4667" w:type="dxa"/>
            <w:vAlign w:val="center"/>
          </w:tcPr>
          <w:p w:rsidR="004D18BA" w:rsidRPr="001C4872" w:rsidRDefault="001C4872" w:rsidP="00A33417">
            <w:pPr>
              <w:jc w:val="both"/>
              <w:rPr>
                <w:highlight w:val="yellow"/>
                <w:lang w:val="uk-UA"/>
              </w:rPr>
            </w:pPr>
            <w:r w:rsidRPr="001C4872">
              <w:rPr>
                <w:lang w:val="uk-UA"/>
              </w:rPr>
              <w:t xml:space="preserve">Так. Дозволить привести норми </w:t>
            </w:r>
            <w:r>
              <w:rPr>
                <w:lang w:val="uk-UA"/>
              </w:rPr>
              <w:t>Кодексу системи передачі</w:t>
            </w:r>
            <w:r w:rsidRPr="001C4872">
              <w:rPr>
                <w:lang w:val="uk-UA"/>
              </w:rPr>
              <w:t xml:space="preserve"> у відповідність</w:t>
            </w:r>
            <w:r w:rsidR="00142D3A">
              <w:rPr>
                <w:lang w:val="uk-UA"/>
              </w:rPr>
              <w:t xml:space="preserve"> до</w:t>
            </w:r>
            <w:r w:rsidRPr="001C4872">
              <w:rPr>
                <w:lang w:val="uk-UA"/>
              </w:rPr>
              <w:t xml:space="preserve"> п</w:t>
            </w:r>
            <w:r w:rsidR="00553AE0">
              <w:rPr>
                <w:lang w:val="uk-UA"/>
              </w:rPr>
              <w:t>оложен</w:t>
            </w:r>
            <w:r w:rsidR="00142D3A">
              <w:rPr>
                <w:lang w:val="uk-UA"/>
              </w:rPr>
              <w:t>ь</w:t>
            </w:r>
            <w:r w:rsidR="00553AE0">
              <w:rPr>
                <w:lang w:val="uk-UA"/>
              </w:rPr>
              <w:t xml:space="preserve"> Регламенту Комісії ЄС</w:t>
            </w:r>
            <w:r w:rsidRPr="001C4872">
              <w:rPr>
                <w:lang w:val="uk-UA"/>
              </w:rPr>
              <w:t xml:space="preserve">, </w:t>
            </w:r>
            <w:r w:rsidR="00824A5F">
              <w:rPr>
                <w:lang w:val="uk-UA"/>
              </w:rPr>
              <w:t>д</w:t>
            </w:r>
            <w:r w:rsidR="00553AE0" w:rsidRPr="00553AE0">
              <w:rPr>
                <w:lang w:val="uk-UA"/>
              </w:rPr>
              <w:t>озволить унормувати підходи щодо забезпечення участі ОСП України у ІТС механізмі та врегулює діяльність учасників ринку, зокрема, що здійснюють діяльність зі експорту/імпорту електричної енергії</w:t>
            </w:r>
            <w:r w:rsidR="00A33417">
              <w:rPr>
                <w:lang w:val="uk-UA"/>
              </w:rPr>
              <w:t>,</w:t>
            </w:r>
            <w:r w:rsidR="00553AE0" w:rsidRPr="00553AE0">
              <w:rPr>
                <w:lang w:val="uk-UA"/>
              </w:rPr>
              <w:t xml:space="preserve"> після приєднання ОСП України до ІТС механізму.</w:t>
            </w:r>
          </w:p>
        </w:tc>
        <w:tc>
          <w:tcPr>
            <w:tcW w:w="1985" w:type="dxa"/>
            <w:vAlign w:val="center"/>
          </w:tcPr>
          <w:p w:rsidR="00FB03ED" w:rsidRPr="00A21E20" w:rsidRDefault="00FB03ED" w:rsidP="00FB03ED">
            <w:pPr>
              <w:jc w:val="center"/>
              <w:rPr>
                <w:lang w:val="uk-UA"/>
              </w:rPr>
            </w:pPr>
          </w:p>
        </w:tc>
      </w:tr>
    </w:tbl>
    <w:bookmarkEnd w:id="0"/>
    <w:p w:rsidR="00907522" w:rsidRDefault="00907522" w:rsidP="00907522">
      <w:pPr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II. Цілі державного регулювання</w:t>
      </w:r>
    </w:p>
    <w:p w:rsidR="00D064F6" w:rsidRDefault="00D064F6" w:rsidP="00907522">
      <w:pPr>
        <w:jc w:val="center"/>
        <w:rPr>
          <w:b/>
          <w:bCs/>
          <w:sz w:val="28"/>
          <w:szCs w:val="28"/>
          <w:lang w:val="uk-UA"/>
        </w:rPr>
      </w:pPr>
    </w:p>
    <w:p w:rsidR="00C65D3B" w:rsidRDefault="00D064F6" w:rsidP="00D064F6">
      <w:pPr>
        <w:ind w:firstLine="709"/>
        <w:jc w:val="both"/>
        <w:rPr>
          <w:sz w:val="28"/>
          <w:szCs w:val="28"/>
          <w:lang w:val="uk-UA"/>
        </w:rPr>
      </w:pPr>
      <w:r w:rsidRPr="00D064F6">
        <w:rPr>
          <w:sz w:val="28"/>
          <w:szCs w:val="28"/>
          <w:lang w:val="uk-UA"/>
        </w:rPr>
        <w:t xml:space="preserve">Метою прийняття регуляторного акта є </w:t>
      </w:r>
      <w:r>
        <w:rPr>
          <w:sz w:val="28"/>
          <w:szCs w:val="28"/>
          <w:lang w:val="uk-UA"/>
        </w:rPr>
        <w:t>імплементація</w:t>
      </w:r>
      <w:r w:rsidRPr="00D064F6">
        <w:rPr>
          <w:sz w:val="28"/>
          <w:szCs w:val="28"/>
          <w:lang w:val="uk-UA"/>
        </w:rPr>
        <w:t xml:space="preserve"> положень законодавства ЄС</w:t>
      </w:r>
      <w:r w:rsidR="00D543CD" w:rsidRPr="00D064F6">
        <w:rPr>
          <w:sz w:val="28"/>
          <w:szCs w:val="28"/>
          <w:lang w:val="uk-UA"/>
        </w:rPr>
        <w:t xml:space="preserve"> </w:t>
      </w:r>
      <w:r w:rsidR="00D543CD">
        <w:rPr>
          <w:sz w:val="28"/>
          <w:szCs w:val="28"/>
          <w:lang w:val="uk-UA"/>
        </w:rPr>
        <w:t xml:space="preserve">щодо </w:t>
      </w:r>
      <w:r w:rsidRPr="00D064F6">
        <w:rPr>
          <w:sz w:val="28"/>
          <w:szCs w:val="28"/>
          <w:lang w:val="uk-UA"/>
        </w:rPr>
        <w:t xml:space="preserve">впровадження зобов’язань України </w:t>
      </w:r>
      <w:r w:rsidR="00545F06">
        <w:rPr>
          <w:sz w:val="28"/>
          <w:szCs w:val="28"/>
          <w:lang w:val="uk-UA"/>
        </w:rPr>
        <w:t xml:space="preserve">стосовно </w:t>
      </w:r>
      <w:r w:rsidRPr="00D064F6">
        <w:rPr>
          <w:sz w:val="28"/>
          <w:szCs w:val="28"/>
          <w:lang w:val="uk-UA"/>
        </w:rPr>
        <w:t xml:space="preserve">забезпечення участі ОСП України в </w:t>
      </w:r>
      <w:r>
        <w:rPr>
          <w:sz w:val="28"/>
          <w:szCs w:val="28"/>
          <w:lang w:val="uk-UA"/>
        </w:rPr>
        <w:t>ІТС механізмі</w:t>
      </w:r>
      <w:r w:rsidR="00C65D3B" w:rsidRPr="00C65D3B">
        <w:rPr>
          <w:lang w:val="uk-UA"/>
        </w:rPr>
        <w:t xml:space="preserve"> </w:t>
      </w:r>
      <w:r w:rsidR="00C65D3B" w:rsidRPr="00EB6441">
        <w:rPr>
          <w:sz w:val="28"/>
          <w:szCs w:val="28"/>
          <w:lang w:val="uk-UA"/>
        </w:rPr>
        <w:t xml:space="preserve">в рамках </w:t>
      </w:r>
      <w:r w:rsidR="00EB6441" w:rsidRPr="00EB6441">
        <w:rPr>
          <w:sz w:val="28"/>
          <w:szCs w:val="28"/>
          <w:lang w:val="uk-UA"/>
        </w:rPr>
        <w:t xml:space="preserve">синхронізації </w:t>
      </w:r>
      <w:r w:rsidR="00EB6441" w:rsidRPr="00AD4C66">
        <w:rPr>
          <w:sz w:val="28"/>
          <w:szCs w:val="28"/>
          <w:lang w:val="uk-UA"/>
        </w:rPr>
        <w:t>енергетичн</w:t>
      </w:r>
      <w:r w:rsidR="00580D64" w:rsidRPr="00AD4C66">
        <w:rPr>
          <w:sz w:val="28"/>
          <w:szCs w:val="28"/>
          <w:lang w:val="uk-UA"/>
        </w:rPr>
        <w:t>ої</w:t>
      </w:r>
      <w:r w:rsidR="00EB6441" w:rsidRPr="00AD4C66">
        <w:rPr>
          <w:sz w:val="28"/>
          <w:szCs w:val="28"/>
          <w:lang w:val="uk-UA"/>
        </w:rPr>
        <w:t xml:space="preserve"> систем</w:t>
      </w:r>
      <w:r w:rsidR="00580D64" w:rsidRPr="00AD4C66">
        <w:rPr>
          <w:sz w:val="28"/>
          <w:szCs w:val="28"/>
          <w:lang w:val="uk-UA"/>
        </w:rPr>
        <w:t>и</w:t>
      </w:r>
      <w:r w:rsidR="00EB6441" w:rsidRPr="00AD4C66">
        <w:rPr>
          <w:sz w:val="28"/>
          <w:szCs w:val="28"/>
          <w:lang w:val="uk-UA"/>
        </w:rPr>
        <w:t xml:space="preserve"> України </w:t>
      </w:r>
      <w:r w:rsidR="00EB6441" w:rsidRPr="00EB6441">
        <w:rPr>
          <w:sz w:val="28"/>
          <w:szCs w:val="28"/>
          <w:lang w:val="uk-UA"/>
        </w:rPr>
        <w:t>з енерго</w:t>
      </w:r>
      <w:r w:rsidR="00E8129E">
        <w:rPr>
          <w:sz w:val="28"/>
          <w:szCs w:val="28"/>
          <w:lang w:val="uk-UA"/>
        </w:rPr>
        <w:t>системою континентальної Європи</w:t>
      </w:r>
      <w:r w:rsidR="00EB6441">
        <w:rPr>
          <w:sz w:val="28"/>
          <w:szCs w:val="28"/>
          <w:lang w:val="uk-UA"/>
        </w:rPr>
        <w:t>.</w:t>
      </w:r>
    </w:p>
    <w:p w:rsidR="00E8129E" w:rsidRDefault="00E8129E" w:rsidP="00545F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Зазначене </w:t>
      </w:r>
      <w:r w:rsidR="00FC171D">
        <w:rPr>
          <w:sz w:val="28"/>
          <w:szCs w:val="28"/>
          <w:lang w:val="uk-UA"/>
        </w:rPr>
        <w:t>д</w:t>
      </w:r>
      <w:r w:rsidR="00545F06" w:rsidRPr="00545F06">
        <w:rPr>
          <w:sz w:val="28"/>
          <w:szCs w:val="28"/>
          <w:lang w:val="uk-UA"/>
        </w:rPr>
        <w:t>озволить</w:t>
      </w:r>
      <w:r w:rsidR="00371817" w:rsidRPr="009E07DC">
        <w:rPr>
          <w:lang w:val="uk-UA"/>
        </w:rPr>
        <w:t xml:space="preserve"> </w:t>
      </w:r>
      <w:r w:rsidR="009E07DC">
        <w:rPr>
          <w:sz w:val="28"/>
          <w:szCs w:val="28"/>
          <w:lang w:val="uk-UA"/>
        </w:rPr>
        <w:t>в</w:t>
      </w:r>
      <w:r w:rsidR="00371817" w:rsidRPr="00371817">
        <w:rPr>
          <w:sz w:val="28"/>
          <w:szCs w:val="28"/>
          <w:lang w:val="uk-UA"/>
        </w:rPr>
        <w:t>провад</w:t>
      </w:r>
      <w:r w:rsidR="009E07DC">
        <w:rPr>
          <w:sz w:val="28"/>
          <w:szCs w:val="28"/>
          <w:lang w:val="uk-UA"/>
        </w:rPr>
        <w:t>ити</w:t>
      </w:r>
      <w:r w:rsidR="00371817" w:rsidRPr="00371817">
        <w:rPr>
          <w:sz w:val="28"/>
          <w:szCs w:val="28"/>
          <w:lang w:val="uk-UA"/>
        </w:rPr>
        <w:t xml:space="preserve"> </w:t>
      </w:r>
      <w:r w:rsidR="009E07DC" w:rsidRPr="009E07DC">
        <w:rPr>
          <w:sz w:val="28"/>
          <w:szCs w:val="28"/>
          <w:lang w:val="uk-UA"/>
        </w:rPr>
        <w:t>норм</w:t>
      </w:r>
      <w:r w:rsidR="009E07DC">
        <w:rPr>
          <w:sz w:val="28"/>
          <w:szCs w:val="28"/>
          <w:lang w:val="uk-UA"/>
        </w:rPr>
        <w:t>и</w:t>
      </w:r>
      <w:r w:rsidR="009E07DC" w:rsidRPr="009E07DC">
        <w:rPr>
          <w:sz w:val="28"/>
          <w:szCs w:val="28"/>
          <w:lang w:val="uk-UA"/>
        </w:rPr>
        <w:t xml:space="preserve"> щодо забезпечення участі ОСП України у ІТС механізмі</w:t>
      </w:r>
      <w:r w:rsidR="00083121">
        <w:rPr>
          <w:sz w:val="28"/>
          <w:szCs w:val="28"/>
          <w:lang w:val="uk-UA"/>
        </w:rPr>
        <w:t xml:space="preserve"> та</w:t>
      </w:r>
      <w:r w:rsidR="009E07DC">
        <w:rPr>
          <w:sz w:val="28"/>
          <w:szCs w:val="28"/>
          <w:lang w:val="uk-UA"/>
        </w:rPr>
        <w:t xml:space="preserve"> </w:t>
      </w:r>
      <w:r w:rsidR="009E07DC" w:rsidRPr="009E07DC">
        <w:rPr>
          <w:sz w:val="28"/>
          <w:szCs w:val="28"/>
          <w:lang w:val="uk-UA"/>
        </w:rPr>
        <w:t>визнач</w:t>
      </w:r>
      <w:r w:rsidR="009E07DC">
        <w:rPr>
          <w:sz w:val="28"/>
          <w:szCs w:val="28"/>
          <w:lang w:val="uk-UA"/>
        </w:rPr>
        <w:t>ити</w:t>
      </w:r>
      <w:r w:rsidR="009E07DC" w:rsidRPr="009E07DC">
        <w:rPr>
          <w:sz w:val="28"/>
          <w:szCs w:val="28"/>
          <w:lang w:val="uk-UA"/>
        </w:rPr>
        <w:t xml:space="preserve"> підход</w:t>
      </w:r>
      <w:r w:rsidR="009E07DC">
        <w:rPr>
          <w:sz w:val="28"/>
          <w:szCs w:val="28"/>
          <w:lang w:val="uk-UA"/>
        </w:rPr>
        <w:t>и</w:t>
      </w:r>
      <w:r w:rsidR="009E07DC" w:rsidRPr="009E07DC">
        <w:rPr>
          <w:sz w:val="28"/>
          <w:szCs w:val="28"/>
          <w:lang w:val="uk-UA"/>
        </w:rPr>
        <w:t xml:space="preserve"> </w:t>
      </w:r>
      <w:r w:rsidR="00545F06" w:rsidRPr="00545F06">
        <w:rPr>
          <w:sz w:val="28"/>
          <w:szCs w:val="28"/>
          <w:lang w:val="uk-UA"/>
        </w:rPr>
        <w:t>до здійснення учасниками ринку діяльності експорту/імпорту електричної енергії</w:t>
      </w:r>
      <w:r w:rsidR="00FC171D">
        <w:rPr>
          <w:sz w:val="28"/>
          <w:szCs w:val="28"/>
          <w:lang w:val="uk-UA"/>
        </w:rPr>
        <w:t xml:space="preserve"> </w:t>
      </w:r>
      <w:r w:rsidR="00FC171D" w:rsidRPr="00FC171D">
        <w:rPr>
          <w:sz w:val="28"/>
          <w:szCs w:val="28"/>
          <w:lang w:val="uk-UA"/>
        </w:rPr>
        <w:t>в рамках</w:t>
      </w:r>
      <w:r w:rsidR="00371817">
        <w:rPr>
          <w:sz w:val="28"/>
          <w:szCs w:val="28"/>
          <w:lang w:val="uk-UA"/>
        </w:rPr>
        <w:t xml:space="preserve"> </w:t>
      </w:r>
      <w:r w:rsidR="00371817" w:rsidRPr="00371817">
        <w:rPr>
          <w:sz w:val="28"/>
          <w:szCs w:val="28"/>
          <w:lang w:val="uk-UA"/>
        </w:rPr>
        <w:t>ІТС механізм</w:t>
      </w:r>
      <w:r w:rsidR="00371817">
        <w:rPr>
          <w:sz w:val="28"/>
          <w:szCs w:val="28"/>
          <w:lang w:val="uk-UA"/>
        </w:rPr>
        <w:t>у</w:t>
      </w:r>
      <w:r w:rsidR="00545F06" w:rsidRPr="00545F06">
        <w:rPr>
          <w:sz w:val="28"/>
          <w:szCs w:val="28"/>
          <w:lang w:val="uk-UA"/>
        </w:rPr>
        <w:t>, зміст яких відповідає п</w:t>
      </w:r>
      <w:r w:rsidR="00545F06">
        <w:rPr>
          <w:sz w:val="28"/>
          <w:szCs w:val="28"/>
          <w:lang w:val="uk-UA"/>
        </w:rPr>
        <w:t>оложенням Регламенту Комісії ЄС, встановить прозорі</w:t>
      </w:r>
      <w:r w:rsidR="00545F06" w:rsidRPr="00545F06">
        <w:rPr>
          <w:sz w:val="28"/>
          <w:szCs w:val="28"/>
          <w:lang w:val="uk-UA"/>
        </w:rPr>
        <w:t xml:space="preserve"> правила для </w:t>
      </w:r>
      <w:r w:rsidR="00371817">
        <w:rPr>
          <w:sz w:val="28"/>
          <w:szCs w:val="28"/>
          <w:lang w:val="uk-UA"/>
        </w:rPr>
        <w:t>таких учасників ринку.</w:t>
      </w:r>
    </w:p>
    <w:p w:rsidR="009E07DC" w:rsidRDefault="009E07DC" w:rsidP="00545F06">
      <w:pPr>
        <w:ind w:firstLine="709"/>
        <w:jc w:val="both"/>
        <w:rPr>
          <w:sz w:val="28"/>
          <w:szCs w:val="28"/>
          <w:lang w:val="uk-UA"/>
        </w:rPr>
      </w:pPr>
    </w:p>
    <w:p w:rsidR="009E07DC" w:rsidRPr="0027011A" w:rsidRDefault="009E07DC" w:rsidP="009E07DC">
      <w:pPr>
        <w:ind w:firstLine="709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III. Визначення та оцінка альтернативних способів досягнення цілей</w:t>
      </w:r>
    </w:p>
    <w:p w:rsidR="009E07DC" w:rsidRPr="00194522" w:rsidRDefault="009E07DC" w:rsidP="009E07DC">
      <w:pPr>
        <w:ind w:firstLine="708"/>
        <w:jc w:val="both"/>
        <w:rPr>
          <w:sz w:val="32"/>
          <w:szCs w:val="20"/>
          <w:lang w:val="uk-UA"/>
        </w:rPr>
      </w:pPr>
    </w:p>
    <w:p w:rsidR="009E07DC" w:rsidRPr="0027011A" w:rsidRDefault="009E07DC" w:rsidP="009E07DC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9E07DC" w:rsidRPr="0027011A" w:rsidTr="009E07DC">
        <w:tc>
          <w:tcPr>
            <w:tcW w:w="4786" w:type="dxa"/>
          </w:tcPr>
          <w:p w:rsidR="009E07DC" w:rsidRPr="0027011A" w:rsidRDefault="009E07DC" w:rsidP="009E07DC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4784" w:type="dxa"/>
          </w:tcPr>
          <w:p w:rsidR="009E07DC" w:rsidRPr="0027011A" w:rsidRDefault="009E07DC" w:rsidP="009E07DC">
            <w:pPr>
              <w:spacing w:before="120" w:after="12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Опис альтернативи</w:t>
            </w:r>
          </w:p>
        </w:tc>
      </w:tr>
      <w:tr w:rsidR="009E07DC" w:rsidRPr="006029A7" w:rsidTr="009E07DC">
        <w:trPr>
          <w:trHeight w:val="747"/>
        </w:trPr>
        <w:tc>
          <w:tcPr>
            <w:tcW w:w="4786" w:type="dxa"/>
          </w:tcPr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4784" w:type="dxa"/>
          </w:tcPr>
          <w:p w:rsidR="009E07DC" w:rsidRPr="00AD4C66" w:rsidRDefault="00580D64" w:rsidP="00AD4C66">
            <w:pPr>
              <w:jc w:val="both"/>
              <w:rPr>
                <w:lang w:val="uk-UA"/>
              </w:rPr>
            </w:pPr>
            <w:r w:rsidRPr="00AD4C66">
              <w:rPr>
                <w:lang w:val="uk-UA"/>
              </w:rPr>
              <w:t>П</w:t>
            </w:r>
            <w:r w:rsidR="00083121" w:rsidRPr="00AD4C66">
              <w:rPr>
                <w:lang w:val="uk-UA"/>
              </w:rPr>
              <w:t xml:space="preserve">оложення Кодексу системи передачі </w:t>
            </w:r>
            <w:r w:rsidR="009E07DC" w:rsidRPr="00AD4C66">
              <w:rPr>
                <w:lang w:val="uk-UA"/>
              </w:rPr>
              <w:t>не відповідаю</w:t>
            </w:r>
            <w:r w:rsidR="00083121" w:rsidRPr="00AD4C66">
              <w:rPr>
                <w:lang w:val="uk-UA"/>
              </w:rPr>
              <w:t>ть</w:t>
            </w:r>
            <w:r w:rsidR="00F93447" w:rsidRPr="00AD4C66">
              <w:rPr>
                <w:lang w:val="uk-UA"/>
              </w:rPr>
              <w:t xml:space="preserve"> зобов’язанням України за </w:t>
            </w:r>
            <w:r w:rsidR="009E00BF" w:rsidRPr="00AD4C66">
              <w:rPr>
                <w:lang w:val="uk-UA"/>
              </w:rPr>
              <w:t>Догов</w:t>
            </w:r>
            <w:r w:rsidRPr="00AD4C66">
              <w:rPr>
                <w:lang w:val="uk-UA"/>
              </w:rPr>
              <w:t>о</w:t>
            </w:r>
            <w:r w:rsidR="009E00BF" w:rsidRPr="00AD4C66">
              <w:rPr>
                <w:lang w:val="uk-UA"/>
              </w:rPr>
              <w:t>р</w:t>
            </w:r>
            <w:r w:rsidR="00F93447" w:rsidRPr="00AD4C66">
              <w:rPr>
                <w:lang w:val="uk-UA"/>
              </w:rPr>
              <w:t xml:space="preserve">ом </w:t>
            </w:r>
            <w:r w:rsidR="00E8350C" w:rsidRPr="00AD4C66">
              <w:rPr>
                <w:lang w:val="uk-UA"/>
              </w:rPr>
              <w:t xml:space="preserve">ЄС </w:t>
            </w:r>
            <w:r w:rsidR="00F93447" w:rsidRPr="00AD4C66">
              <w:rPr>
                <w:lang w:val="uk-UA"/>
              </w:rPr>
              <w:t xml:space="preserve">та </w:t>
            </w:r>
            <w:r w:rsidR="009E00BF" w:rsidRPr="00AD4C66">
              <w:rPr>
                <w:lang w:val="uk-UA"/>
              </w:rPr>
              <w:t>Угод</w:t>
            </w:r>
            <w:r w:rsidR="00E8350C" w:rsidRPr="00AD4C66">
              <w:rPr>
                <w:lang w:val="uk-UA"/>
              </w:rPr>
              <w:t xml:space="preserve">ою </w:t>
            </w:r>
            <w:r w:rsidR="009E00BF" w:rsidRPr="00AD4C66">
              <w:rPr>
                <w:lang w:val="uk-UA"/>
              </w:rPr>
              <w:t>про асоціацію</w:t>
            </w:r>
          </w:p>
        </w:tc>
      </w:tr>
      <w:tr w:rsidR="009E07DC" w:rsidRPr="0095203A" w:rsidTr="009E07DC">
        <w:trPr>
          <w:trHeight w:val="317"/>
        </w:trPr>
        <w:tc>
          <w:tcPr>
            <w:tcW w:w="4786" w:type="dxa"/>
          </w:tcPr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Унесення змін до чинного регуляторного акта</w:t>
            </w:r>
          </w:p>
        </w:tc>
        <w:tc>
          <w:tcPr>
            <w:tcW w:w="4784" w:type="dxa"/>
          </w:tcPr>
          <w:p w:rsidR="009E07DC" w:rsidRPr="00AD4C66" w:rsidRDefault="00F93447" w:rsidP="00AD4C66">
            <w:pPr>
              <w:jc w:val="both"/>
              <w:rPr>
                <w:lang w:val="uk-UA"/>
              </w:rPr>
            </w:pPr>
            <w:r w:rsidRPr="00AD4C66">
              <w:rPr>
                <w:lang w:val="uk-UA"/>
              </w:rPr>
              <w:t xml:space="preserve">Приведення нормативно-правової бази НКРЕКП у відповідність до </w:t>
            </w:r>
            <w:r w:rsidR="007A17CB" w:rsidRPr="00AD4C66">
              <w:rPr>
                <w:lang w:val="uk-UA"/>
              </w:rPr>
              <w:t>положен</w:t>
            </w:r>
            <w:r w:rsidR="00580D64" w:rsidRPr="00AD4C66">
              <w:rPr>
                <w:lang w:val="uk-UA"/>
              </w:rPr>
              <w:t>ь Регламенту Комісії ЄС</w:t>
            </w:r>
          </w:p>
        </w:tc>
      </w:tr>
    </w:tbl>
    <w:p w:rsidR="009E07DC" w:rsidRPr="00D62C1F" w:rsidRDefault="009E07DC" w:rsidP="009E07DC">
      <w:pPr>
        <w:ind w:firstLine="708"/>
        <w:jc w:val="both"/>
        <w:rPr>
          <w:sz w:val="28"/>
          <w:szCs w:val="20"/>
          <w:lang w:val="uk-UA"/>
        </w:rPr>
      </w:pPr>
    </w:p>
    <w:p w:rsidR="009E07DC" w:rsidRDefault="009E07DC" w:rsidP="009E07DC">
      <w:pPr>
        <w:ind w:firstLine="708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2. Оцінка вибраних альтернативних способів досягнення цілей</w:t>
      </w:r>
    </w:p>
    <w:p w:rsidR="009E07DC" w:rsidRPr="0027011A" w:rsidRDefault="009E07DC" w:rsidP="009E07DC">
      <w:pPr>
        <w:ind w:firstLine="708"/>
        <w:jc w:val="both"/>
        <w:rPr>
          <w:sz w:val="28"/>
          <w:szCs w:val="28"/>
          <w:lang w:val="uk-UA"/>
        </w:rPr>
      </w:pPr>
    </w:p>
    <w:p w:rsidR="009E07DC" w:rsidRPr="0027011A" w:rsidRDefault="009E07DC" w:rsidP="009E07DC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11A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41"/>
        <w:gridCol w:w="2725"/>
        <w:gridCol w:w="1953"/>
      </w:tblGrid>
      <w:tr w:rsidR="009E07DC" w:rsidRPr="0027011A" w:rsidTr="005567CE">
        <w:trPr>
          <w:trHeight w:val="28"/>
        </w:trPr>
        <w:tc>
          <w:tcPr>
            <w:tcW w:w="4841" w:type="dxa"/>
          </w:tcPr>
          <w:p w:rsidR="009E07DC" w:rsidRPr="0027011A" w:rsidRDefault="009E07DC" w:rsidP="009E07DC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2725" w:type="dxa"/>
          </w:tcPr>
          <w:p w:rsidR="009E07DC" w:rsidRPr="0027011A" w:rsidRDefault="009E07DC" w:rsidP="009E07DC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953" w:type="dxa"/>
          </w:tcPr>
          <w:p w:rsidR="009E07DC" w:rsidRPr="0027011A" w:rsidRDefault="009E07DC" w:rsidP="009E07DC">
            <w:pPr>
              <w:spacing w:before="120" w:after="120" w:line="260" w:lineRule="exact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9E07DC" w:rsidRPr="00B1730D" w:rsidTr="005567CE">
        <w:trPr>
          <w:trHeight w:val="169"/>
        </w:trPr>
        <w:tc>
          <w:tcPr>
            <w:tcW w:w="4841" w:type="dxa"/>
          </w:tcPr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725" w:type="dxa"/>
          </w:tcPr>
          <w:p w:rsidR="009E07DC" w:rsidRPr="004D2B0A" w:rsidRDefault="009E07DC" w:rsidP="009E07DC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D2B0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953" w:type="dxa"/>
          </w:tcPr>
          <w:p w:rsidR="009E07DC" w:rsidRPr="004D2B0A" w:rsidRDefault="001307CC" w:rsidP="00AD4C66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strike/>
                <w:color w:val="auto"/>
                <w:szCs w:val="24"/>
                <w:lang w:val="uk-UA"/>
              </w:rPr>
            </w:pPr>
            <w:r w:rsidRPr="001307C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Невідповідність нормативно-правової бази НКРЕКП </w:t>
            </w:r>
            <w:r w:rsidR="00580D64" w:rsidRPr="00AD4C66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lastRenderedPageBreak/>
              <w:t>зобов’язанням України за Договором ЄС та Угодою про асоціацію</w:t>
            </w:r>
          </w:p>
        </w:tc>
      </w:tr>
      <w:tr w:rsidR="009E07DC" w:rsidRPr="0027011A" w:rsidTr="005567CE">
        <w:tc>
          <w:tcPr>
            <w:tcW w:w="4841" w:type="dxa"/>
          </w:tcPr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lastRenderedPageBreak/>
              <w:t>Альтернатива 2.</w:t>
            </w:r>
          </w:p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725" w:type="dxa"/>
          </w:tcPr>
          <w:p w:rsidR="0016755E" w:rsidRPr="0016755E" w:rsidRDefault="0016755E" w:rsidP="0016755E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Дозволить в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икона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ти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зобов’язан</w:t>
            </w:r>
            <w:r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ня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України за Договором 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ЄС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та Угодою про асоціацію;</w:t>
            </w:r>
          </w:p>
          <w:p w:rsidR="009E07DC" w:rsidRPr="00437C6D" w:rsidRDefault="0016755E" w:rsidP="005567CE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підвищ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ить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енергетичн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у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безпек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у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, 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к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онкурентоспроможн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ість 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та стабільн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у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робот</w:t>
            </w:r>
            <w:r w:rsidR="00E8350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у</w:t>
            </w:r>
            <w:r w:rsidRPr="0016755E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енергетичної системи</w:t>
            </w:r>
            <w:r w:rsidR="001307CC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України.</w:t>
            </w:r>
            <w:r w:rsidR="005567CE" w:rsidRPr="00437C6D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 </w:t>
            </w:r>
          </w:p>
        </w:tc>
        <w:tc>
          <w:tcPr>
            <w:tcW w:w="1953" w:type="dxa"/>
          </w:tcPr>
          <w:p w:rsidR="009E07DC" w:rsidRPr="0027011A" w:rsidRDefault="009E07DC" w:rsidP="009E07DC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Відсутні </w:t>
            </w:r>
          </w:p>
        </w:tc>
      </w:tr>
    </w:tbl>
    <w:p w:rsidR="009E07DC" w:rsidRDefault="009E07DC" w:rsidP="009E07DC">
      <w:pPr>
        <w:ind w:firstLine="709"/>
        <w:jc w:val="both"/>
        <w:rPr>
          <w:sz w:val="28"/>
          <w:szCs w:val="28"/>
          <w:lang w:val="uk-UA"/>
        </w:rPr>
      </w:pPr>
    </w:p>
    <w:p w:rsidR="009E07DC" w:rsidRPr="0027011A" w:rsidRDefault="009E07DC" w:rsidP="009E07DC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6"/>
        <w:gridCol w:w="1984"/>
        <w:gridCol w:w="1843"/>
      </w:tblGrid>
      <w:tr w:rsidR="009E07DC" w:rsidRPr="0027011A" w:rsidTr="00D27853">
        <w:tc>
          <w:tcPr>
            <w:tcW w:w="6026" w:type="dxa"/>
          </w:tcPr>
          <w:p w:rsidR="009E07DC" w:rsidRPr="0027011A" w:rsidRDefault="009E07DC" w:rsidP="009E07DC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1984" w:type="dxa"/>
          </w:tcPr>
          <w:p w:rsidR="009E07DC" w:rsidRPr="0027011A" w:rsidRDefault="009E07DC" w:rsidP="009E07DC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1843" w:type="dxa"/>
          </w:tcPr>
          <w:p w:rsidR="009E07DC" w:rsidRPr="0027011A" w:rsidRDefault="009E07DC" w:rsidP="009E07DC">
            <w:pPr>
              <w:spacing w:before="60" w:after="60"/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9E07DC" w:rsidRPr="0027011A" w:rsidTr="00D27853">
        <w:tc>
          <w:tcPr>
            <w:tcW w:w="6026" w:type="dxa"/>
          </w:tcPr>
          <w:p w:rsidR="009E07DC" w:rsidRPr="0027011A" w:rsidRDefault="009E07DC" w:rsidP="009E07DC">
            <w:pPr>
              <w:spacing w:before="40" w:after="40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9E07DC" w:rsidRPr="0027011A" w:rsidRDefault="009E07DC" w:rsidP="009E07DC">
            <w:pPr>
              <w:spacing w:before="40" w:after="40"/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9E07DC" w:rsidRPr="0027011A" w:rsidRDefault="009E07DC" w:rsidP="009E07DC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9E07DC" w:rsidRPr="0027011A" w:rsidRDefault="009E07DC" w:rsidP="009E07DC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9E07DC" w:rsidRPr="0027011A" w:rsidTr="00D27853">
        <w:tc>
          <w:tcPr>
            <w:tcW w:w="6026" w:type="dxa"/>
          </w:tcPr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1984" w:type="dxa"/>
          </w:tcPr>
          <w:p w:rsidR="009E07DC" w:rsidRPr="0027011A" w:rsidRDefault="009E07DC" w:rsidP="009E07DC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:rsidR="009E07DC" w:rsidRPr="0027011A" w:rsidRDefault="009E07DC" w:rsidP="009E07DC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:rsidR="009E07DC" w:rsidRDefault="009E07DC" w:rsidP="009E07DC">
      <w:pPr>
        <w:ind w:firstLine="709"/>
        <w:jc w:val="both"/>
        <w:rPr>
          <w:sz w:val="28"/>
          <w:szCs w:val="28"/>
          <w:lang w:val="uk-UA"/>
        </w:rPr>
      </w:pPr>
    </w:p>
    <w:p w:rsidR="009E07DC" w:rsidRPr="0027011A" w:rsidRDefault="009E07DC" w:rsidP="009E07DC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3) оцінка впливу на сферу інтересів суб’єктів господарювання:</w:t>
      </w:r>
    </w:p>
    <w:tbl>
      <w:tblPr>
        <w:tblW w:w="98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57"/>
        <w:gridCol w:w="4110"/>
        <w:gridCol w:w="2835"/>
      </w:tblGrid>
      <w:tr w:rsidR="009E07DC" w:rsidRPr="0027011A" w:rsidTr="00536274">
        <w:trPr>
          <w:trHeight w:val="28"/>
        </w:trPr>
        <w:tc>
          <w:tcPr>
            <w:tcW w:w="2857" w:type="dxa"/>
          </w:tcPr>
          <w:p w:rsidR="009E07DC" w:rsidRPr="0027011A" w:rsidRDefault="009E07DC" w:rsidP="009E07DC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Вид альтернативи</w:t>
            </w:r>
          </w:p>
        </w:tc>
        <w:tc>
          <w:tcPr>
            <w:tcW w:w="4110" w:type="dxa"/>
          </w:tcPr>
          <w:p w:rsidR="009E07DC" w:rsidRPr="0027011A" w:rsidRDefault="009E07DC" w:rsidP="009E07DC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Вигоди</w:t>
            </w:r>
          </w:p>
        </w:tc>
        <w:tc>
          <w:tcPr>
            <w:tcW w:w="2835" w:type="dxa"/>
          </w:tcPr>
          <w:p w:rsidR="009E07DC" w:rsidRPr="0027011A" w:rsidRDefault="009E07DC" w:rsidP="009E07DC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Витрати</w:t>
            </w:r>
          </w:p>
        </w:tc>
      </w:tr>
      <w:tr w:rsidR="009E07DC" w:rsidRPr="00A21E20" w:rsidTr="00536274">
        <w:tc>
          <w:tcPr>
            <w:tcW w:w="2857" w:type="dxa"/>
          </w:tcPr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9E07DC" w:rsidRPr="0027011A" w:rsidRDefault="009E07DC" w:rsidP="009E07DC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4110" w:type="dxa"/>
          </w:tcPr>
          <w:p w:rsidR="009E07DC" w:rsidRPr="00B4279C" w:rsidRDefault="009E07DC" w:rsidP="009E07DC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/>
              </w:rPr>
            </w:pPr>
            <w:r w:rsidRPr="004D2B0A">
              <w:rPr>
                <w:rFonts w:ascii="Times New Roman" w:hAnsi="Times New Roman" w:cs="Times New Roman"/>
                <w:lang w:val="uk-UA" w:eastAsia="en-US"/>
              </w:rPr>
              <w:t>Додаткових витрат немає</w:t>
            </w:r>
          </w:p>
          <w:p w:rsidR="009E07DC" w:rsidRPr="00667BCB" w:rsidRDefault="009E07DC" w:rsidP="009E07DC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trike/>
                <w:lang w:val="uk-UA" w:eastAsia="en-US"/>
              </w:rPr>
            </w:pPr>
          </w:p>
        </w:tc>
        <w:tc>
          <w:tcPr>
            <w:tcW w:w="2835" w:type="dxa"/>
          </w:tcPr>
          <w:p w:rsidR="009E07DC" w:rsidRPr="00151E87" w:rsidRDefault="00536274" w:rsidP="00AD4C66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 норма</w:t>
            </w:r>
            <w:r w:rsidRPr="00AD4C66">
              <w:rPr>
                <w:rFonts w:ascii="Times New Roman" w:hAnsi="Times New Roman" w:cs="Times New Roman"/>
                <w:lang w:val="uk-UA"/>
              </w:rPr>
              <w:t>т</w:t>
            </w:r>
            <w:r w:rsidR="007E45AE" w:rsidRPr="00AD4C66">
              <w:rPr>
                <w:rFonts w:ascii="Times New Roman" w:hAnsi="Times New Roman" w:cs="Times New Roman"/>
                <w:lang w:val="uk-UA"/>
              </w:rPr>
              <w:t>и</w:t>
            </w:r>
            <w:r w:rsidRPr="00AD4C66">
              <w:rPr>
                <w:rFonts w:ascii="Times New Roman" w:hAnsi="Times New Roman" w:cs="Times New Roman"/>
                <w:lang w:val="uk-UA"/>
              </w:rPr>
              <w:t xml:space="preserve">вній </w:t>
            </w:r>
            <w:r>
              <w:rPr>
                <w:rFonts w:ascii="Times New Roman" w:hAnsi="Times New Roman" w:cs="Times New Roman"/>
                <w:lang w:val="uk-UA"/>
              </w:rPr>
              <w:t>базі регулятора в</w:t>
            </w:r>
            <w:r w:rsidR="009E07DC" w:rsidRPr="00151E87">
              <w:rPr>
                <w:rFonts w:ascii="Times New Roman" w:hAnsi="Times New Roman" w:cs="Times New Roman"/>
                <w:lang w:val="uk-UA"/>
              </w:rPr>
              <w:t>ідсутн</w:t>
            </w:r>
            <w:r w:rsidR="009E07DC">
              <w:rPr>
                <w:rFonts w:ascii="Times New Roman" w:hAnsi="Times New Roman" w:cs="Times New Roman"/>
                <w:lang w:val="uk-UA"/>
              </w:rPr>
              <w:t>і</w:t>
            </w:r>
            <w:r w:rsidR="005567C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положення</w:t>
            </w:r>
            <w:r w:rsidR="009511CD" w:rsidRPr="009511CD">
              <w:rPr>
                <w:rFonts w:ascii="Times New Roman" w:hAnsi="Times New Roman" w:cs="Times New Roman"/>
                <w:lang w:val="uk-UA"/>
              </w:rPr>
              <w:t xml:space="preserve"> щодо забезпечення участі ОСП України у ІТС механізмі та </w:t>
            </w:r>
            <w:r w:rsidR="009511CD">
              <w:rPr>
                <w:rFonts w:ascii="Times New Roman" w:hAnsi="Times New Roman" w:cs="Times New Roman"/>
                <w:lang w:val="uk-UA"/>
              </w:rPr>
              <w:t xml:space="preserve">щодо </w:t>
            </w:r>
            <w:r w:rsidR="009511CD" w:rsidRPr="009511CD">
              <w:rPr>
                <w:rFonts w:ascii="Times New Roman" w:hAnsi="Times New Roman" w:cs="Times New Roman"/>
                <w:lang w:val="uk-UA"/>
              </w:rPr>
              <w:t>визнач</w:t>
            </w:r>
            <w:r w:rsidR="009511CD">
              <w:rPr>
                <w:rFonts w:ascii="Times New Roman" w:hAnsi="Times New Roman" w:cs="Times New Roman"/>
                <w:lang w:val="uk-UA"/>
              </w:rPr>
              <w:t>ення</w:t>
            </w:r>
            <w:r w:rsidR="009511CD" w:rsidRPr="009511CD">
              <w:rPr>
                <w:rFonts w:ascii="Times New Roman" w:hAnsi="Times New Roman" w:cs="Times New Roman"/>
                <w:lang w:val="uk-UA"/>
              </w:rPr>
              <w:t xml:space="preserve"> підход</w:t>
            </w:r>
            <w:r w:rsidR="009511CD">
              <w:rPr>
                <w:rFonts w:ascii="Times New Roman" w:hAnsi="Times New Roman" w:cs="Times New Roman"/>
                <w:lang w:val="uk-UA"/>
              </w:rPr>
              <w:t>ів</w:t>
            </w:r>
            <w:r w:rsidR="009511CD" w:rsidRPr="009511CD">
              <w:rPr>
                <w:rFonts w:ascii="Times New Roman" w:hAnsi="Times New Roman" w:cs="Times New Roman"/>
                <w:lang w:val="uk-UA"/>
              </w:rPr>
              <w:t xml:space="preserve"> до здійснення учасниками ринку діяльності експорту/імпорту електричної енергії в рамках ІТС механізму</w:t>
            </w:r>
            <w:r w:rsidR="009E07DC" w:rsidRPr="00151E87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9E07DC" w:rsidRPr="00B9412A" w:rsidTr="00536274">
        <w:tc>
          <w:tcPr>
            <w:tcW w:w="2857" w:type="dxa"/>
          </w:tcPr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 2.</w:t>
            </w:r>
          </w:p>
          <w:p w:rsidR="009E07DC" w:rsidRPr="0027011A" w:rsidRDefault="009E07DC" w:rsidP="009E07DC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4110" w:type="dxa"/>
          </w:tcPr>
          <w:p w:rsidR="00097442" w:rsidRPr="00AD4C66" w:rsidRDefault="009E07DC" w:rsidP="00667712">
            <w:pPr>
              <w:jc w:val="both"/>
              <w:rPr>
                <w:lang w:val="uk-UA"/>
              </w:rPr>
            </w:pPr>
            <w:r w:rsidRPr="00AD4C66">
              <w:rPr>
                <w:lang w:val="uk-UA"/>
              </w:rPr>
              <w:t xml:space="preserve">Дозволить унормувати підходи </w:t>
            </w:r>
            <w:r w:rsidR="009511CD" w:rsidRPr="00AD4C66">
              <w:rPr>
                <w:lang w:val="uk-UA"/>
              </w:rPr>
              <w:t>щодо забезпечення участі ОСП України у ІТС механізмі</w:t>
            </w:r>
            <w:r w:rsidR="007E45AE" w:rsidRPr="00AD4C66">
              <w:rPr>
                <w:lang w:val="uk-UA"/>
              </w:rPr>
              <w:t xml:space="preserve"> та врегулю</w:t>
            </w:r>
            <w:r w:rsidR="00F71BB2">
              <w:rPr>
                <w:lang w:val="uk-UA"/>
              </w:rPr>
              <w:t>вати</w:t>
            </w:r>
            <w:r w:rsidR="007E45AE" w:rsidRPr="00AD4C66">
              <w:rPr>
                <w:lang w:val="uk-UA"/>
              </w:rPr>
              <w:t xml:space="preserve"> діяльність учасників ринку, </w:t>
            </w:r>
            <w:r w:rsidR="007A17CB" w:rsidRPr="00AD4C66">
              <w:rPr>
                <w:lang w:val="uk-UA"/>
              </w:rPr>
              <w:t xml:space="preserve">зокрема, </w:t>
            </w:r>
            <w:r w:rsidR="007E45AE" w:rsidRPr="00AD4C66">
              <w:rPr>
                <w:lang w:val="uk-UA"/>
              </w:rPr>
              <w:t>що здійснюють діяльність з експорту/імпорту електричної енергії</w:t>
            </w:r>
            <w:r w:rsidR="00F71BB2">
              <w:rPr>
                <w:lang w:val="uk-UA"/>
              </w:rPr>
              <w:t>,</w:t>
            </w:r>
            <w:r w:rsidR="007E45AE" w:rsidRPr="00AD4C66">
              <w:rPr>
                <w:lang w:val="uk-UA"/>
              </w:rPr>
              <w:t xml:space="preserve"> після приєднання ОСП України до ІТС механізму.</w:t>
            </w:r>
          </w:p>
          <w:p w:rsidR="00716E0E" w:rsidRPr="00AD4C66" w:rsidRDefault="00AD4C66">
            <w:pPr>
              <w:jc w:val="both"/>
              <w:rPr>
                <w:lang w:val="uk-UA"/>
              </w:rPr>
            </w:pPr>
            <w:r w:rsidRPr="00AD4C66">
              <w:rPr>
                <w:lang w:val="uk-UA"/>
              </w:rPr>
              <w:t>Д</w:t>
            </w:r>
            <w:r w:rsidR="00B9412A" w:rsidRPr="00AD4C66">
              <w:rPr>
                <w:lang w:val="uk-UA"/>
              </w:rPr>
              <w:t>озволить підвищити ступінь прозорості та ефективності торгівлі електр</w:t>
            </w:r>
            <w:r w:rsidR="00C90FB2">
              <w:rPr>
                <w:lang w:val="uk-UA"/>
              </w:rPr>
              <w:t xml:space="preserve">ичною </w:t>
            </w:r>
            <w:r w:rsidR="00B9412A" w:rsidRPr="00AD4C66">
              <w:rPr>
                <w:lang w:val="uk-UA"/>
              </w:rPr>
              <w:t>енергією з країнами ЄС</w:t>
            </w:r>
          </w:p>
        </w:tc>
        <w:tc>
          <w:tcPr>
            <w:tcW w:w="2835" w:type="dxa"/>
          </w:tcPr>
          <w:p w:rsidR="009E07DC" w:rsidRPr="0027011A" w:rsidRDefault="009E07DC" w:rsidP="009E07DC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27011A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</w:tbl>
    <w:p w:rsidR="009E07DC" w:rsidRDefault="009E07DC" w:rsidP="009E07DC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p w:rsidR="00331968" w:rsidRPr="0027011A" w:rsidRDefault="00331968" w:rsidP="00331968">
      <w:pPr>
        <w:widowControl w:val="0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lastRenderedPageBreak/>
        <w:t>IV. Вибір найбільш оптимального альтернативного способу</w:t>
      </w:r>
      <w:r w:rsidRPr="0027011A">
        <w:rPr>
          <w:b/>
          <w:bCs/>
          <w:sz w:val="28"/>
          <w:szCs w:val="28"/>
          <w:lang w:val="uk-UA"/>
        </w:rPr>
        <w:br/>
        <w:t>досягнення цілей</w:t>
      </w:r>
    </w:p>
    <w:p w:rsidR="00331968" w:rsidRPr="0027011A" w:rsidRDefault="00331968" w:rsidP="00331968">
      <w:pPr>
        <w:widowControl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976"/>
      </w:tblGrid>
      <w:tr w:rsidR="00331968" w:rsidRPr="0027011A" w:rsidTr="00331968">
        <w:tc>
          <w:tcPr>
            <w:tcW w:w="4467" w:type="dxa"/>
          </w:tcPr>
          <w:p w:rsidR="00331968" w:rsidRPr="0027011A" w:rsidRDefault="00331968" w:rsidP="0033196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Рейтинг результативності</w:t>
            </w:r>
            <w:r w:rsidRPr="0027011A">
              <w:rPr>
                <w:lang w:val="uk-UA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:rsidR="00331968" w:rsidRPr="0027011A" w:rsidRDefault="00331968" w:rsidP="0033196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Бал результативності</w:t>
            </w:r>
            <w:r w:rsidRPr="0027011A">
              <w:rPr>
                <w:lang w:val="uk-UA"/>
              </w:rPr>
              <w:br/>
              <w:t>(за чотирибальною системою оцінки)</w:t>
            </w:r>
          </w:p>
        </w:tc>
        <w:tc>
          <w:tcPr>
            <w:tcW w:w="2976" w:type="dxa"/>
          </w:tcPr>
          <w:p w:rsidR="00331968" w:rsidRPr="0027011A" w:rsidRDefault="00331968" w:rsidP="00331968">
            <w:pPr>
              <w:jc w:val="center"/>
              <w:rPr>
                <w:lang w:val="uk-UA"/>
              </w:rPr>
            </w:pPr>
            <w:r w:rsidRPr="0027011A">
              <w:rPr>
                <w:lang w:val="uk-UA"/>
              </w:rPr>
              <w:t>Коментарі</w:t>
            </w:r>
            <w:r w:rsidRPr="0027011A">
              <w:rPr>
                <w:lang w:val="uk-UA"/>
              </w:rPr>
              <w:br/>
              <w:t>щодо присвоєння відповідного бала</w:t>
            </w:r>
          </w:p>
        </w:tc>
      </w:tr>
      <w:tr w:rsidR="00331968" w:rsidRPr="0027011A" w:rsidTr="00331968">
        <w:tc>
          <w:tcPr>
            <w:tcW w:w="4467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Альтернатива 1.</w:t>
            </w:r>
          </w:p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331968" w:rsidRPr="0027011A" w:rsidRDefault="00331968" w:rsidP="0033196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21E2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976" w:type="dxa"/>
          </w:tcPr>
          <w:p w:rsidR="00331968" w:rsidRPr="00B4279C" w:rsidRDefault="00331968" w:rsidP="00331968">
            <w:pPr>
              <w:shd w:val="clear" w:color="auto" w:fill="FFFFFF"/>
              <w:jc w:val="both"/>
              <w:rPr>
                <w:bCs/>
                <w:strike/>
                <w:color w:val="FF0000"/>
                <w:lang w:val="uk-UA"/>
              </w:rPr>
            </w:pPr>
            <w:r w:rsidRPr="00B4279C">
              <w:rPr>
                <w:lang w:val="uk-UA"/>
              </w:rPr>
              <w:t>Не досягає поставленої мети</w:t>
            </w:r>
          </w:p>
        </w:tc>
      </w:tr>
      <w:tr w:rsidR="00331968" w:rsidRPr="0027011A" w:rsidTr="00331968">
        <w:tc>
          <w:tcPr>
            <w:tcW w:w="4467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b/>
                <w:bCs/>
                <w:lang w:val="uk-UA"/>
              </w:rPr>
              <w:t>Обрана Альтернатива 2.</w:t>
            </w:r>
          </w:p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410" w:type="dxa"/>
          </w:tcPr>
          <w:p w:rsidR="00331968" w:rsidRPr="0027011A" w:rsidRDefault="00331968" w:rsidP="00331968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7011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976" w:type="dxa"/>
          </w:tcPr>
          <w:p w:rsidR="00331968" w:rsidRPr="00D62C1F" w:rsidRDefault="00331968" w:rsidP="00331968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Pr="00D62C1F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самим ефективним шляхом</w:t>
            </w:r>
            <w:r w:rsidRPr="00D62C1F">
              <w:rPr>
                <w:rFonts w:ascii="Times New Roman" w:eastAsia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331968" w:rsidRPr="0027011A" w:rsidRDefault="00331968" w:rsidP="00331968">
      <w:pPr>
        <w:ind w:left="-142"/>
        <w:jc w:val="both"/>
        <w:rPr>
          <w:b/>
          <w:bCs/>
          <w:sz w:val="28"/>
          <w:szCs w:val="28"/>
          <w:lang w:val="uk-UA"/>
        </w:rPr>
      </w:pPr>
    </w:p>
    <w:tbl>
      <w:tblPr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2268"/>
        <w:gridCol w:w="1974"/>
        <w:gridCol w:w="2227"/>
      </w:tblGrid>
      <w:tr w:rsidR="00331968" w:rsidRPr="0027011A" w:rsidTr="00331968">
        <w:trPr>
          <w:trHeight w:val="1128"/>
          <w:jc w:val="center"/>
        </w:trPr>
        <w:tc>
          <w:tcPr>
            <w:tcW w:w="3353" w:type="dxa"/>
          </w:tcPr>
          <w:p w:rsidR="00331968" w:rsidRPr="0027011A" w:rsidRDefault="00331968" w:rsidP="00331968">
            <w:pPr>
              <w:ind w:left="-359"/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268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Вигоди (підсумок)</w:t>
            </w:r>
          </w:p>
        </w:tc>
        <w:tc>
          <w:tcPr>
            <w:tcW w:w="1974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227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331968" w:rsidRPr="0027011A" w:rsidTr="00331968">
        <w:trPr>
          <w:jc w:val="center"/>
        </w:trPr>
        <w:tc>
          <w:tcPr>
            <w:tcW w:w="3353" w:type="dxa"/>
          </w:tcPr>
          <w:p w:rsidR="00331968" w:rsidRPr="0027011A" w:rsidRDefault="00331968" w:rsidP="00331968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1974" w:type="dxa"/>
          </w:tcPr>
          <w:p w:rsidR="00331968" w:rsidRPr="00915F45" w:rsidRDefault="00331968" w:rsidP="00AD4C66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915F45">
              <w:rPr>
                <w:rFonts w:ascii="Times New Roman" w:hAnsi="Times New Roman" w:cs="Times New Roman"/>
                <w:lang w:val="uk-UA"/>
              </w:rPr>
              <w:t>Відсутні</w:t>
            </w:r>
            <w:r w:rsidRPr="00A21E2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536274" w:rsidRPr="00A21E20">
              <w:rPr>
                <w:rFonts w:ascii="Times New Roman" w:eastAsia="Times New Roman" w:hAnsi="Times New Roman" w:cs="Times New Roman"/>
                <w:lang w:val="uk-UA"/>
              </w:rPr>
              <w:t xml:space="preserve">правила роботи учасників ринку у період після впровадження ІТС механізму </w:t>
            </w:r>
          </w:p>
        </w:tc>
        <w:tc>
          <w:tcPr>
            <w:tcW w:w="2227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 xml:space="preserve">Не вирішує проблему </w:t>
            </w:r>
          </w:p>
        </w:tc>
      </w:tr>
      <w:tr w:rsidR="00331968" w:rsidRPr="0027011A" w:rsidTr="00331968">
        <w:trPr>
          <w:trHeight w:val="175"/>
          <w:jc w:val="center"/>
        </w:trPr>
        <w:tc>
          <w:tcPr>
            <w:tcW w:w="3353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b/>
                <w:lang w:val="uk-UA"/>
              </w:rPr>
              <w:t>Обрана Альтернатива 2.</w:t>
            </w:r>
            <w:r w:rsidRPr="0027011A">
              <w:rPr>
                <w:lang w:val="uk-UA"/>
              </w:rPr>
              <w:t xml:space="preserve"> Внесення змін до чинного регуляторного акта</w:t>
            </w:r>
          </w:p>
        </w:tc>
        <w:tc>
          <w:tcPr>
            <w:tcW w:w="2268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Відповідає завданням, що поставлені для вирішення існуючої проблеми</w:t>
            </w:r>
          </w:p>
        </w:tc>
        <w:tc>
          <w:tcPr>
            <w:tcW w:w="1974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Відсутні</w:t>
            </w:r>
          </w:p>
        </w:tc>
        <w:tc>
          <w:tcPr>
            <w:tcW w:w="2227" w:type="dxa"/>
          </w:tcPr>
          <w:p w:rsidR="00331968" w:rsidRPr="0027011A" w:rsidRDefault="00331968" w:rsidP="00331968">
            <w:pPr>
              <w:rPr>
                <w:lang w:val="uk-UA"/>
              </w:rPr>
            </w:pPr>
            <w:r w:rsidRPr="0027011A">
              <w:rPr>
                <w:lang w:val="uk-UA"/>
              </w:rPr>
              <w:t>Дозволяє досягт</w:t>
            </w:r>
            <w:r>
              <w:rPr>
                <w:lang w:val="uk-UA"/>
              </w:rPr>
              <w:t xml:space="preserve">и цілей державного регулювання </w:t>
            </w:r>
            <w:r w:rsidRPr="0027011A">
              <w:rPr>
                <w:lang w:val="uk-UA"/>
              </w:rPr>
              <w:t>найбільш ефективним шляхом</w:t>
            </w:r>
          </w:p>
        </w:tc>
      </w:tr>
    </w:tbl>
    <w:p w:rsidR="00331968" w:rsidRPr="0027011A" w:rsidRDefault="00331968" w:rsidP="00331968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331968" w:rsidRPr="0027011A" w:rsidTr="00331968">
        <w:trPr>
          <w:jc w:val="center"/>
        </w:trPr>
        <w:tc>
          <w:tcPr>
            <w:tcW w:w="3031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Рейтинг</w:t>
            </w:r>
          </w:p>
        </w:tc>
        <w:tc>
          <w:tcPr>
            <w:tcW w:w="4528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:rsidR="00331968" w:rsidRPr="0027011A" w:rsidRDefault="00331968" w:rsidP="00331968">
            <w:pPr>
              <w:jc w:val="center"/>
              <w:rPr>
                <w:b/>
                <w:lang w:val="uk-UA"/>
              </w:rPr>
            </w:pPr>
            <w:r w:rsidRPr="0027011A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331968" w:rsidRPr="0027011A" w:rsidTr="00331968">
        <w:trPr>
          <w:jc w:val="center"/>
        </w:trPr>
        <w:tc>
          <w:tcPr>
            <w:tcW w:w="3031" w:type="dxa"/>
          </w:tcPr>
          <w:p w:rsidR="00331968" w:rsidRPr="0027011A" w:rsidRDefault="00331968" w:rsidP="00331968">
            <w:pPr>
              <w:spacing w:before="80"/>
              <w:rPr>
                <w:lang w:val="uk-UA"/>
              </w:rPr>
            </w:pPr>
            <w:r w:rsidRPr="0027011A">
              <w:rPr>
                <w:b/>
                <w:lang w:val="uk-UA"/>
              </w:rPr>
              <w:t>Альтернатива 1.</w:t>
            </w:r>
            <w:r w:rsidRPr="0027011A">
              <w:rPr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:rsidR="00331968" w:rsidRPr="0027011A" w:rsidRDefault="00331968" w:rsidP="00331968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:rsidR="00331968" w:rsidRPr="0027011A" w:rsidRDefault="00331968" w:rsidP="00331968">
            <w:pPr>
              <w:jc w:val="both"/>
              <w:rPr>
                <w:lang w:val="uk-UA"/>
              </w:rPr>
            </w:pPr>
            <w:r w:rsidRPr="0027011A">
              <w:rPr>
                <w:lang w:val="uk-UA"/>
              </w:rPr>
              <w:t>Відсутній</w:t>
            </w:r>
          </w:p>
        </w:tc>
      </w:tr>
      <w:tr w:rsidR="00331968" w:rsidRPr="001C4872" w:rsidTr="00331968">
        <w:trPr>
          <w:trHeight w:val="1200"/>
          <w:jc w:val="center"/>
        </w:trPr>
        <w:tc>
          <w:tcPr>
            <w:tcW w:w="3031" w:type="dxa"/>
          </w:tcPr>
          <w:p w:rsidR="00331968" w:rsidRPr="001C4872" w:rsidRDefault="00331968" w:rsidP="00331968">
            <w:pPr>
              <w:rPr>
                <w:lang w:val="uk-UA"/>
              </w:rPr>
            </w:pPr>
            <w:r w:rsidRPr="001C4872">
              <w:rPr>
                <w:b/>
                <w:lang w:val="uk-UA"/>
              </w:rPr>
              <w:t>Обрана Альтернатива 2.</w:t>
            </w:r>
            <w:r w:rsidRPr="001C4872">
              <w:rPr>
                <w:lang w:val="uk-UA"/>
              </w:rPr>
              <w:t xml:space="preserve"> Внесення змін до чинного регуляторного акта</w:t>
            </w:r>
          </w:p>
        </w:tc>
        <w:tc>
          <w:tcPr>
            <w:tcW w:w="4528" w:type="dxa"/>
          </w:tcPr>
          <w:p w:rsidR="00331968" w:rsidRPr="001C4872" w:rsidRDefault="00331968">
            <w:pPr>
              <w:jc w:val="both"/>
              <w:rPr>
                <w:sz w:val="22"/>
                <w:szCs w:val="22"/>
                <w:lang w:val="uk-UA"/>
              </w:rPr>
            </w:pPr>
            <w:r w:rsidRPr="001C4872">
              <w:rPr>
                <w:sz w:val="22"/>
                <w:szCs w:val="22"/>
                <w:lang w:val="uk-UA"/>
              </w:rPr>
              <w:t>Д</w:t>
            </w:r>
            <w:r w:rsidRPr="001C4872">
              <w:rPr>
                <w:lang w:val="uk-UA"/>
              </w:rPr>
              <w:t>озволяє вирішити</w:t>
            </w:r>
            <w:r w:rsidRPr="001C4872">
              <w:rPr>
                <w:sz w:val="22"/>
                <w:szCs w:val="22"/>
                <w:lang w:val="uk-UA"/>
              </w:rPr>
              <w:t xml:space="preserve"> проблему </w:t>
            </w:r>
            <w:r w:rsidRPr="001C4872">
              <w:rPr>
                <w:lang w:val="uk-UA"/>
              </w:rPr>
              <w:t>з найменшими витратами ресурсів, забезпечує досягнення цілей державного регулювання.</w:t>
            </w:r>
            <w:r w:rsidR="008E5AD2" w:rsidRPr="001C4872">
              <w:rPr>
                <w:lang w:val="uk-UA"/>
              </w:rPr>
              <w:t xml:space="preserve"> Унесення запропонованих змін до Кодексу забезпечить приведення його у відповідність до </w:t>
            </w:r>
            <w:r w:rsidR="007E45AE" w:rsidRPr="001C4872">
              <w:rPr>
                <w:lang w:val="uk-UA"/>
              </w:rPr>
              <w:t>положень Регламенту Комісії ЄС</w:t>
            </w:r>
          </w:p>
        </w:tc>
        <w:tc>
          <w:tcPr>
            <w:tcW w:w="2134" w:type="dxa"/>
          </w:tcPr>
          <w:p w:rsidR="00331968" w:rsidRPr="001C4872" w:rsidRDefault="00331968" w:rsidP="00331968">
            <w:pPr>
              <w:jc w:val="both"/>
              <w:rPr>
                <w:lang w:val="uk-UA"/>
              </w:rPr>
            </w:pPr>
            <w:r w:rsidRPr="001C4872">
              <w:rPr>
                <w:lang w:val="uk-UA"/>
              </w:rPr>
              <w:t>Відсутній</w:t>
            </w:r>
          </w:p>
        </w:tc>
      </w:tr>
    </w:tbl>
    <w:p w:rsidR="00331968" w:rsidRPr="001C4872" w:rsidRDefault="00331968" w:rsidP="00331968">
      <w:pPr>
        <w:jc w:val="center"/>
        <w:rPr>
          <w:b/>
          <w:bCs/>
          <w:sz w:val="20"/>
          <w:szCs w:val="28"/>
          <w:lang w:val="uk-UA"/>
        </w:rPr>
      </w:pPr>
    </w:p>
    <w:p w:rsidR="009E07DC" w:rsidRDefault="009E07DC" w:rsidP="00545F06">
      <w:pPr>
        <w:ind w:firstLine="709"/>
        <w:jc w:val="both"/>
        <w:rPr>
          <w:sz w:val="28"/>
          <w:szCs w:val="28"/>
          <w:lang w:val="uk-UA"/>
        </w:rPr>
      </w:pPr>
    </w:p>
    <w:p w:rsidR="002B58E6" w:rsidRPr="002B58E6" w:rsidRDefault="002B58E6" w:rsidP="002B58E6">
      <w:pPr>
        <w:ind w:firstLine="709"/>
        <w:jc w:val="both"/>
        <w:rPr>
          <w:b/>
          <w:sz w:val="28"/>
          <w:szCs w:val="28"/>
          <w:lang w:val="uk-UA"/>
        </w:rPr>
      </w:pPr>
      <w:r w:rsidRPr="002B58E6">
        <w:rPr>
          <w:b/>
          <w:sz w:val="28"/>
          <w:szCs w:val="28"/>
          <w:lang w:val="uk-UA"/>
        </w:rPr>
        <w:t>V. Механізми та заходи, які забезпечать розв’язання визначеної проблеми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lastRenderedPageBreak/>
        <w:t xml:space="preserve">Прийняття </w:t>
      </w:r>
      <w:proofErr w:type="spellStart"/>
      <w:r w:rsidRPr="002B58E6">
        <w:rPr>
          <w:sz w:val="28"/>
          <w:szCs w:val="28"/>
          <w:lang w:val="uk-UA"/>
        </w:rPr>
        <w:t>Проєкту</w:t>
      </w:r>
      <w:proofErr w:type="spellEnd"/>
      <w:r w:rsidRPr="002B58E6">
        <w:rPr>
          <w:sz w:val="28"/>
          <w:szCs w:val="28"/>
          <w:lang w:val="uk-UA"/>
        </w:rPr>
        <w:t xml:space="preserve"> постанови </w:t>
      </w:r>
      <w:r w:rsidR="00251DD7" w:rsidRPr="00251DD7">
        <w:rPr>
          <w:sz w:val="28"/>
          <w:szCs w:val="28"/>
          <w:lang w:val="uk-UA"/>
        </w:rPr>
        <w:t>матиме наслідком приведення но</w:t>
      </w:r>
      <w:r w:rsidR="00251DD7">
        <w:rPr>
          <w:sz w:val="28"/>
          <w:szCs w:val="28"/>
          <w:lang w:val="uk-UA"/>
        </w:rPr>
        <w:t>рмативно-правової бази НКРЕКП у</w:t>
      </w:r>
      <w:r w:rsidR="00251DD7" w:rsidRPr="00251DD7">
        <w:rPr>
          <w:sz w:val="28"/>
          <w:szCs w:val="28"/>
          <w:lang w:val="uk-UA"/>
        </w:rPr>
        <w:t xml:space="preserve"> відповідність до Закону України «Про ринок електричної енергії» (</w:t>
      </w:r>
      <w:r w:rsidR="00251DD7">
        <w:rPr>
          <w:sz w:val="28"/>
          <w:szCs w:val="28"/>
          <w:lang w:val="uk-UA"/>
        </w:rPr>
        <w:t xml:space="preserve">щодо </w:t>
      </w:r>
      <w:r w:rsidR="00251DD7" w:rsidRPr="00251DD7">
        <w:rPr>
          <w:sz w:val="28"/>
          <w:szCs w:val="28"/>
          <w:lang w:val="uk-UA"/>
        </w:rPr>
        <w:t>викон</w:t>
      </w:r>
      <w:r w:rsidR="00251DD7">
        <w:rPr>
          <w:sz w:val="28"/>
          <w:szCs w:val="28"/>
          <w:lang w:val="uk-UA"/>
        </w:rPr>
        <w:t xml:space="preserve">ання </w:t>
      </w:r>
      <w:r w:rsidR="00251DD7" w:rsidRPr="00251DD7">
        <w:rPr>
          <w:sz w:val="28"/>
          <w:szCs w:val="28"/>
          <w:lang w:val="uk-UA"/>
        </w:rPr>
        <w:t>зобов’язан</w:t>
      </w:r>
      <w:r w:rsidR="00251DD7">
        <w:rPr>
          <w:sz w:val="28"/>
          <w:szCs w:val="28"/>
          <w:lang w:val="uk-UA"/>
        </w:rPr>
        <w:t>ь</w:t>
      </w:r>
      <w:r w:rsidR="00251DD7" w:rsidRPr="00251DD7">
        <w:rPr>
          <w:sz w:val="28"/>
          <w:szCs w:val="28"/>
          <w:lang w:val="uk-UA"/>
        </w:rPr>
        <w:t xml:space="preserve"> України за Договором ЄС та Угодою про асоціацію</w:t>
      </w:r>
      <w:r w:rsidR="00251DD7">
        <w:rPr>
          <w:sz w:val="28"/>
          <w:szCs w:val="28"/>
          <w:lang w:val="uk-UA"/>
        </w:rPr>
        <w:t xml:space="preserve">) та дозволить </w:t>
      </w:r>
      <w:r w:rsidRPr="002B58E6">
        <w:rPr>
          <w:sz w:val="28"/>
          <w:szCs w:val="28"/>
          <w:lang w:val="uk-UA"/>
        </w:rPr>
        <w:t>врегулювати питання участі ОСП України у ІТС механізмі із визначенням підходів до здійснення учасниками ринку діяльності експорту/імпорту електричної енергії, зокрема: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>загальні положення доповнено термінологією, зміст якої відповідає положенням Регламенту Комісії ЄС;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>запроваджено вимоги щодо зобов’язань ОСП в частині надання до ENTSO-E інформації для участі в ІТС механізмі;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>вдосконалено норми щодо укладення користувачами системи передачі господарських договорів шляхом передбачення нової глави щодо особливостей надання таких послуг у період після приєднання ОСП України до ІТС механізму;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>передбачено норми щодо щорічного звітування ОСП про участь в ІТС механізмі та здійснення Регулятором відповідного моніторингу;</w:t>
      </w:r>
    </w:p>
    <w:p w:rsidR="002B58E6" w:rsidRPr="002B58E6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2B58E6">
        <w:rPr>
          <w:sz w:val="28"/>
          <w:szCs w:val="28"/>
          <w:lang w:val="uk-UA"/>
        </w:rPr>
        <w:t>удосконалено норми типового договору на послуги з передачі електричної енергії (додаток 6 до КСП) в частині застосування механізму оплати за послуги з передачі для різних категорій користувачів.</w:t>
      </w:r>
    </w:p>
    <w:p w:rsidR="002B58E6" w:rsidRPr="001C4872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2B58E6" w:rsidRPr="001C4872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9E07DC" w:rsidRDefault="002B58E6" w:rsidP="002B58E6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Функції в частині здійснення державного контролю та нагляду за додержанням вимог акта будуть здійснюватись державними органами, яким, відповідно до законодавства, надані такі повноваження.</w:t>
      </w:r>
    </w:p>
    <w:p w:rsidR="009E07DC" w:rsidRDefault="009E07DC" w:rsidP="00545F06">
      <w:pPr>
        <w:ind w:firstLine="709"/>
        <w:jc w:val="both"/>
        <w:rPr>
          <w:sz w:val="28"/>
          <w:szCs w:val="28"/>
          <w:lang w:val="uk-UA"/>
        </w:rPr>
      </w:pPr>
    </w:p>
    <w:p w:rsidR="00B25657" w:rsidRPr="00B25657" w:rsidRDefault="00B25657" w:rsidP="00B25657">
      <w:pPr>
        <w:ind w:firstLine="709"/>
        <w:jc w:val="both"/>
        <w:rPr>
          <w:b/>
          <w:sz w:val="28"/>
          <w:szCs w:val="28"/>
          <w:lang w:val="uk-UA"/>
        </w:rPr>
      </w:pPr>
      <w:r w:rsidRPr="00B25657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B25657" w:rsidRPr="00B25657" w:rsidRDefault="00B25657" w:rsidP="00B25657">
      <w:pPr>
        <w:ind w:firstLine="709"/>
        <w:jc w:val="both"/>
        <w:rPr>
          <w:sz w:val="28"/>
          <w:szCs w:val="28"/>
          <w:lang w:val="uk-UA"/>
        </w:rPr>
      </w:pPr>
    </w:p>
    <w:p w:rsidR="009E07DC" w:rsidRDefault="00424A12" w:rsidP="00B256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</w:t>
      </w:r>
      <w:r w:rsidRPr="00B25657">
        <w:rPr>
          <w:sz w:val="28"/>
          <w:szCs w:val="28"/>
          <w:lang w:val="uk-UA"/>
        </w:rPr>
        <w:t xml:space="preserve"> </w:t>
      </w:r>
      <w:r w:rsidR="00B25657" w:rsidRPr="00B25657">
        <w:rPr>
          <w:sz w:val="28"/>
          <w:szCs w:val="28"/>
          <w:lang w:val="uk-UA"/>
        </w:rPr>
        <w:t>дії акта не обмежений та може бути змінений у разі внесення відповідних змін до законодавства.</w:t>
      </w:r>
    </w:p>
    <w:p w:rsidR="009E07DC" w:rsidRDefault="009E07DC" w:rsidP="00545F06">
      <w:pPr>
        <w:ind w:firstLine="709"/>
        <w:jc w:val="both"/>
        <w:rPr>
          <w:sz w:val="28"/>
          <w:szCs w:val="28"/>
          <w:lang w:val="uk-UA"/>
        </w:rPr>
      </w:pPr>
    </w:p>
    <w:p w:rsidR="00B25657" w:rsidRPr="0027011A" w:rsidRDefault="00B25657" w:rsidP="00B25657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B25657" w:rsidRPr="0027011A" w:rsidRDefault="00B25657" w:rsidP="00B25657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B25657" w:rsidRPr="0027011A" w:rsidRDefault="00B25657" w:rsidP="00B25657">
      <w:pPr>
        <w:ind w:firstLine="709"/>
        <w:jc w:val="both"/>
        <w:rPr>
          <w:sz w:val="28"/>
          <w:szCs w:val="28"/>
          <w:lang w:val="uk-UA"/>
        </w:rPr>
      </w:pPr>
      <w:r w:rsidRPr="0027011A">
        <w:rPr>
          <w:sz w:val="28"/>
          <w:szCs w:val="28"/>
          <w:lang w:val="uk-UA"/>
        </w:rPr>
        <w:t>Після набрання чинності постанов</w:t>
      </w:r>
      <w:r>
        <w:rPr>
          <w:sz w:val="28"/>
          <w:szCs w:val="28"/>
          <w:lang w:val="uk-UA"/>
        </w:rPr>
        <w:t>и</w:t>
      </w:r>
      <w:r w:rsidRPr="0027011A">
        <w:rPr>
          <w:sz w:val="28"/>
          <w:szCs w:val="28"/>
          <w:lang w:val="uk-UA"/>
        </w:rPr>
        <w:t xml:space="preserve"> НКРЕКП </w:t>
      </w:r>
      <w:r w:rsidR="001F7684" w:rsidRPr="001F7684">
        <w:rPr>
          <w:sz w:val="28"/>
          <w:szCs w:val="26"/>
          <w:lang w:val="uk-UA"/>
        </w:rPr>
        <w:t>«Про затвердження Змін до Кодексу системи передачі»</w:t>
      </w:r>
      <w:r w:rsidRPr="0027011A">
        <w:rPr>
          <w:sz w:val="28"/>
          <w:szCs w:val="28"/>
          <w:lang w:val="uk-UA"/>
        </w:rPr>
        <w:t xml:space="preserve"> її результативність визначатиметься такими показниками:</w:t>
      </w:r>
    </w:p>
    <w:p w:rsidR="001C4872" w:rsidRDefault="00B25657" w:rsidP="00B25657">
      <w:pPr>
        <w:ind w:firstLine="709"/>
        <w:jc w:val="both"/>
        <w:rPr>
          <w:sz w:val="28"/>
          <w:szCs w:val="28"/>
          <w:lang w:val="uk-UA"/>
        </w:rPr>
      </w:pPr>
      <w:r w:rsidRPr="00151E87">
        <w:rPr>
          <w:sz w:val="28"/>
          <w:szCs w:val="28"/>
        </w:rPr>
        <w:t>1) </w:t>
      </w:r>
      <w:r w:rsidRPr="001C4872">
        <w:rPr>
          <w:sz w:val="28"/>
          <w:szCs w:val="28"/>
          <w:lang w:val="uk-UA"/>
        </w:rPr>
        <w:t xml:space="preserve">розміром надходжень до державного та </w:t>
      </w:r>
      <w:proofErr w:type="gramStart"/>
      <w:r w:rsidRPr="001C4872">
        <w:rPr>
          <w:sz w:val="28"/>
          <w:szCs w:val="28"/>
          <w:lang w:val="uk-UA"/>
        </w:rPr>
        <w:t>м</w:t>
      </w:r>
      <w:proofErr w:type="gramEnd"/>
      <w:r w:rsidRPr="001C4872">
        <w:rPr>
          <w:sz w:val="28"/>
          <w:szCs w:val="28"/>
          <w:lang w:val="uk-UA"/>
        </w:rPr>
        <w:t xml:space="preserve">ісцевих бюджетів і державних цільових фондів, пов’язаних з дією акта – не передбачаються; </w:t>
      </w:r>
    </w:p>
    <w:p w:rsidR="00B25657" w:rsidRPr="001C4872" w:rsidRDefault="00B25657" w:rsidP="00B25657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2) кількістю суб’єктів господарювання та/або фізичних осіб, на яких поширюватиметься дія акта – дія акта поширюватиметься на оператора системи передачі, який здійснює функції з надання послуги з передачі електричної на недискримі</w:t>
      </w:r>
      <w:r w:rsidR="001F7684">
        <w:rPr>
          <w:sz w:val="28"/>
          <w:szCs w:val="28"/>
          <w:lang w:val="uk-UA"/>
        </w:rPr>
        <w:t>наційних засадах, користувачів (у тому числі,</w:t>
      </w:r>
      <w:r w:rsidR="001F7684" w:rsidRPr="001F7684">
        <w:rPr>
          <w:sz w:val="28"/>
          <w:szCs w:val="28"/>
          <w:lang w:val="uk-UA"/>
        </w:rPr>
        <w:t xml:space="preserve"> що здійснюють </w:t>
      </w:r>
      <w:r w:rsidR="001F7684" w:rsidRPr="001F7684">
        <w:rPr>
          <w:sz w:val="28"/>
          <w:szCs w:val="28"/>
          <w:lang w:val="uk-UA"/>
        </w:rPr>
        <w:lastRenderedPageBreak/>
        <w:t>діяльність зі експорту/імпорту електричної енергії</w:t>
      </w:r>
      <w:r w:rsidR="001F7684">
        <w:rPr>
          <w:sz w:val="28"/>
          <w:szCs w:val="28"/>
          <w:lang w:val="uk-UA"/>
        </w:rPr>
        <w:t>)</w:t>
      </w:r>
      <w:r w:rsidR="005F7354">
        <w:rPr>
          <w:sz w:val="28"/>
          <w:szCs w:val="28"/>
          <w:lang w:val="uk-UA"/>
        </w:rPr>
        <w:t>,</w:t>
      </w:r>
      <w:r w:rsidR="001F7684" w:rsidRPr="001F7684">
        <w:rPr>
          <w:sz w:val="28"/>
          <w:szCs w:val="28"/>
          <w:lang w:val="uk-UA"/>
        </w:rPr>
        <w:t xml:space="preserve"> </w:t>
      </w:r>
      <w:r w:rsidRPr="00A65E7D">
        <w:rPr>
          <w:sz w:val="28"/>
          <w:szCs w:val="28"/>
          <w:lang w:val="uk-UA"/>
        </w:rPr>
        <w:t>які укла</w:t>
      </w:r>
      <w:r w:rsidR="005F7354">
        <w:rPr>
          <w:sz w:val="28"/>
          <w:szCs w:val="28"/>
          <w:lang w:val="uk-UA"/>
        </w:rPr>
        <w:t>дають</w:t>
      </w:r>
      <w:r w:rsidRPr="00A65E7D">
        <w:rPr>
          <w:sz w:val="28"/>
          <w:szCs w:val="28"/>
          <w:lang w:val="uk-UA"/>
        </w:rPr>
        <w:t xml:space="preserve"> з </w:t>
      </w:r>
      <w:r w:rsidR="005F7354">
        <w:rPr>
          <w:sz w:val="28"/>
          <w:szCs w:val="28"/>
          <w:lang w:val="uk-UA"/>
        </w:rPr>
        <w:t>ОСП</w:t>
      </w:r>
      <w:r w:rsidRPr="00A65E7D">
        <w:rPr>
          <w:sz w:val="28"/>
          <w:szCs w:val="28"/>
          <w:lang w:val="uk-UA"/>
        </w:rPr>
        <w:t xml:space="preserve"> догов</w:t>
      </w:r>
      <w:r w:rsidR="00DD099B">
        <w:rPr>
          <w:sz w:val="28"/>
          <w:szCs w:val="28"/>
          <w:lang w:val="uk-UA"/>
        </w:rPr>
        <w:t>о</w:t>
      </w:r>
      <w:r w:rsidRPr="00A65E7D">
        <w:rPr>
          <w:sz w:val="28"/>
          <w:szCs w:val="28"/>
          <w:lang w:val="uk-UA"/>
        </w:rPr>
        <w:t>р</w:t>
      </w:r>
      <w:r w:rsidR="001F7684">
        <w:rPr>
          <w:sz w:val="28"/>
          <w:szCs w:val="28"/>
          <w:lang w:val="uk-UA"/>
        </w:rPr>
        <w:t>и</w:t>
      </w:r>
      <w:r w:rsidRPr="00A65E7D">
        <w:rPr>
          <w:sz w:val="28"/>
          <w:szCs w:val="28"/>
          <w:lang w:val="uk-UA"/>
        </w:rPr>
        <w:t xml:space="preserve"> про надання послуг з передачі електричної енергії</w:t>
      </w:r>
      <w:r w:rsidR="005F7354">
        <w:rPr>
          <w:sz w:val="28"/>
          <w:szCs w:val="28"/>
          <w:lang w:val="uk-UA"/>
        </w:rPr>
        <w:t xml:space="preserve"> </w:t>
      </w:r>
      <w:r w:rsidR="005F7354" w:rsidRPr="001C4872">
        <w:rPr>
          <w:sz w:val="28"/>
          <w:szCs w:val="28"/>
          <w:lang w:val="uk-UA"/>
        </w:rPr>
        <w:t>та послуг з диспетчерського (</w:t>
      </w:r>
      <w:proofErr w:type="spellStart"/>
      <w:r w:rsidR="005F7354" w:rsidRPr="001C4872">
        <w:rPr>
          <w:sz w:val="28"/>
          <w:szCs w:val="28"/>
          <w:lang w:val="uk-UA"/>
        </w:rPr>
        <w:t>оперативно-</w:t>
      </w:r>
      <w:proofErr w:type="spellEnd"/>
      <w:r w:rsidR="005F7354" w:rsidRPr="001C4872">
        <w:rPr>
          <w:sz w:val="28"/>
          <w:szCs w:val="28"/>
          <w:lang w:val="uk-UA"/>
        </w:rPr>
        <w:t xml:space="preserve"> технологічного) управління</w:t>
      </w:r>
      <w:r w:rsidR="003B013B">
        <w:rPr>
          <w:sz w:val="28"/>
          <w:szCs w:val="28"/>
          <w:lang w:val="uk-UA"/>
        </w:rPr>
        <w:t>;</w:t>
      </w:r>
    </w:p>
    <w:p w:rsidR="00B25657" w:rsidRPr="00A65E7D" w:rsidRDefault="00B25657" w:rsidP="00B25657">
      <w:pPr>
        <w:ind w:firstLine="709"/>
        <w:jc w:val="both"/>
        <w:rPr>
          <w:sz w:val="28"/>
          <w:szCs w:val="28"/>
          <w:lang w:val="uk-UA"/>
        </w:rPr>
      </w:pPr>
      <w:r w:rsidRPr="001C4872">
        <w:rPr>
          <w:sz w:val="28"/>
          <w:szCs w:val="28"/>
          <w:lang w:val="uk-UA"/>
        </w:rPr>
        <w:t>3) рівнем поінформованості суб’єктів господарювання та/або</w:t>
      </w:r>
      <w:r w:rsidRPr="00A65E7D">
        <w:rPr>
          <w:sz w:val="28"/>
          <w:szCs w:val="28"/>
          <w:lang w:val="uk-UA"/>
        </w:rPr>
        <w:t xml:space="preserve"> фізичних осіб з основних положень акта – середній. </w:t>
      </w:r>
    </w:p>
    <w:p w:rsidR="00B25657" w:rsidRPr="000A5843" w:rsidRDefault="00B25657" w:rsidP="00B25657">
      <w:pPr>
        <w:ind w:firstLine="709"/>
        <w:jc w:val="both"/>
        <w:rPr>
          <w:sz w:val="28"/>
          <w:szCs w:val="28"/>
          <w:lang w:val="uk-UA"/>
        </w:rPr>
      </w:pPr>
      <w:r w:rsidRPr="00A65E7D">
        <w:rPr>
          <w:sz w:val="28"/>
          <w:szCs w:val="28"/>
          <w:lang w:val="uk-UA"/>
        </w:rPr>
        <w:t>Відповідно до статті 15 Закону України «Про Національну</w:t>
      </w:r>
      <w:r w:rsidRPr="000A5843">
        <w:rPr>
          <w:sz w:val="28"/>
          <w:szCs w:val="28"/>
          <w:lang w:val="uk-UA"/>
        </w:rPr>
        <w:t xml:space="preserve"> комісію, що здійснює державне регулювання у сферах енергетики та комунальних послуг» </w:t>
      </w:r>
      <w:proofErr w:type="spellStart"/>
      <w:r w:rsidRPr="000A5843">
        <w:rPr>
          <w:sz w:val="28"/>
          <w:szCs w:val="28"/>
          <w:lang w:val="uk-UA"/>
        </w:rPr>
        <w:t>Проєкт</w:t>
      </w:r>
      <w:proofErr w:type="spellEnd"/>
      <w:r w:rsidRPr="000A5843">
        <w:rPr>
          <w:sz w:val="28"/>
          <w:szCs w:val="28"/>
          <w:lang w:val="uk-UA"/>
        </w:rPr>
        <w:t xml:space="preserve"> постанови, аналіз впливу та повідомлення про оприлюднення розміщено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 в мережі Інтернет http://nerc.gov.ua. </w:t>
      </w:r>
    </w:p>
    <w:p w:rsidR="00B25657" w:rsidRPr="000A5843" w:rsidRDefault="00B25657" w:rsidP="00B25657">
      <w:pPr>
        <w:ind w:firstLine="540"/>
        <w:jc w:val="both"/>
        <w:rPr>
          <w:sz w:val="28"/>
          <w:szCs w:val="28"/>
          <w:lang w:val="uk-UA"/>
        </w:rPr>
      </w:pPr>
      <w:r w:rsidRPr="000A5843">
        <w:rPr>
          <w:sz w:val="28"/>
          <w:szCs w:val="28"/>
          <w:lang w:val="uk-UA"/>
        </w:rPr>
        <w:t xml:space="preserve">НКРЕКП у межах компетенції надає необхідні роз’яснення щодо норм проєкту регуляторного акта і надаватиме роз’яснення щодо застосування акта, який буде оприлюднено на офіційному </w:t>
      </w:r>
      <w:proofErr w:type="spellStart"/>
      <w:r w:rsidRPr="000A5843">
        <w:rPr>
          <w:sz w:val="28"/>
          <w:szCs w:val="28"/>
          <w:lang w:val="uk-UA"/>
        </w:rPr>
        <w:t>вебсайті</w:t>
      </w:r>
      <w:proofErr w:type="spellEnd"/>
      <w:r w:rsidRPr="000A5843">
        <w:rPr>
          <w:sz w:val="28"/>
          <w:szCs w:val="28"/>
          <w:lang w:val="uk-UA"/>
        </w:rPr>
        <w:t xml:space="preserve"> НКРЕКП після його прийняття. </w:t>
      </w:r>
    </w:p>
    <w:p w:rsidR="00B25657" w:rsidRDefault="00B25657" w:rsidP="00B25657">
      <w:pPr>
        <w:ind w:firstLine="709"/>
        <w:jc w:val="both"/>
        <w:rPr>
          <w:b/>
          <w:bCs/>
          <w:strike/>
          <w:sz w:val="28"/>
          <w:szCs w:val="28"/>
          <w:lang w:val="uk-UA"/>
        </w:rPr>
      </w:pPr>
    </w:p>
    <w:p w:rsidR="00B25657" w:rsidRPr="0027011A" w:rsidRDefault="00B25657" w:rsidP="00B25657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27011A">
        <w:rPr>
          <w:b/>
          <w:bCs/>
          <w:sz w:val="28"/>
          <w:szCs w:val="28"/>
          <w:lang w:val="uk-UA"/>
        </w:rPr>
        <w:t>VIII. Очікувані результати прийняття регуляторного акта</w:t>
      </w:r>
    </w:p>
    <w:p w:rsidR="00B25657" w:rsidRPr="0027011A" w:rsidRDefault="00B25657" w:rsidP="00B25657">
      <w:pPr>
        <w:jc w:val="both"/>
        <w:rPr>
          <w:sz w:val="28"/>
          <w:szCs w:val="28"/>
          <w:lang w:val="uk-UA"/>
        </w:rPr>
      </w:pPr>
    </w:p>
    <w:p w:rsidR="00B25657" w:rsidRDefault="00B2565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Очікуваним р</w:t>
      </w:r>
      <w:r w:rsidRPr="0027011A">
        <w:rPr>
          <w:sz w:val="28"/>
          <w:szCs w:val="28"/>
          <w:lang w:val="uk-UA"/>
        </w:rPr>
        <w:t xml:space="preserve">езультатом прийняття постанови НКРЕКП </w:t>
      </w:r>
      <w:r w:rsidR="005247B7" w:rsidRPr="005247B7">
        <w:rPr>
          <w:sz w:val="28"/>
          <w:szCs w:val="26"/>
          <w:lang w:val="uk-UA"/>
        </w:rPr>
        <w:t>«Про затвердження Змін до Кодексу системи передачі»</w:t>
      </w:r>
      <w:r w:rsidRPr="0027011A">
        <w:rPr>
          <w:sz w:val="28"/>
          <w:szCs w:val="28"/>
          <w:lang w:val="uk-UA"/>
        </w:rPr>
        <w:t xml:space="preserve"> має стати удосконалення та актуалізація норм </w:t>
      </w:r>
      <w:r w:rsidR="006454C6">
        <w:rPr>
          <w:rFonts w:eastAsia="SimSun"/>
          <w:sz w:val="28"/>
          <w:szCs w:val="28"/>
          <w:lang w:val="uk-UA" w:bidi="ta-IN"/>
        </w:rPr>
        <w:t xml:space="preserve">КСП з метою </w:t>
      </w:r>
      <w:r w:rsidR="006454C6" w:rsidRPr="006454C6">
        <w:rPr>
          <w:rFonts w:eastAsia="SimSun"/>
          <w:sz w:val="28"/>
          <w:szCs w:val="28"/>
          <w:lang w:val="uk-UA" w:bidi="ta-IN"/>
        </w:rPr>
        <w:t>імплементаці</w:t>
      </w:r>
      <w:r w:rsidR="006454C6">
        <w:rPr>
          <w:rFonts w:eastAsia="SimSun"/>
          <w:sz w:val="28"/>
          <w:szCs w:val="28"/>
          <w:lang w:val="uk-UA" w:bidi="ta-IN"/>
        </w:rPr>
        <w:t>ї</w:t>
      </w:r>
      <w:r w:rsidR="006454C6" w:rsidRPr="006454C6">
        <w:rPr>
          <w:rFonts w:eastAsia="SimSun"/>
          <w:sz w:val="28"/>
          <w:szCs w:val="28"/>
          <w:lang w:val="uk-UA" w:bidi="ta-IN"/>
        </w:rPr>
        <w:t xml:space="preserve"> положень законодавства ЄС, </w:t>
      </w:r>
      <w:r w:rsidR="00ED3723">
        <w:rPr>
          <w:rFonts w:eastAsia="SimSun"/>
          <w:sz w:val="28"/>
          <w:szCs w:val="28"/>
          <w:lang w:val="uk-UA" w:bidi="ta-IN"/>
        </w:rPr>
        <w:t xml:space="preserve">передбаченого Законом, </w:t>
      </w:r>
      <w:r w:rsidR="00ED3723" w:rsidRPr="00ED3723">
        <w:rPr>
          <w:rFonts w:eastAsia="SimSun"/>
          <w:sz w:val="28"/>
          <w:szCs w:val="28"/>
          <w:lang w:val="uk-UA" w:bidi="ta-IN"/>
        </w:rPr>
        <w:t>Догов</w:t>
      </w:r>
      <w:r w:rsidR="00ED3723">
        <w:rPr>
          <w:rFonts w:eastAsia="SimSun"/>
          <w:sz w:val="28"/>
          <w:szCs w:val="28"/>
          <w:lang w:val="uk-UA" w:bidi="ta-IN"/>
        </w:rPr>
        <w:t>ором</w:t>
      </w:r>
      <w:r w:rsidR="00ED3723" w:rsidRPr="00ED3723">
        <w:rPr>
          <w:rFonts w:eastAsia="SimSun"/>
          <w:sz w:val="28"/>
          <w:szCs w:val="28"/>
          <w:lang w:val="uk-UA" w:bidi="ta-IN"/>
        </w:rPr>
        <w:t xml:space="preserve"> ЄС </w:t>
      </w:r>
      <w:r w:rsidR="00ED3723">
        <w:rPr>
          <w:rFonts w:eastAsia="SimSun"/>
          <w:sz w:val="28"/>
          <w:szCs w:val="28"/>
          <w:lang w:val="uk-UA" w:bidi="ta-IN"/>
        </w:rPr>
        <w:t xml:space="preserve">та </w:t>
      </w:r>
      <w:r w:rsidR="00ED3723" w:rsidRPr="00ED3723">
        <w:rPr>
          <w:rFonts w:eastAsia="SimSun"/>
          <w:sz w:val="28"/>
          <w:szCs w:val="28"/>
          <w:lang w:val="uk-UA" w:bidi="ta-IN"/>
        </w:rPr>
        <w:t>Угод</w:t>
      </w:r>
      <w:r w:rsidR="00ED3723">
        <w:rPr>
          <w:rFonts w:eastAsia="SimSun"/>
          <w:sz w:val="28"/>
          <w:szCs w:val="28"/>
          <w:lang w:val="uk-UA" w:bidi="ta-IN"/>
        </w:rPr>
        <w:t>ою</w:t>
      </w:r>
      <w:r w:rsidR="00ED3723" w:rsidRPr="00ED3723">
        <w:rPr>
          <w:rFonts w:eastAsia="SimSun"/>
          <w:sz w:val="28"/>
          <w:szCs w:val="28"/>
          <w:lang w:val="uk-UA" w:bidi="ta-IN"/>
        </w:rPr>
        <w:t xml:space="preserve"> про асоціацію </w:t>
      </w:r>
      <w:r w:rsidR="006454C6" w:rsidRPr="006454C6">
        <w:rPr>
          <w:rFonts w:eastAsia="SimSun"/>
          <w:sz w:val="28"/>
          <w:szCs w:val="28"/>
          <w:lang w:val="uk-UA" w:bidi="ta-IN"/>
        </w:rPr>
        <w:t xml:space="preserve">щодо впровадження зобов’язань України </w:t>
      </w:r>
      <w:r w:rsidR="00ED3723">
        <w:rPr>
          <w:rFonts w:eastAsia="SimSun"/>
          <w:sz w:val="28"/>
          <w:szCs w:val="28"/>
          <w:lang w:val="uk-UA" w:bidi="ta-IN"/>
        </w:rPr>
        <w:t>по</w:t>
      </w:r>
      <w:r w:rsidR="006454C6" w:rsidRPr="006454C6">
        <w:rPr>
          <w:rFonts w:eastAsia="SimSun"/>
          <w:sz w:val="28"/>
          <w:szCs w:val="28"/>
          <w:lang w:val="uk-UA" w:bidi="ta-IN"/>
        </w:rPr>
        <w:t xml:space="preserve"> забезпеченн</w:t>
      </w:r>
      <w:r w:rsidR="00ED3723">
        <w:rPr>
          <w:rFonts w:eastAsia="SimSun"/>
          <w:sz w:val="28"/>
          <w:szCs w:val="28"/>
          <w:lang w:val="uk-UA" w:bidi="ta-IN"/>
        </w:rPr>
        <w:t>ю</w:t>
      </w:r>
      <w:r w:rsidR="006454C6" w:rsidRPr="006454C6">
        <w:rPr>
          <w:rFonts w:eastAsia="SimSun"/>
          <w:sz w:val="28"/>
          <w:szCs w:val="28"/>
          <w:lang w:val="uk-UA" w:bidi="ta-IN"/>
        </w:rPr>
        <w:t xml:space="preserve"> участі ОСП України в ІТС механізмі в рамках синхронізації </w:t>
      </w:r>
      <w:r w:rsidR="006454C6" w:rsidRPr="001C4872">
        <w:rPr>
          <w:rFonts w:eastAsia="SimSun"/>
          <w:sz w:val="28"/>
          <w:szCs w:val="28"/>
          <w:lang w:val="uk-UA" w:bidi="ta-IN"/>
        </w:rPr>
        <w:t>енергетичн</w:t>
      </w:r>
      <w:r w:rsidR="0044476B" w:rsidRPr="001C4872">
        <w:rPr>
          <w:rFonts w:eastAsia="SimSun"/>
          <w:sz w:val="28"/>
          <w:szCs w:val="28"/>
          <w:lang w:val="uk-UA" w:bidi="ta-IN"/>
        </w:rPr>
        <w:t>ої</w:t>
      </w:r>
      <w:r w:rsidR="006454C6" w:rsidRPr="001C4872">
        <w:rPr>
          <w:rFonts w:eastAsia="SimSun"/>
          <w:sz w:val="28"/>
          <w:szCs w:val="28"/>
          <w:lang w:val="uk-UA" w:bidi="ta-IN"/>
        </w:rPr>
        <w:t xml:space="preserve"> систем</w:t>
      </w:r>
      <w:r w:rsidR="0044476B" w:rsidRPr="001C4872">
        <w:rPr>
          <w:rFonts w:eastAsia="SimSun"/>
          <w:sz w:val="28"/>
          <w:szCs w:val="28"/>
          <w:lang w:val="uk-UA" w:bidi="ta-IN"/>
        </w:rPr>
        <w:t>и</w:t>
      </w:r>
      <w:r w:rsidR="006454C6" w:rsidRPr="001C4872">
        <w:rPr>
          <w:rFonts w:eastAsia="SimSun"/>
          <w:sz w:val="28"/>
          <w:szCs w:val="28"/>
          <w:lang w:val="uk-UA" w:bidi="ta-IN"/>
        </w:rPr>
        <w:t xml:space="preserve"> України </w:t>
      </w:r>
      <w:r w:rsidR="006454C6" w:rsidRPr="006454C6">
        <w:rPr>
          <w:rFonts w:eastAsia="SimSun"/>
          <w:sz w:val="28"/>
          <w:szCs w:val="28"/>
          <w:lang w:val="uk-UA" w:bidi="ta-IN"/>
        </w:rPr>
        <w:t>з енергосистемою континентальної Європи</w:t>
      </w:r>
      <w:r w:rsidR="00286CEF" w:rsidRPr="00286CEF">
        <w:rPr>
          <w:sz w:val="28"/>
          <w:szCs w:val="28"/>
          <w:lang w:val="uk-UA"/>
        </w:rPr>
        <w:t>.</w:t>
      </w:r>
    </w:p>
    <w:p w:rsidR="00B9412A" w:rsidRDefault="00B9412A" w:rsidP="004E1D0D">
      <w:pPr>
        <w:ind w:firstLine="709"/>
        <w:jc w:val="both"/>
        <w:rPr>
          <w:sz w:val="28"/>
          <w:szCs w:val="28"/>
          <w:lang w:val="uk-UA"/>
        </w:rPr>
      </w:pPr>
    </w:p>
    <w:p w:rsidR="00286CEF" w:rsidRDefault="00286CEF" w:rsidP="004E1D0D">
      <w:pPr>
        <w:ind w:firstLine="709"/>
        <w:jc w:val="both"/>
        <w:rPr>
          <w:sz w:val="28"/>
          <w:szCs w:val="28"/>
          <w:lang w:val="uk-UA"/>
        </w:rPr>
      </w:pPr>
    </w:p>
    <w:p w:rsidR="00286CEF" w:rsidRDefault="00286CEF" w:rsidP="004E1D0D">
      <w:pPr>
        <w:ind w:firstLine="709"/>
        <w:jc w:val="both"/>
        <w:rPr>
          <w:sz w:val="28"/>
          <w:szCs w:val="28"/>
          <w:lang w:val="uk-UA"/>
        </w:rPr>
      </w:pPr>
    </w:p>
    <w:p w:rsidR="00B25657" w:rsidRPr="007D5E49" w:rsidRDefault="007D5E49" w:rsidP="00B256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НКРЕКП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B25657" w:rsidRPr="007D5E49">
        <w:rPr>
          <w:b/>
          <w:sz w:val="28"/>
          <w:szCs w:val="28"/>
          <w:lang w:val="uk-UA"/>
        </w:rPr>
        <w:t xml:space="preserve">                               К. </w:t>
      </w:r>
      <w:proofErr w:type="spellStart"/>
      <w:r w:rsidR="00B25657" w:rsidRPr="007D5E49">
        <w:rPr>
          <w:b/>
          <w:sz w:val="28"/>
          <w:szCs w:val="28"/>
          <w:lang w:val="uk-UA"/>
        </w:rPr>
        <w:t>Ущаповський</w:t>
      </w:r>
      <w:proofErr w:type="spellEnd"/>
      <w:r w:rsidR="00B25657" w:rsidRPr="007D5E49">
        <w:rPr>
          <w:b/>
          <w:sz w:val="28"/>
          <w:szCs w:val="28"/>
          <w:lang w:val="uk-UA"/>
        </w:rPr>
        <w:tab/>
      </w:r>
    </w:p>
    <w:p w:rsidR="00B25657" w:rsidRDefault="00B25657" w:rsidP="00B25657">
      <w:pPr>
        <w:jc w:val="both"/>
        <w:rPr>
          <w:b/>
          <w:sz w:val="28"/>
          <w:szCs w:val="28"/>
          <w:lang w:val="uk-UA"/>
        </w:rPr>
      </w:pPr>
    </w:p>
    <w:sectPr w:rsidR="00B25657" w:rsidSect="007F13EC">
      <w:headerReference w:type="default" r:id="rId9"/>
      <w:pgSz w:w="11906" w:h="16838"/>
      <w:pgMar w:top="1134" w:right="567" w:bottom="85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AF0" w:rsidRDefault="00921AF0" w:rsidP="00B4485B">
      <w:r>
        <w:separator/>
      </w:r>
    </w:p>
  </w:endnote>
  <w:endnote w:type="continuationSeparator" w:id="0">
    <w:p w:rsidR="00921AF0" w:rsidRDefault="00921AF0" w:rsidP="00B4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AF0" w:rsidRDefault="00921AF0" w:rsidP="00B4485B">
      <w:r>
        <w:separator/>
      </w:r>
    </w:p>
  </w:footnote>
  <w:footnote w:type="continuationSeparator" w:id="0">
    <w:p w:rsidR="00921AF0" w:rsidRDefault="00921AF0" w:rsidP="00B44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872" w:rsidRPr="00726447" w:rsidRDefault="001C4872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A21E20">
      <w:rPr>
        <w:rFonts w:ascii="Times New Roman" w:hAnsi="Times New Roman" w:cs="Times New Roman"/>
        <w:noProof/>
      </w:rPr>
      <w:t>2</w:t>
    </w:r>
    <w:r w:rsidRPr="00726447">
      <w:rPr>
        <w:rFonts w:ascii="Times New Roman" w:hAnsi="Times New Roman" w:cs="Times New Roman"/>
      </w:rPr>
      <w:fldChar w:fldCharType="end"/>
    </w:r>
  </w:p>
  <w:p w:rsidR="001C4872" w:rsidRPr="00194522" w:rsidRDefault="001C4872" w:rsidP="001C6EAC">
    <w:pPr>
      <w:pStyle w:val="a4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етяна Чуб">
    <w15:presenceInfo w15:providerId="None" w15:userId="Тетяна Чуб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D4"/>
    <w:rsid w:val="00000906"/>
    <w:rsid w:val="00000F82"/>
    <w:rsid w:val="000011EF"/>
    <w:rsid w:val="00002C99"/>
    <w:rsid w:val="00012247"/>
    <w:rsid w:val="0001257D"/>
    <w:rsid w:val="00017848"/>
    <w:rsid w:val="00020178"/>
    <w:rsid w:val="000217A1"/>
    <w:rsid w:val="00024A45"/>
    <w:rsid w:val="000302DC"/>
    <w:rsid w:val="000317F3"/>
    <w:rsid w:val="00036637"/>
    <w:rsid w:val="00037F49"/>
    <w:rsid w:val="000534F1"/>
    <w:rsid w:val="00057EC0"/>
    <w:rsid w:val="00063F4C"/>
    <w:rsid w:val="00067E13"/>
    <w:rsid w:val="00077764"/>
    <w:rsid w:val="00083121"/>
    <w:rsid w:val="000834CE"/>
    <w:rsid w:val="000858E6"/>
    <w:rsid w:val="00085927"/>
    <w:rsid w:val="00087085"/>
    <w:rsid w:val="00090D4B"/>
    <w:rsid w:val="000938AE"/>
    <w:rsid w:val="00097442"/>
    <w:rsid w:val="000A4FA6"/>
    <w:rsid w:val="000A502C"/>
    <w:rsid w:val="000A5556"/>
    <w:rsid w:val="000A5843"/>
    <w:rsid w:val="000B0574"/>
    <w:rsid w:val="000B0808"/>
    <w:rsid w:val="000B0CB2"/>
    <w:rsid w:val="000B100A"/>
    <w:rsid w:val="000B3619"/>
    <w:rsid w:val="000B6295"/>
    <w:rsid w:val="000C1767"/>
    <w:rsid w:val="000C77FE"/>
    <w:rsid w:val="000D526A"/>
    <w:rsid w:val="000D5C76"/>
    <w:rsid w:val="000E1F7F"/>
    <w:rsid w:val="000E36E7"/>
    <w:rsid w:val="000E3DAA"/>
    <w:rsid w:val="000E4851"/>
    <w:rsid w:val="000E5B56"/>
    <w:rsid w:val="000E6897"/>
    <w:rsid w:val="000F14E3"/>
    <w:rsid w:val="000F2305"/>
    <w:rsid w:val="000F5926"/>
    <w:rsid w:val="000F69B8"/>
    <w:rsid w:val="000F701B"/>
    <w:rsid w:val="000F72F6"/>
    <w:rsid w:val="000F7AA9"/>
    <w:rsid w:val="00101536"/>
    <w:rsid w:val="00102EE6"/>
    <w:rsid w:val="00103458"/>
    <w:rsid w:val="00106C17"/>
    <w:rsid w:val="00111862"/>
    <w:rsid w:val="00115EAB"/>
    <w:rsid w:val="00116198"/>
    <w:rsid w:val="001174E2"/>
    <w:rsid w:val="001178F4"/>
    <w:rsid w:val="00120A54"/>
    <w:rsid w:val="00120A93"/>
    <w:rsid w:val="00120EB5"/>
    <w:rsid w:val="0012257B"/>
    <w:rsid w:val="001307CC"/>
    <w:rsid w:val="00132723"/>
    <w:rsid w:val="00135B84"/>
    <w:rsid w:val="00142D3A"/>
    <w:rsid w:val="00143239"/>
    <w:rsid w:val="00143658"/>
    <w:rsid w:val="001455DF"/>
    <w:rsid w:val="00147D0A"/>
    <w:rsid w:val="00151E1F"/>
    <w:rsid w:val="0015200C"/>
    <w:rsid w:val="00153A13"/>
    <w:rsid w:val="00160780"/>
    <w:rsid w:val="0016248E"/>
    <w:rsid w:val="00166C04"/>
    <w:rsid w:val="0016755E"/>
    <w:rsid w:val="00172AC3"/>
    <w:rsid w:val="00173C82"/>
    <w:rsid w:val="00174909"/>
    <w:rsid w:val="00175E93"/>
    <w:rsid w:val="00177D27"/>
    <w:rsid w:val="0018088F"/>
    <w:rsid w:val="00194522"/>
    <w:rsid w:val="00194734"/>
    <w:rsid w:val="001A23E3"/>
    <w:rsid w:val="001A26D8"/>
    <w:rsid w:val="001A3EF0"/>
    <w:rsid w:val="001B21CF"/>
    <w:rsid w:val="001B2A83"/>
    <w:rsid w:val="001B30DA"/>
    <w:rsid w:val="001B4AF1"/>
    <w:rsid w:val="001C3229"/>
    <w:rsid w:val="001C4872"/>
    <w:rsid w:val="001C5354"/>
    <w:rsid w:val="001C614E"/>
    <w:rsid w:val="001C6EAC"/>
    <w:rsid w:val="001D2835"/>
    <w:rsid w:val="001D2837"/>
    <w:rsid w:val="001E159C"/>
    <w:rsid w:val="001E25EC"/>
    <w:rsid w:val="001E43DE"/>
    <w:rsid w:val="001F2EE3"/>
    <w:rsid w:val="001F5641"/>
    <w:rsid w:val="001F64D6"/>
    <w:rsid w:val="001F7684"/>
    <w:rsid w:val="00211C2F"/>
    <w:rsid w:val="00211F05"/>
    <w:rsid w:val="00217C9C"/>
    <w:rsid w:val="00230098"/>
    <w:rsid w:val="002319A9"/>
    <w:rsid w:val="00231DDE"/>
    <w:rsid w:val="00234FAE"/>
    <w:rsid w:val="002418A4"/>
    <w:rsid w:val="00242785"/>
    <w:rsid w:val="00251DD7"/>
    <w:rsid w:val="00254B51"/>
    <w:rsid w:val="0025569A"/>
    <w:rsid w:val="00262D37"/>
    <w:rsid w:val="00264427"/>
    <w:rsid w:val="002666EE"/>
    <w:rsid w:val="00266989"/>
    <w:rsid w:val="00267A9C"/>
    <w:rsid w:val="00267E2F"/>
    <w:rsid w:val="00267F26"/>
    <w:rsid w:val="0027011A"/>
    <w:rsid w:val="002800C3"/>
    <w:rsid w:val="00285079"/>
    <w:rsid w:val="00286CEF"/>
    <w:rsid w:val="00291B29"/>
    <w:rsid w:val="002947D7"/>
    <w:rsid w:val="002A5C41"/>
    <w:rsid w:val="002A7E1C"/>
    <w:rsid w:val="002B1A64"/>
    <w:rsid w:val="002B53F1"/>
    <w:rsid w:val="002B58E6"/>
    <w:rsid w:val="002C457D"/>
    <w:rsid w:val="002C4681"/>
    <w:rsid w:val="002C6647"/>
    <w:rsid w:val="002C7012"/>
    <w:rsid w:val="002D36B9"/>
    <w:rsid w:val="002D6D37"/>
    <w:rsid w:val="002E2AB9"/>
    <w:rsid w:val="002E416D"/>
    <w:rsid w:val="002E5440"/>
    <w:rsid w:val="002F06AB"/>
    <w:rsid w:val="002F2401"/>
    <w:rsid w:val="002F491E"/>
    <w:rsid w:val="003028DB"/>
    <w:rsid w:val="00307475"/>
    <w:rsid w:val="0031498D"/>
    <w:rsid w:val="00314F6A"/>
    <w:rsid w:val="00316944"/>
    <w:rsid w:val="00320D04"/>
    <w:rsid w:val="00322A23"/>
    <w:rsid w:val="00323621"/>
    <w:rsid w:val="003239F3"/>
    <w:rsid w:val="00324646"/>
    <w:rsid w:val="00326E0B"/>
    <w:rsid w:val="003273AC"/>
    <w:rsid w:val="003314B9"/>
    <w:rsid w:val="00331968"/>
    <w:rsid w:val="00332A09"/>
    <w:rsid w:val="003342C9"/>
    <w:rsid w:val="00334726"/>
    <w:rsid w:val="003348E5"/>
    <w:rsid w:val="003359CD"/>
    <w:rsid w:val="0034012B"/>
    <w:rsid w:val="003409E2"/>
    <w:rsid w:val="00342F1A"/>
    <w:rsid w:val="00345833"/>
    <w:rsid w:val="003474B3"/>
    <w:rsid w:val="003522C9"/>
    <w:rsid w:val="00353168"/>
    <w:rsid w:val="003579E4"/>
    <w:rsid w:val="00360D00"/>
    <w:rsid w:val="003664D1"/>
    <w:rsid w:val="00371817"/>
    <w:rsid w:val="00377979"/>
    <w:rsid w:val="00377DED"/>
    <w:rsid w:val="003800B0"/>
    <w:rsid w:val="00380389"/>
    <w:rsid w:val="00381637"/>
    <w:rsid w:val="00381B8C"/>
    <w:rsid w:val="00385BF8"/>
    <w:rsid w:val="00386DAD"/>
    <w:rsid w:val="00394B81"/>
    <w:rsid w:val="00397E8B"/>
    <w:rsid w:val="003A142D"/>
    <w:rsid w:val="003A31DF"/>
    <w:rsid w:val="003A4CA7"/>
    <w:rsid w:val="003A5A9C"/>
    <w:rsid w:val="003B013B"/>
    <w:rsid w:val="003B1240"/>
    <w:rsid w:val="003C422F"/>
    <w:rsid w:val="003C6392"/>
    <w:rsid w:val="003D5282"/>
    <w:rsid w:val="003D624C"/>
    <w:rsid w:val="003D7395"/>
    <w:rsid w:val="003E095C"/>
    <w:rsid w:val="003E1900"/>
    <w:rsid w:val="003E7DCD"/>
    <w:rsid w:val="004008AD"/>
    <w:rsid w:val="00404136"/>
    <w:rsid w:val="00405F7B"/>
    <w:rsid w:val="00410F64"/>
    <w:rsid w:val="004136D7"/>
    <w:rsid w:val="00417105"/>
    <w:rsid w:val="00417143"/>
    <w:rsid w:val="00424A12"/>
    <w:rsid w:val="00425431"/>
    <w:rsid w:val="00426751"/>
    <w:rsid w:val="00426E85"/>
    <w:rsid w:val="004305D7"/>
    <w:rsid w:val="004326DB"/>
    <w:rsid w:val="00434F9B"/>
    <w:rsid w:val="00437C6D"/>
    <w:rsid w:val="00441CBF"/>
    <w:rsid w:val="00442260"/>
    <w:rsid w:val="0044476B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3555"/>
    <w:rsid w:val="00484365"/>
    <w:rsid w:val="00486E66"/>
    <w:rsid w:val="0048769A"/>
    <w:rsid w:val="00491849"/>
    <w:rsid w:val="00493E17"/>
    <w:rsid w:val="00493F28"/>
    <w:rsid w:val="00495612"/>
    <w:rsid w:val="00495F36"/>
    <w:rsid w:val="004A38ED"/>
    <w:rsid w:val="004A4623"/>
    <w:rsid w:val="004A7F3E"/>
    <w:rsid w:val="004B429B"/>
    <w:rsid w:val="004B7026"/>
    <w:rsid w:val="004B7DDC"/>
    <w:rsid w:val="004C3016"/>
    <w:rsid w:val="004D15A4"/>
    <w:rsid w:val="004D18BA"/>
    <w:rsid w:val="004D2B0A"/>
    <w:rsid w:val="004E06D1"/>
    <w:rsid w:val="004E1170"/>
    <w:rsid w:val="004E1D0D"/>
    <w:rsid w:val="004E2FDC"/>
    <w:rsid w:val="004E64B9"/>
    <w:rsid w:val="004E7298"/>
    <w:rsid w:val="00501CDA"/>
    <w:rsid w:val="005050CE"/>
    <w:rsid w:val="0051138A"/>
    <w:rsid w:val="00524579"/>
    <w:rsid w:val="005247B7"/>
    <w:rsid w:val="00524F83"/>
    <w:rsid w:val="00526105"/>
    <w:rsid w:val="00531C01"/>
    <w:rsid w:val="00536274"/>
    <w:rsid w:val="00545F06"/>
    <w:rsid w:val="00550CD1"/>
    <w:rsid w:val="00553AE0"/>
    <w:rsid w:val="0055596E"/>
    <w:rsid w:val="00556206"/>
    <w:rsid w:val="005567CE"/>
    <w:rsid w:val="0055705C"/>
    <w:rsid w:val="0056222A"/>
    <w:rsid w:val="00562A6B"/>
    <w:rsid w:val="0057175A"/>
    <w:rsid w:val="00580D64"/>
    <w:rsid w:val="005819C0"/>
    <w:rsid w:val="00581BA8"/>
    <w:rsid w:val="00583613"/>
    <w:rsid w:val="00584119"/>
    <w:rsid w:val="005A77E4"/>
    <w:rsid w:val="005B322E"/>
    <w:rsid w:val="005B78AF"/>
    <w:rsid w:val="005C1692"/>
    <w:rsid w:val="005C3ADD"/>
    <w:rsid w:val="005C4E52"/>
    <w:rsid w:val="005C59BB"/>
    <w:rsid w:val="005D2566"/>
    <w:rsid w:val="005D4AFC"/>
    <w:rsid w:val="005D4D24"/>
    <w:rsid w:val="005D751A"/>
    <w:rsid w:val="005D7AFC"/>
    <w:rsid w:val="005E17E0"/>
    <w:rsid w:val="005E40E9"/>
    <w:rsid w:val="005E610D"/>
    <w:rsid w:val="005F452B"/>
    <w:rsid w:val="005F5595"/>
    <w:rsid w:val="005F5AD4"/>
    <w:rsid w:val="005F7354"/>
    <w:rsid w:val="006029A7"/>
    <w:rsid w:val="00603C06"/>
    <w:rsid w:val="0060642F"/>
    <w:rsid w:val="006072A5"/>
    <w:rsid w:val="00610EB1"/>
    <w:rsid w:val="006110F1"/>
    <w:rsid w:val="00615B36"/>
    <w:rsid w:val="00617164"/>
    <w:rsid w:val="00621A84"/>
    <w:rsid w:val="0063136D"/>
    <w:rsid w:val="006361B6"/>
    <w:rsid w:val="006428F3"/>
    <w:rsid w:val="006454C6"/>
    <w:rsid w:val="006461C4"/>
    <w:rsid w:val="00650A25"/>
    <w:rsid w:val="00651D66"/>
    <w:rsid w:val="00653566"/>
    <w:rsid w:val="006544DB"/>
    <w:rsid w:val="00654DC5"/>
    <w:rsid w:val="00657095"/>
    <w:rsid w:val="00665CB5"/>
    <w:rsid w:val="00667712"/>
    <w:rsid w:val="00667BCB"/>
    <w:rsid w:val="00667E06"/>
    <w:rsid w:val="00671172"/>
    <w:rsid w:val="006755E7"/>
    <w:rsid w:val="00675966"/>
    <w:rsid w:val="006831B3"/>
    <w:rsid w:val="00692C56"/>
    <w:rsid w:val="00692E34"/>
    <w:rsid w:val="00693DA7"/>
    <w:rsid w:val="0069411C"/>
    <w:rsid w:val="0069722E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E1745"/>
    <w:rsid w:val="006F1F1A"/>
    <w:rsid w:val="006F32CB"/>
    <w:rsid w:val="0070151A"/>
    <w:rsid w:val="007048F0"/>
    <w:rsid w:val="007107F0"/>
    <w:rsid w:val="00711D31"/>
    <w:rsid w:val="00712005"/>
    <w:rsid w:val="0071464F"/>
    <w:rsid w:val="00716E0E"/>
    <w:rsid w:val="007218AB"/>
    <w:rsid w:val="00722A56"/>
    <w:rsid w:val="00725546"/>
    <w:rsid w:val="00726447"/>
    <w:rsid w:val="007279EF"/>
    <w:rsid w:val="00731C04"/>
    <w:rsid w:val="00732801"/>
    <w:rsid w:val="007343D5"/>
    <w:rsid w:val="00735107"/>
    <w:rsid w:val="00735994"/>
    <w:rsid w:val="007367A4"/>
    <w:rsid w:val="00743C04"/>
    <w:rsid w:val="007466BB"/>
    <w:rsid w:val="00746BF0"/>
    <w:rsid w:val="00747418"/>
    <w:rsid w:val="00752E85"/>
    <w:rsid w:val="00754669"/>
    <w:rsid w:val="00755F9A"/>
    <w:rsid w:val="00767499"/>
    <w:rsid w:val="00772241"/>
    <w:rsid w:val="00774C7B"/>
    <w:rsid w:val="007801B0"/>
    <w:rsid w:val="00787FB5"/>
    <w:rsid w:val="00790968"/>
    <w:rsid w:val="007951B9"/>
    <w:rsid w:val="007964F4"/>
    <w:rsid w:val="007A0C79"/>
    <w:rsid w:val="007A151E"/>
    <w:rsid w:val="007A17CB"/>
    <w:rsid w:val="007A274A"/>
    <w:rsid w:val="007A5F35"/>
    <w:rsid w:val="007B07B3"/>
    <w:rsid w:val="007B0E9B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D5E49"/>
    <w:rsid w:val="007E249F"/>
    <w:rsid w:val="007E45AE"/>
    <w:rsid w:val="007E5783"/>
    <w:rsid w:val="007E639D"/>
    <w:rsid w:val="007E7663"/>
    <w:rsid w:val="007F128D"/>
    <w:rsid w:val="007F13EC"/>
    <w:rsid w:val="007F2C6A"/>
    <w:rsid w:val="0080168E"/>
    <w:rsid w:val="00802EF7"/>
    <w:rsid w:val="0080400B"/>
    <w:rsid w:val="00804338"/>
    <w:rsid w:val="00811D90"/>
    <w:rsid w:val="008143D2"/>
    <w:rsid w:val="008163CB"/>
    <w:rsid w:val="00817BEB"/>
    <w:rsid w:val="00824A5F"/>
    <w:rsid w:val="00830C8C"/>
    <w:rsid w:val="00833DA0"/>
    <w:rsid w:val="008358EB"/>
    <w:rsid w:val="008409A6"/>
    <w:rsid w:val="00851833"/>
    <w:rsid w:val="00852845"/>
    <w:rsid w:val="00852A4C"/>
    <w:rsid w:val="00856F5B"/>
    <w:rsid w:val="00862E3E"/>
    <w:rsid w:val="008651AB"/>
    <w:rsid w:val="00867969"/>
    <w:rsid w:val="008723D9"/>
    <w:rsid w:val="008726FF"/>
    <w:rsid w:val="00872DB8"/>
    <w:rsid w:val="0087366F"/>
    <w:rsid w:val="00877806"/>
    <w:rsid w:val="00881E32"/>
    <w:rsid w:val="00882408"/>
    <w:rsid w:val="00884B7C"/>
    <w:rsid w:val="00886B09"/>
    <w:rsid w:val="00893CB2"/>
    <w:rsid w:val="008A3DA4"/>
    <w:rsid w:val="008A56C3"/>
    <w:rsid w:val="008B222D"/>
    <w:rsid w:val="008B2A04"/>
    <w:rsid w:val="008B343D"/>
    <w:rsid w:val="008B6E83"/>
    <w:rsid w:val="008C131A"/>
    <w:rsid w:val="008D2BBB"/>
    <w:rsid w:val="008E1C45"/>
    <w:rsid w:val="008E4216"/>
    <w:rsid w:val="008E497D"/>
    <w:rsid w:val="008E4C33"/>
    <w:rsid w:val="008E587F"/>
    <w:rsid w:val="008E5AD2"/>
    <w:rsid w:val="008E70A8"/>
    <w:rsid w:val="008E7528"/>
    <w:rsid w:val="008F0321"/>
    <w:rsid w:val="008F0EB5"/>
    <w:rsid w:val="008F4D8E"/>
    <w:rsid w:val="00905582"/>
    <w:rsid w:val="0090639B"/>
    <w:rsid w:val="00907522"/>
    <w:rsid w:val="00911D9D"/>
    <w:rsid w:val="00915F45"/>
    <w:rsid w:val="00916D13"/>
    <w:rsid w:val="00921AF0"/>
    <w:rsid w:val="009224A2"/>
    <w:rsid w:val="009224DF"/>
    <w:rsid w:val="00926157"/>
    <w:rsid w:val="00931269"/>
    <w:rsid w:val="00943532"/>
    <w:rsid w:val="00944C00"/>
    <w:rsid w:val="009457D8"/>
    <w:rsid w:val="00950C76"/>
    <w:rsid w:val="009511CD"/>
    <w:rsid w:val="009513DC"/>
    <w:rsid w:val="0095203A"/>
    <w:rsid w:val="00952CC7"/>
    <w:rsid w:val="00956C42"/>
    <w:rsid w:val="009609E9"/>
    <w:rsid w:val="009626AB"/>
    <w:rsid w:val="00970C37"/>
    <w:rsid w:val="00971777"/>
    <w:rsid w:val="0097534C"/>
    <w:rsid w:val="009809E9"/>
    <w:rsid w:val="00984516"/>
    <w:rsid w:val="00987C87"/>
    <w:rsid w:val="00992CE4"/>
    <w:rsid w:val="00994F55"/>
    <w:rsid w:val="009969E1"/>
    <w:rsid w:val="009979CF"/>
    <w:rsid w:val="009B3293"/>
    <w:rsid w:val="009B3F59"/>
    <w:rsid w:val="009B45AF"/>
    <w:rsid w:val="009B4F29"/>
    <w:rsid w:val="009B7C4D"/>
    <w:rsid w:val="009C1292"/>
    <w:rsid w:val="009C4C04"/>
    <w:rsid w:val="009C5DC5"/>
    <w:rsid w:val="009D55C8"/>
    <w:rsid w:val="009E00BF"/>
    <w:rsid w:val="009E07DC"/>
    <w:rsid w:val="009E2473"/>
    <w:rsid w:val="009E49B9"/>
    <w:rsid w:val="009E62F5"/>
    <w:rsid w:val="009E68F3"/>
    <w:rsid w:val="009F38A7"/>
    <w:rsid w:val="009F4D0C"/>
    <w:rsid w:val="009F713C"/>
    <w:rsid w:val="00A06801"/>
    <w:rsid w:val="00A1073C"/>
    <w:rsid w:val="00A10F02"/>
    <w:rsid w:val="00A1354A"/>
    <w:rsid w:val="00A14381"/>
    <w:rsid w:val="00A20CB7"/>
    <w:rsid w:val="00A21E20"/>
    <w:rsid w:val="00A23607"/>
    <w:rsid w:val="00A276E5"/>
    <w:rsid w:val="00A30DDB"/>
    <w:rsid w:val="00A33417"/>
    <w:rsid w:val="00A340E9"/>
    <w:rsid w:val="00A40F9E"/>
    <w:rsid w:val="00A41687"/>
    <w:rsid w:val="00A46844"/>
    <w:rsid w:val="00A52A86"/>
    <w:rsid w:val="00A5420D"/>
    <w:rsid w:val="00A56E0D"/>
    <w:rsid w:val="00A602B6"/>
    <w:rsid w:val="00A63596"/>
    <w:rsid w:val="00A63FC7"/>
    <w:rsid w:val="00A656C8"/>
    <w:rsid w:val="00A65E7D"/>
    <w:rsid w:val="00A71788"/>
    <w:rsid w:val="00A735DF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A0E7F"/>
    <w:rsid w:val="00AA2A7C"/>
    <w:rsid w:val="00AC020C"/>
    <w:rsid w:val="00AC430D"/>
    <w:rsid w:val="00AC5352"/>
    <w:rsid w:val="00AC5CAD"/>
    <w:rsid w:val="00AD4C66"/>
    <w:rsid w:val="00AE0F01"/>
    <w:rsid w:val="00AE4C97"/>
    <w:rsid w:val="00AE6A33"/>
    <w:rsid w:val="00AF426A"/>
    <w:rsid w:val="00AF7567"/>
    <w:rsid w:val="00B01472"/>
    <w:rsid w:val="00B025D4"/>
    <w:rsid w:val="00B10792"/>
    <w:rsid w:val="00B14BA9"/>
    <w:rsid w:val="00B16969"/>
    <w:rsid w:val="00B1730D"/>
    <w:rsid w:val="00B2051D"/>
    <w:rsid w:val="00B207DF"/>
    <w:rsid w:val="00B20CED"/>
    <w:rsid w:val="00B212A4"/>
    <w:rsid w:val="00B2548A"/>
    <w:rsid w:val="00B25657"/>
    <w:rsid w:val="00B307F5"/>
    <w:rsid w:val="00B35800"/>
    <w:rsid w:val="00B37F08"/>
    <w:rsid w:val="00B40887"/>
    <w:rsid w:val="00B4279C"/>
    <w:rsid w:val="00B4485B"/>
    <w:rsid w:val="00B47CEF"/>
    <w:rsid w:val="00B501E4"/>
    <w:rsid w:val="00B5768A"/>
    <w:rsid w:val="00B67068"/>
    <w:rsid w:val="00B67A0A"/>
    <w:rsid w:val="00B67AC6"/>
    <w:rsid w:val="00B71219"/>
    <w:rsid w:val="00B722E6"/>
    <w:rsid w:val="00B727DF"/>
    <w:rsid w:val="00B74265"/>
    <w:rsid w:val="00B760E6"/>
    <w:rsid w:val="00B76890"/>
    <w:rsid w:val="00B82D0F"/>
    <w:rsid w:val="00B85DD1"/>
    <w:rsid w:val="00B86194"/>
    <w:rsid w:val="00B93CD7"/>
    <w:rsid w:val="00B9412A"/>
    <w:rsid w:val="00BB14E3"/>
    <w:rsid w:val="00BB1826"/>
    <w:rsid w:val="00BB20C2"/>
    <w:rsid w:val="00BB2473"/>
    <w:rsid w:val="00BB4051"/>
    <w:rsid w:val="00BB4ECF"/>
    <w:rsid w:val="00BB5B3C"/>
    <w:rsid w:val="00BC0F64"/>
    <w:rsid w:val="00BC3E8A"/>
    <w:rsid w:val="00BC58B5"/>
    <w:rsid w:val="00BD211E"/>
    <w:rsid w:val="00BD253C"/>
    <w:rsid w:val="00BD3C08"/>
    <w:rsid w:val="00BD663B"/>
    <w:rsid w:val="00BD7CE8"/>
    <w:rsid w:val="00BE2FAA"/>
    <w:rsid w:val="00BE6833"/>
    <w:rsid w:val="00BE7D22"/>
    <w:rsid w:val="00C03AAB"/>
    <w:rsid w:val="00C07D5A"/>
    <w:rsid w:val="00C1042D"/>
    <w:rsid w:val="00C10F00"/>
    <w:rsid w:val="00C12511"/>
    <w:rsid w:val="00C13324"/>
    <w:rsid w:val="00C139E9"/>
    <w:rsid w:val="00C13E31"/>
    <w:rsid w:val="00C17D2C"/>
    <w:rsid w:val="00C20386"/>
    <w:rsid w:val="00C232E5"/>
    <w:rsid w:val="00C309C5"/>
    <w:rsid w:val="00C31E59"/>
    <w:rsid w:val="00C34F6C"/>
    <w:rsid w:val="00C45D3C"/>
    <w:rsid w:val="00C52F3B"/>
    <w:rsid w:val="00C65D3B"/>
    <w:rsid w:val="00C70EED"/>
    <w:rsid w:val="00C71B7F"/>
    <w:rsid w:val="00C73B8E"/>
    <w:rsid w:val="00C84F90"/>
    <w:rsid w:val="00C858DD"/>
    <w:rsid w:val="00C90169"/>
    <w:rsid w:val="00C90FB2"/>
    <w:rsid w:val="00C93A2A"/>
    <w:rsid w:val="00C94521"/>
    <w:rsid w:val="00C95692"/>
    <w:rsid w:val="00C96271"/>
    <w:rsid w:val="00C96DFF"/>
    <w:rsid w:val="00CA00E6"/>
    <w:rsid w:val="00CA2FA3"/>
    <w:rsid w:val="00CC1151"/>
    <w:rsid w:val="00CC1E93"/>
    <w:rsid w:val="00CD21E6"/>
    <w:rsid w:val="00CD2EF7"/>
    <w:rsid w:val="00CE3D5C"/>
    <w:rsid w:val="00CF3127"/>
    <w:rsid w:val="00D0135B"/>
    <w:rsid w:val="00D02317"/>
    <w:rsid w:val="00D02BB8"/>
    <w:rsid w:val="00D04D02"/>
    <w:rsid w:val="00D064F6"/>
    <w:rsid w:val="00D0693F"/>
    <w:rsid w:val="00D06B22"/>
    <w:rsid w:val="00D107EB"/>
    <w:rsid w:val="00D10F87"/>
    <w:rsid w:val="00D12C2A"/>
    <w:rsid w:val="00D16E98"/>
    <w:rsid w:val="00D17970"/>
    <w:rsid w:val="00D210E0"/>
    <w:rsid w:val="00D21A8B"/>
    <w:rsid w:val="00D25653"/>
    <w:rsid w:val="00D27853"/>
    <w:rsid w:val="00D279B2"/>
    <w:rsid w:val="00D30604"/>
    <w:rsid w:val="00D30704"/>
    <w:rsid w:val="00D46D40"/>
    <w:rsid w:val="00D50238"/>
    <w:rsid w:val="00D543CD"/>
    <w:rsid w:val="00D5562E"/>
    <w:rsid w:val="00D62366"/>
    <w:rsid w:val="00D62C1F"/>
    <w:rsid w:val="00D7105C"/>
    <w:rsid w:val="00D76242"/>
    <w:rsid w:val="00D81F11"/>
    <w:rsid w:val="00D85FCD"/>
    <w:rsid w:val="00D923D2"/>
    <w:rsid w:val="00DA1839"/>
    <w:rsid w:val="00DA3002"/>
    <w:rsid w:val="00DA5B04"/>
    <w:rsid w:val="00DA6B59"/>
    <w:rsid w:val="00DA707D"/>
    <w:rsid w:val="00DA7626"/>
    <w:rsid w:val="00DA7FAB"/>
    <w:rsid w:val="00DB06FF"/>
    <w:rsid w:val="00DB1967"/>
    <w:rsid w:val="00DB341C"/>
    <w:rsid w:val="00DC1500"/>
    <w:rsid w:val="00DC31BF"/>
    <w:rsid w:val="00DC74A6"/>
    <w:rsid w:val="00DD0497"/>
    <w:rsid w:val="00DD099B"/>
    <w:rsid w:val="00DD425A"/>
    <w:rsid w:val="00DD4DF1"/>
    <w:rsid w:val="00DD799D"/>
    <w:rsid w:val="00DE1BA3"/>
    <w:rsid w:val="00DE74D7"/>
    <w:rsid w:val="00DF323B"/>
    <w:rsid w:val="00DF568D"/>
    <w:rsid w:val="00DF581A"/>
    <w:rsid w:val="00DF70D4"/>
    <w:rsid w:val="00E01851"/>
    <w:rsid w:val="00E03813"/>
    <w:rsid w:val="00E04A2C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27ACC"/>
    <w:rsid w:val="00E27D79"/>
    <w:rsid w:val="00E32D1B"/>
    <w:rsid w:val="00E341B7"/>
    <w:rsid w:val="00E35C28"/>
    <w:rsid w:val="00E369D2"/>
    <w:rsid w:val="00E36C55"/>
    <w:rsid w:val="00E36CF3"/>
    <w:rsid w:val="00E37C20"/>
    <w:rsid w:val="00E40BCF"/>
    <w:rsid w:val="00E41075"/>
    <w:rsid w:val="00E4253E"/>
    <w:rsid w:val="00E42C7D"/>
    <w:rsid w:val="00E47DAE"/>
    <w:rsid w:val="00E51783"/>
    <w:rsid w:val="00E53652"/>
    <w:rsid w:val="00E55959"/>
    <w:rsid w:val="00E60645"/>
    <w:rsid w:val="00E64493"/>
    <w:rsid w:val="00E64ABE"/>
    <w:rsid w:val="00E8129E"/>
    <w:rsid w:val="00E8350C"/>
    <w:rsid w:val="00E86D3B"/>
    <w:rsid w:val="00E9145D"/>
    <w:rsid w:val="00E914F8"/>
    <w:rsid w:val="00E948F8"/>
    <w:rsid w:val="00EA1207"/>
    <w:rsid w:val="00EA196D"/>
    <w:rsid w:val="00EA7449"/>
    <w:rsid w:val="00EB5AC6"/>
    <w:rsid w:val="00EB6441"/>
    <w:rsid w:val="00ED095D"/>
    <w:rsid w:val="00ED3723"/>
    <w:rsid w:val="00EE35DD"/>
    <w:rsid w:val="00EE518D"/>
    <w:rsid w:val="00EE5A59"/>
    <w:rsid w:val="00EF15DA"/>
    <w:rsid w:val="00EF538D"/>
    <w:rsid w:val="00F23F54"/>
    <w:rsid w:val="00F247A3"/>
    <w:rsid w:val="00F32362"/>
    <w:rsid w:val="00F41AA9"/>
    <w:rsid w:val="00F45BE6"/>
    <w:rsid w:val="00F46AA1"/>
    <w:rsid w:val="00F47A65"/>
    <w:rsid w:val="00F52C8C"/>
    <w:rsid w:val="00F5546F"/>
    <w:rsid w:val="00F60625"/>
    <w:rsid w:val="00F71BB2"/>
    <w:rsid w:val="00F809DF"/>
    <w:rsid w:val="00F877AA"/>
    <w:rsid w:val="00F93447"/>
    <w:rsid w:val="00F9406B"/>
    <w:rsid w:val="00F9537D"/>
    <w:rsid w:val="00F97878"/>
    <w:rsid w:val="00FA0091"/>
    <w:rsid w:val="00FA3687"/>
    <w:rsid w:val="00FA3AFE"/>
    <w:rsid w:val="00FA4320"/>
    <w:rsid w:val="00FA4A66"/>
    <w:rsid w:val="00FA5462"/>
    <w:rsid w:val="00FA6FC6"/>
    <w:rsid w:val="00FB03ED"/>
    <w:rsid w:val="00FB1F07"/>
    <w:rsid w:val="00FB35CD"/>
    <w:rsid w:val="00FB4795"/>
    <w:rsid w:val="00FB5B06"/>
    <w:rsid w:val="00FC171D"/>
    <w:rsid w:val="00FC4E07"/>
    <w:rsid w:val="00FC5A80"/>
    <w:rsid w:val="00FC622E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6029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e">
    <w:name w:val="Title"/>
    <w:basedOn w:val="a"/>
    <w:link w:val="af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2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rsid w:val="006029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9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/>
      <w:outlineLvl w:val="1"/>
    </w:pPr>
    <w:rPr>
      <w:rFonts w:ascii="Calibri" w:eastAsia="Calibri" w:hAnsi="Calibri"/>
      <w:b/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6029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 w:eastAsia="en-US"/>
    </w:r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b">
    <w:name w:val="Body Text"/>
    <w:basedOn w:val="a"/>
    <w:link w:val="ac"/>
    <w:uiPriority w:val="99"/>
    <w:rsid w:val="00B760E6"/>
    <w:rPr>
      <w:rFonts w:ascii="Calibri" w:eastAsia="Calibri" w:hAnsi="Calibri"/>
      <w:b/>
      <w:color w:val="000000"/>
      <w:szCs w:val="20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rsid w:val="00B760E6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styleId="ae">
    <w:name w:val="Title"/>
    <w:basedOn w:val="a"/>
    <w:link w:val="af"/>
    <w:uiPriority w:val="99"/>
    <w:qFormat/>
    <w:locked/>
    <w:rsid w:val="00B760E6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rPr>
      <w:rFonts w:ascii="Verdana" w:eastAsia="Calibri" w:hAnsi="Verdana" w:cs="Verdana"/>
      <w:sz w:val="20"/>
      <w:szCs w:val="20"/>
      <w:lang w:val="en-US" w:eastAsia="en-US"/>
    </w:rPr>
  </w:style>
  <w:style w:type="character" w:styleId="af2">
    <w:name w:val="annotation reference"/>
    <w:basedOn w:val="a0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pPr>
      <w:spacing w:after="200" w:line="276" w:lineRule="auto"/>
    </w:pPr>
    <w:rPr>
      <w:rFonts w:ascii="Calibri" w:eastAsia="Calibri" w:hAnsi="Calibri" w:cs="Calibri"/>
      <w:sz w:val="20"/>
      <w:szCs w:val="20"/>
      <w:lang w:val="uk-UA" w:eastAsia="en-US"/>
    </w:rPr>
  </w:style>
  <w:style w:type="character" w:customStyle="1" w:styleId="af4">
    <w:name w:val="Текст примітки Знак"/>
    <w:basedOn w:val="a0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FB35CD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35CD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rsid w:val="006029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F886D-A4B8-455F-8377-E0B05209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1387</Words>
  <Characters>9904</Characters>
  <Application>Microsoft Office Word</Application>
  <DocSecurity>0</DocSecurity>
  <Lines>82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Морозова</dc:creator>
  <cp:lastModifiedBy>Олена Малицька</cp:lastModifiedBy>
  <cp:revision>4</cp:revision>
  <cp:lastPrinted>2020-12-16T14:12:00Z</cp:lastPrinted>
  <dcterms:created xsi:type="dcterms:W3CDTF">2022-07-19T08:13:00Z</dcterms:created>
  <dcterms:modified xsi:type="dcterms:W3CDTF">2022-07-19T08:20:00Z</dcterms:modified>
</cp:coreProperties>
</file>