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39F" w:rsidRPr="00B3339F" w:rsidRDefault="00B3339F" w:rsidP="00B3339F">
      <w:pPr>
        <w:spacing w:before="120"/>
        <w:contextualSpacing/>
        <w:jc w:val="center"/>
        <w:rPr>
          <w:bCs/>
          <w:sz w:val="28"/>
          <w:szCs w:val="28"/>
          <w:lang w:val="uk-UA"/>
        </w:rPr>
      </w:pPr>
      <w:r w:rsidRPr="00B3339F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B3339F" w:rsidRPr="00CD156B" w:rsidRDefault="00B3339F" w:rsidP="00B3339F">
      <w:pPr>
        <w:rPr>
          <w:b/>
          <w:sz w:val="27"/>
          <w:szCs w:val="27"/>
          <w:lang w:val="uk-UA"/>
        </w:rPr>
      </w:pPr>
    </w:p>
    <w:p w:rsidR="00B3339F" w:rsidRPr="00CD156B" w:rsidRDefault="00B3339F" w:rsidP="00B3339F">
      <w:pPr>
        <w:jc w:val="center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АНАЛІЗ ВПЛИВУ</w:t>
      </w:r>
    </w:p>
    <w:p w:rsidR="00B3339F" w:rsidRPr="00CD156B" w:rsidRDefault="00B3339F" w:rsidP="00B3339F">
      <w:pPr>
        <w:jc w:val="center"/>
        <w:rPr>
          <w:b/>
          <w:sz w:val="27"/>
          <w:szCs w:val="27"/>
          <w:lang w:val="uk-UA"/>
        </w:rPr>
      </w:pPr>
      <w:proofErr w:type="spellStart"/>
      <w:r w:rsidRPr="00CD156B">
        <w:rPr>
          <w:b/>
          <w:sz w:val="27"/>
          <w:szCs w:val="27"/>
          <w:lang w:val="uk-UA"/>
        </w:rPr>
        <w:t>проєкту</w:t>
      </w:r>
      <w:proofErr w:type="spellEnd"/>
      <w:r w:rsidRPr="00CD156B">
        <w:rPr>
          <w:b/>
          <w:sz w:val="27"/>
          <w:szCs w:val="27"/>
          <w:lang w:val="uk-UA"/>
        </w:rPr>
        <w:t xml:space="preserve"> постанови НКРЕКП </w:t>
      </w:r>
      <w:bookmarkStart w:id="0" w:name="_Hlk9418831"/>
      <w:r w:rsidRPr="00CD156B">
        <w:rPr>
          <w:b/>
          <w:color w:val="000000"/>
          <w:sz w:val="27"/>
          <w:szCs w:val="27"/>
          <w:lang w:val="uk-UA"/>
        </w:rPr>
        <w:t>«</w:t>
      </w:r>
      <w:r w:rsidRPr="007D52A5">
        <w:rPr>
          <w:b/>
          <w:sz w:val="27"/>
          <w:szCs w:val="27"/>
          <w:lang w:val="uk-UA"/>
        </w:rPr>
        <w:t xml:space="preserve">Про </w:t>
      </w:r>
      <w:r>
        <w:rPr>
          <w:b/>
          <w:sz w:val="27"/>
          <w:szCs w:val="27"/>
          <w:lang w:val="uk-UA"/>
        </w:rPr>
        <w:t>внесення з</w:t>
      </w:r>
      <w:r w:rsidRPr="007D52A5">
        <w:rPr>
          <w:b/>
          <w:sz w:val="27"/>
          <w:szCs w:val="27"/>
          <w:lang w:val="uk-UA"/>
        </w:rPr>
        <w:t xml:space="preserve">мін до </w:t>
      </w:r>
      <w:r>
        <w:rPr>
          <w:b/>
          <w:sz w:val="27"/>
          <w:szCs w:val="27"/>
          <w:lang w:val="uk-UA"/>
        </w:rPr>
        <w:t>Кодексу газотранспортної системи та Кодексу газорозподільних систем</w:t>
      </w:r>
      <w:r w:rsidRPr="007D52A5">
        <w:rPr>
          <w:b/>
          <w:color w:val="000000"/>
          <w:sz w:val="27"/>
          <w:szCs w:val="27"/>
          <w:lang w:val="uk-UA"/>
        </w:rPr>
        <w:t>»</w:t>
      </w:r>
      <w:bookmarkEnd w:id="0"/>
      <w:r w:rsidRPr="00CD156B">
        <w:rPr>
          <w:b/>
          <w:color w:val="000000"/>
          <w:sz w:val="27"/>
          <w:szCs w:val="27"/>
          <w:lang w:val="uk-UA"/>
        </w:rPr>
        <w:t>, що містить ознаки регуляторного акта</w:t>
      </w:r>
    </w:p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B3339F" w:rsidRPr="00CD156B" w:rsidRDefault="00B3339F" w:rsidP="00B3339F">
      <w:pPr>
        <w:ind w:firstLine="540"/>
        <w:rPr>
          <w:b/>
          <w:sz w:val="27"/>
          <w:szCs w:val="27"/>
          <w:lang w:val="uk-UA"/>
        </w:rPr>
      </w:pPr>
      <w:r w:rsidRPr="00CD156B">
        <w:rPr>
          <w:b/>
          <w:iCs/>
          <w:sz w:val="27"/>
          <w:szCs w:val="27"/>
          <w:lang w:val="uk-UA"/>
        </w:rPr>
        <w:t xml:space="preserve">І. </w:t>
      </w:r>
      <w:r w:rsidRPr="00CD156B">
        <w:rPr>
          <w:b/>
          <w:sz w:val="27"/>
          <w:szCs w:val="27"/>
          <w:lang w:val="uk-UA"/>
        </w:rPr>
        <w:t>Визначення проблеми</w:t>
      </w:r>
    </w:p>
    <w:p w:rsidR="00B3339F" w:rsidRPr="00CD156B" w:rsidRDefault="00B3339F" w:rsidP="00B3339F">
      <w:pPr>
        <w:widowControl w:val="0"/>
        <w:jc w:val="center"/>
        <w:rPr>
          <w:rFonts w:eastAsia="Calibri"/>
          <w:sz w:val="27"/>
          <w:szCs w:val="27"/>
          <w:lang w:val="uk-UA" w:eastAsia="en-US"/>
        </w:rPr>
      </w:pPr>
    </w:p>
    <w:p w:rsidR="00B3339F" w:rsidRDefault="00B3339F" w:rsidP="00B3339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 метою розвитку ринку </w:t>
      </w:r>
      <w:proofErr w:type="spellStart"/>
      <w:r>
        <w:rPr>
          <w:rFonts w:eastAsia="Calibri"/>
          <w:sz w:val="28"/>
          <w:szCs w:val="28"/>
          <w:lang w:val="uk-UA" w:eastAsia="en-US"/>
        </w:rPr>
        <w:t>біометану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в Україні було  прийнято </w:t>
      </w:r>
      <w:r w:rsidRPr="006428CB">
        <w:rPr>
          <w:sz w:val="28"/>
          <w:szCs w:val="28"/>
          <w:lang w:val="uk-UA"/>
        </w:rPr>
        <w:t>Закон України «</w:t>
      </w:r>
      <w:r w:rsidRPr="006428CB">
        <w:rPr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щодо розвитку виробництва </w:t>
      </w:r>
      <w:proofErr w:type="spellStart"/>
      <w:r w:rsidRPr="006428CB">
        <w:rPr>
          <w:bCs/>
          <w:sz w:val="28"/>
          <w:szCs w:val="28"/>
          <w:shd w:val="clear" w:color="auto" w:fill="FFFFFF"/>
          <w:lang w:val="uk-UA"/>
        </w:rPr>
        <w:t>біометану</w:t>
      </w:r>
      <w:proofErr w:type="spellEnd"/>
      <w:r w:rsidRPr="006428C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(далі – Закон про </w:t>
      </w:r>
      <w:proofErr w:type="spellStart"/>
      <w:r>
        <w:rPr>
          <w:sz w:val="28"/>
          <w:szCs w:val="28"/>
          <w:lang w:val="uk-UA"/>
        </w:rPr>
        <w:t>біометан</w:t>
      </w:r>
      <w:proofErr w:type="spellEnd"/>
      <w:r>
        <w:rPr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B3339F" w:rsidRDefault="00B3339F" w:rsidP="00B3339F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Так, зокрема, Законом про </w:t>
      </w:r>
      <w:proofErr w:type="spellStart"/>
      <w:r>
        <w:rPr>
          <w:rFonts w:eastAsia="Calibri"/>
          <w:sz w:val="28"/>
          <w:szCs w:val="28"/>
          <w:lang w:val="uk-UA" w:eastAsia="en-US"/>
        </w:rPr>
        <w:t>біометан</w:t>
      </w:r>
      <w:proofErr w:type="spellEnd"/>
      <w:r w:rsidRPr="006428CB">
        <w:rPr>
          <w:rFonts w:eastAsia="Calibri"/>
          <w:sz w:val="28"/>
          <w:szCs w:val="28"/>
          <w:lang w:val="uk-UA" w:eastAsia="en-US"/>
        </w:rPr>
        <w:t xml:space="preserve"> були внесені зміни до </w:t>
      </w:r>
      <w:r>
        <w:rPr>
          <w:rFonts w:eastAsia="Calibri"/>
          <w:sz w:val="28"/>
          <w:szCs w:val="28"/>
          <w:lang w:val="uk-UA" w:eastAsia="en-US"/>
        </w:rPr>
        <w:t>частини першої статті 19 Закону </w:t>
      </w:r>
      <w:r w:rsidRPr="006428CB">
        <w:rPr>
          <w:rFonts w:eastAsia="Calibri"/>
          <w:sz w:val="28"/>
          <w:szCs w:val="28"/>
          <w:lang w:val="uk-UA" w:eastAsia="en-US"/>
        </w:rPr>
        <w:t>України «Про ринок природного газу»</w:t>
      </w:r>
      <w:r>
        <w:rPr>
          <w:rFonts w:eastAsia="Calibri"/>
          <w:sz w:val="28"/>
          <w:szCs w:val="28"/>
          <w:lang w:val="uk-UA" w:eastAsia="en-US"/>
        </w:rPr>
        <w:t xml:space="preserve"> (далі – Закон про ринок газу)</w:t>
      </w:r>
      <w:r w:rsidRPr="006428CB">
        <w:rPr>
          <w:rFonts w:eastAsia="Calibri"/>
          <w:sz w:val="28"/>
          <w:szCs w:val="28"/>
          <w:lang w:val="uk-UA" w:eastAsia="en-US"/>
        </w:rPr>
        <w:t xml:space="preserve">, які передбачають, що </w:t>
      </w:r>
      <w:r w:rsidRPr="006428CB">
        <w:rPr>
          <w:sz w:val="28"/>
          <w:szCs w:val="28"/>
          <w:shd w:val="clear" w:color="auto" w:fill="FFFFFF"/>
          <w:lang w:val="uk-UA"/>
        </w:rPr>
        <w:t xml:space="preserve">положення цього Закону щодо природного газу застосовуються на недискримінаційній основі до біогазу або іншого виду газу з альтернативних джерел, у разі якщо біогаз або інший газ з альтернативних джерел відповідає вимогам для доступу до газотранспортних і газорозподільних систем, газосховищ, установки </w:t>
      </w:r>
      <w:r w:rsidRPr="006428CB">
        <w:rPr>
          <w:sz w:val="28"/>
          <w:szCs w:val="28"/>
          <w:shd w:val="clear" w:color="auto" w:fill="FFFFFF"/>
        </w:rPr>
        <w:t>LNG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B3339F" w:rsidRDefault="00B3339F" w:rsidP="00B3339F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Разом з тим положеннями Кодексу газотранспортної системи, затвердженого постановою НКРЕКП від 30.09.2015 № 2493 (далі – Кодекс ГТС), та Кодексу газорозподільних систем, затвердженого постановою НКРЕКП від 30.09.2015 № 2494 (далі – Кодекс ГРМ)</w:t>
      </w:r>
      <w:r w:rsidR="00B34AD5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встановлено, що д</w:t>
      </w:r>
      <w:r w:rsidRPr="00D2710F">
        <w:rPr>
          <w:sz w:val="28"/>
          <w:szCs w:val="28"/>
          <w:shd w:val="clear" w:color="auto" w:fill="FFFFFF"/>
          <w:lang w:val="uk-UA"/>
        </w:rPr>
        <w:t>оступ суб'єктів ринку природного газу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  <w:r w:rsidRPr="00113476">
        <w:rPr>
          <w:sz w:val="28"/>
          <w:szCs w:val="28"/>
          <w:shd w:val="clear" w:color="auto" w:fill="FFFFFF"/>
          <w:lang w:val="uk-UA"/>
        </w:rPr>
        <w:t>у тому числі виробників біогазу або інших видів газу з альтернативних джерел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113476">
        <w:rPr>
          <w:sz w:val="28"/>
          <w:szCs w:val="28"/>
          <w:shd w:val="clear" w:color="auto" w:fill="FFFFFF"/>
          <w:lang w:val="uk-UA"/>
        </w:rPr>
        <w:t xml:space="preserve"> </w:t>
      </w:r>
      <w:r w:rsidRPr="00D2710F">
        <w:rPr>
          <w:sz w:val="28"/>
          <w:szCs w:val="28"/>
          <w:shd w:val="clear" w:color="auto" w:fill="FFFFFF"/>
          <w:lang w:val="uk-UA"/>
        </w:rPr>
        <w:t>до газотранспортної системи</w:t>
      </w:r>
      <w:r>
        <w:rPr>
          <w:sz w:val="28"/>
          <w:szCs w:val="28"/>
          <w:shd w:val="clear" w:color="auto" w:fill="FFFFFF"/>
          <w:lang w:val="uk-UA"/>
        </w:rPr>
        <w:t xml:space="preserve"> та газорозподільних систем</w:t>
      </w:r>
      <w:r w:rsidRPr="00D2710F">
        <w:rPr>
          <w:sz w:val="28"/>
          <w:szCs w:val="28"/>
          <w:shd w:val="clear" w:color="auto" w:fill="FFFFFF"/>
          <w:lang w:val="uk-UA"/>
        </w:rPr>
        <w:t xml:space="preserve"> здійснюється на принципах</w:t>
      </w:r>
      <w:r>
        <w:rPr>
          <w:sz w:val="28"/>
          <w:szCs w:val="28"/>
          <w:shd w:val="clear" w:color="auto" w:fill="FFFFFF"/>
          <w:lang w:val="uk-UA"/>
        </w:rPr>
        <w:t xml:space="preserve"> забезпечення </w:t>
      </w:r>
      <w:r w:rsidRPr="00D2710F">
        <w:rPr>
          <w:sz w:val="28"/>
          <w:szCs w:val="28"/>
          <w:shd w:val="clear" w:color="auto" w:fill="FFFFFF"/>
          <w:lang w:val="uk-UA"/>
        </w:rPr>
        <w:t>рівного права доступу за умови, що біогаз або інші види газу з альтернативних джерел за своїми фізико-хімічними характеристиками відповідають стандартам н</w:t>
      </w:r>
      <w:r>
        <w:rPr>
          <w:sz w:val="28"/>
          <w:szCs w:val="28"/>
          <w:shd w:val="clear" w:color="auto" w:fill="FFFFFF"/>
          <w:lang w:val="uk-UA"/>
        </w:rPr>
        <w:t>а природний газ та вимогам цих</w:t>
      </w:r>
      <w:r w:rsidRPr="00D2710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кодексів.</w:t>
      </w:r>
    </w:p>
    <w:p w:rsidR="00B3339F" w:rsidRPr="009E244E" w:rsidRDefault="00B3339F" w:rsidP="00B3339F">
      <w:pPr>
        <w:ind w:firstLine="709"/>
        <w:jc w:val="both"/>
        <w:rPr>
          <w:rStyle w:val="fontstyle01"/>
          <w:rFonts w:ascii="Times New Roman" w:hAnsi="Times New Roman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Слід зазначити, що</w:t>
      </w:r>
      <w:r w:rsidRPr="009E244E">
        <w:rPr>
          <w:rFonts w:eastAsia="Calibri"/>
          <w:sz w:val="28"/>
          <w:szCs w:val="28"/>
          <w:lang w:val="uk-UA" w:eastAsia="en-US"/>
        </w:rPr>
        <w:t xml:space="preserve"> до НКРЕКП надійшли листи Міністерства енергетики України та ТОВ «Оператор газотранспортної системи України» щодо необхідності внесення змін до положень Кодексу </w:t>
      </w:r>
      <w:r>
        <w:rPr>
          <w:rFonts w:eastAsia="Calibri"/>
          <w:sz w:val="28"/>
          <w:szCs w:val="28"/>
          <w:lang w:val="uk-UA" w:eastAsia="en-US"/>
        </w:rPr>
        <w:t>ГТС</w:t>
      </w:r>
      <w:r w:rsidRPr="009E244E">
        <w:rPr>
          <w:rFonts w:eastAsia="Calibri"/>
          <w:sz w:val="28"/>
          <w:szCs w:val="28"/>
          <w:lang w:val="uk-UA" w:eastAsia="en-US"/>
        </w:rPr>
        <w:t xml:space="preserve"> та Кодексу </w:t>
      </w:r>
      <w:r>
        <w:rPr>
          <w:rFonts w:eastAsia="Calibri"/>
          <w:sz w:val="28"/>
          <w:szCs w:val="28"/>
          <w:lang w:val="uk-UA" w:eastAsia="en-US"/>
        </w:rPr>
        <w:t>ГРМ</w:t>
      </w:r>
      <w:r w:rsidRPr="009E244E">
        <w:rPr>
          <w:rFonts w:eastAsia="Calibri"/>
          <w:sz w:val="28"/>
          <w:szCs w:val="28"/>
          <w:lang w:val="uk-UA" w:eastAsia="en-US"/>
        </w:rPr>
        <w:t xml:space="preserve">, </w:t>
      </w:r>
      <w:r>
        <w:rPr>
          <w:rFonts w:eastAsia="Calibri"/>
          <w:sz w:val="28"/>
          <w:szCs w:val="28"/>
          <w:lang w:val="uk-UA" w:eastAsia="en-US"/>
        </w:rPr>
        <w:t>оскільки</w:t>
      </w:r>
      <w:r w:rsidRPr="009E244E">
        <w:rPr>
          <w:rFonts w:eastAsia="Calibri"/>
          <w:sz w:val="28"/>
          <w:szCs w:val="28"/>
          <w:lang w:val="uk-UA" w:eastAsia="en-US"/>
        </w:rPr>
        <w:t xml:space="preserve"> встановлені </w:t>
      </w:r>
      <w:r>
        <w:rPr>
          <w:rFonts w:eastAsia="Calibri"/>
          <w:sz w:val="28"/>
          <w:szCs w:val="28"/>
          <w:lang w:val="uk-UA" w:eastAsia="en-US"/>
        </w:rPr>
        <w:t xml:space="preserve">ними </w:t>
      </w:r>
      <w:r w:rsidRPr="009E244E">
        <w:rPr>
          <w:rFonts w:eastAsia="Calibri"/>
          <w:sz w:val="28"/>
          <w:szCs w:val="28"/>
          <w:lang w:val="uk-UA" w:eastAsia="en-US"/>
        </w:rPr>
        <w:t>вимоги до фізико-хімічних показників природного газу</w:t>
      </w:r>
      <w:r>
        <w:rPr>
          <w:rFonts w:eastAsia="Calibri"/>
          <w:sz w:val="28"/>
          <w:szCs w:val="28"/>
          <w:lang w:val="uk-UA" w:eastAsia="en-US"/>
        </w:rPr>
        <w:t xml:space="preserve"> не створюють достатніх стимулів для виробників біогазу та потенційних інвесторів</w:t>
      </w:r>
      <w:r w:rsidRPr="009E244E">
        <w:rPr>
          <w:rFonts w:eastAsia="Calibri"/>
          <w:sz w:val="28"/>
          <w:szCs w:val="28"/>
          <w:lang w:val="uk-UA" w:eastAsia="en-US"/>
        </w:rPr>
        <w:t xml:space="preserve"> для </w:t>
      </w:r>
      <w:r>
        <w:rPr>
          <w:rFonts w:eastAsia="Calibri"/>
          <w:sz w:val="28"/>
          <w:szCs w:val="28"/>
          <w:lang w:val="uk-UA" w:eastAsia="en-US"/>
        </w:rPr>
        <w:t>розвитку ринку біогазу в Україні через значні витрати на очищення біогазу, що у свою чергу стримує забезпечення енергетичної незалежності України.</w:t>
      </w:r>
    </w:p>
    <w:p w:rsidR="00B3339F" w:rsidRDefault="00B3339F" w:rsidP="00B3339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існує необхідність внесення змін до Кодексу ГТС та Кодексу ГРМ з метою стимулювання розвитку ринку </w:t>
      </w:r>
      <w:proofErr w:type="spellStart"/>
      <w:r>
        <w:rPr>
          <w:sz w:val="28"/>
          <w:szCs w:val="28"/>
          <w:lang w:val="uk-UA"/>
        </w:rPr>
        <w:t>біометану</w:t>
      </w:r>
      <w:proofErr w:type="spellEnd"/>
      <w:r>
        <w:rPr>
          <w:sz w:val="28"/>
          <w:szCs w:val="28"/>
          <w:lang w:val="uk-UA"/>
        </w:rPr>
        <w:t xml:space="preserve"> в Україні та розширення можливостей для доступу біогазу до газотранспортної та газорозподільних систем, що</w:t>
      </w:r>
      <w:r w:rsidR="00B34A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 наслідок</w:t>
      </w:r>
      <w:r w:rsidR="00B34A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призведе до посилення енергетичної незалежності України.</w:t>
      </w:r>
    </w:p>
    <w:p w:rsidR="00730C78" w:rsidRPr="00730C78" w:rsidRDefault="00730C78" w:rsidP="00730C7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30C78">
        <w:rPr>
          <w:sz w:val="28"/>
          <w:szCs w:val="28"/>
          <w:lang w:val="uk-UA"/>
        </w:rPr>
        <w:t xml:space="preserve">У зв’язку із зазначеним, керуючись положеннями статті 17 Закону України </w:t>
      </w:r>
      <w:r w:rsidRPr="00730C78">
        <w:rPr>
          <w:rFonts w:eastAsia="Calibri"/>
          <w:sz w:val="28"/>
          <w:szCs w:val="28"/>
          <w:lang w:val="uk-UA" w:eastAsia="uk-UA"/>
        </w:rPr>
        <w:t>«Про Національну комісію, що здійснює державне регулювання у сферах енергетики та комунальних послуг»</w:t>
      </w:r>
      <w:r w:rsidRPr="00730C78">
        <w:rPr>
          <w:sz w:val="28"/>
          <w:szCs w:val="28"/>
          <w:lang w:val="uk-UA"/>
        </w:rPr>
        <w:t xml:space="preserve">, з метою створення сприятливих умов для </w:t>
      </w:r>
      <w:r w:rsidRPr="00730C78">
        <w:rPr>
          <w:sz w:val="28"/>
          <w:szCs w:val="28"/>
          <w:lang w:val="uk-UA"/>
        </w:rPr>
        <w:lastRenderedPageBreak/>
        <w:t xml:space="preserve">доступу біогазу до газотранспортних та газорозподільних систем та розвитку ринку </w:t>
      </w:r>
      <w:proofErr w:type="spellStart"/>
      <w:r w:rsidRPr="00730C78">
        <w:rPr>
          <w:sz w:val="28"/>
          <w:szCs w:val="28"/>
          <w:lang w:val="uk-UA"/>
        </w:rPr>
        <w:t>біометану</w:t>
      </w:r>
      <w:proofErr w:type="spellEnd"/>
      <w:r w:rsidRPr="00730C78">
        <w:rPr>
          <w:sz w:val="28"/>
          <w:szCs w:val="28"/>
          <w:lang w:val="uk-UA"/>
        </w:rPr>
        <w:t xml:space="preserve"> в Україні </w:t>
      </w:r>
      <w:r>
        <w:rPr>
          <w:rFonts w:eastAsia="Calibri"/>
          <w:sz w:val="28"/>
          <w:szCs w:val="28"/>
          <w:lang w:val="uk-UA"/>
        </w:rPr>
        <w:t xml:space="preserve">НКРЕКП розроблено </w:t>
      </w:r>
      <w:proofErr w:type="spellStart"/>
      <w:r w:rsidRPr="00730C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730C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постанови «Про внесення змін до </w:t>
      </w:r>
      <w:r w:rsidRPr="00730C78">
        <w:rPr>
          <w:sz w:val="28"/>
          <w:szCs w:val="28"/>
          <w:lang w:val="uk-UA"/>
        </w:rPr>
        <w:t>Кодексу газотранспортної системи та Кодексу газорозподільних систем</w:t>
      </w:r>
      <w:r w:rsidRPr="00730C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="00AB41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(далі – </w:t>
      </w:r>
      <w:proofErr w:type="spellStart"/>
      <w:r w:rsidR="00B34A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 w:rsidR="00AB41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роєкт</w:t>
      </w:r>
      <w:proofErr w:type="spellEnd"/>
      <w:r w:rsidR="00AB41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4AD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 w:rsidR="00AB41E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останови)</w:t>
      </w:r>
      <w:r w:rsidRPr="00730C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положеннями якого передбачається </w:t>
      </w:r>
      <w:r w:rsidRPr="00730C78">
        <w:rPr>
          <w:rFonts w:eastAsia="Calibri"/>
          <w:sz w:val="28"/>
          <w:szCs w:val="28"/>
          <w:lang w:val="uk-UA" w:eastAsia="en-US"/>
        </w:rPr>
        <w:t xml:space="preserve">зменшення вимоги до молярної частки вмісту кисню у природному газі до 0,2 </w:t>
      </w:r>
      <w:proofErr w:type="spellStart"/>
      <w:r w:rsidRPr="00730C78">
        <w:rPr>
          <w:rFonts w:eastAsia="Calibri"/>
          <w:sz w:val="28"/>
          <w:szCs w:val="28"/>
          <w:lang w:val="uk-UA" w:eastAsia="en-US"/>
        </w:rPr>
        <w:t>мол</w:t>
      </w:r>
      <w:proofErr w:type="spellEnd"/>
      <w:r w:rsidRPr="00730C78">
        <w:rPr>
          <w:rFonts w:eastAsia="Calibri"/>
          <w:sz w:val="28"/>
          <w:szCs w:val="28"/>
          <w:lang w:val="uk-UA" w:eastAsia="en-US"/>
        </w:rPr>
        <w:t xml:space="preserve">. % для доступу біогазу до газотранспортної системи, та до 1,0 </w:t>
      </w:r>
      <w:proofErr w:type="spellStart"/>
      <w:r w:rsidRPr="00730C78">
        <w:rPr>
          <w:rFonts w:eastAsia="Calibri"/>
          <w:sz w:val="28"/>
          <w:szCs w:val="28"/>
          <w:lang w:val="uk-UA" w:eastAsia="en-US"/>
        </w:rPr>
        <w:t>мол</w:t>
      </w:r>
      <w:proofErr w:type="spellEnd"/>
      <w:r w:rsidRPr="00730C78">
        <w:rPr>
          <w:rFonts w:eastAsia="Calibri"/>
          <w:sz w:val="28"/>
          <w:szCs w:val="28"/>
          <w:lang w:val="uk-UA" w:eastAsia="en-US"/>
        </w:rPr>
        <w:t>. % для доступу біогазу до газорозподільних систем.</w:t>
      </w:r>
    </w:p>
    <w:p w:rsidR="00730C78" w:rsidRPr="00730C78" w:rsidRDefault="00730C78" w:rsidP="00730C7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30C78">
        <w:rPr>
          <w:rFonts w:eastAsia="Calibri"/>
          <w:sz w:val="28"/>
          <w:szCs w:val="28"/>
          <w:lang w:val="uk-UA" w:eastAsia="en-US"/>
        </w:rPr>
        <w:t xml:space="preserve">При цьому, </w:t>
      </w:r>
      <w:r w:rsidRPr="00730C78">
        <w:rPr>
          <w:rFonts w:eastAsia="Calibri"/>
          <w:sz w:val="28"/>
          <w:szCs w:val="28"/>
          <w:lang w:val="uk-UA"/>
        </w:rPr>
        <w:t>в</w:t>
      </w:r>
      <w:proofErr w:type="spellStart"/>
      <w:r w:rsidRPr="00730C78">
        <w:rPr>
          <w:rFonts w:eastAsia="Calibri"/>
          <w:sz w:val="28"/>
          <w:szCs w:val="28"/>
        </w:rPr>
        <w:t>изначені</w:t>
      </w:r>
      <w:proofErr w:type="spellEnd"/>
      <w:r w:rsidRPr="00730C78">
        <w:rPr>
          <w:rFonts w:eastAsia="Calibri"/>
          <w:sz w:val="28"/>
          <w:szCs w:val="28"/>
        </w:rPr>
        <w:t xml:space="preserve"> в </w:t>
      </w:r>
      <w:r w:rsidRPr="00730C78">
        <w:rPr>
          <w:rFonts w:eastAsia="Calibri"/>
          <w:sz w:val="28"/>
          <w:szCs w:val="28"/>
          <w:lang w:val="uk-UA"/>
        </w:rPr>
        <w:t>Кодексі ГТС та Кодексі ГРМ</w:t>
      </w:r>
      <w:r w:rsidRPr="00730C78">
        <w:rPr>
          <w:rFonts w:eastAsia="Calibri"/>
          <w:sz w:val="28"/>
          <w:szCs w:val="28"/>
        </w:rPr>
        <w:t xml:space="preserve"> </w:t>
      </w:r>
      <w:proofErr w:type="spellStart"/>
      <w:r w:rsidRPr="00730C78">
        <w:rPr>
          <w:rFonts w:eastAsia="Calibri"/>
          <w:sz w:val="28"/>
          <w:szCs w:val="28"/>
        </w:rPr>
        <w:t>вимоги</w:t>
      </w:r>
      <w:proofErr w:type="spellEnd"/>
      <w:r w:rsidRPr="00730C78">
        <w:rPr>
          <w:rFonts w:eastAsia="Calibri"/>
          <w:sz w:val="28"/>
          <w:szCs w:val="28"/>
        </w:rPr>
        <w:t xml:space="preserve"> до природного газу </w:t>
      </w:r>
      <w:r w:rsidRPr="00730C78">
        <w:rPr>
          <w:rFonts w:eastAsia="Calibri"/>
          <w:sz w:val="28"/>
          <w:szCs w:val="28"/>
          <w:lang w:val="uk-UA"/>
        </w:rPr>
        <w:t xml:space="preserve">будуть </w:t>
      </w:r>
      <w:proofErr w:type="spellStart"/>
      <w:r w:rsidRPr="00730C78">
        <w:rPr>
          <w:rFonts w:eastAsia="Calibri"/>
          <w:sz w:val="28"/>
          <w:szCs w:val="28"/>
        </w:rPr>
        <w:t>застосов</w:t>
      </w:r>
      <w:r w:rsidRPr="00730C78">
        <w:rPr>
          <w:rFonts w:eastAsia="Calibri"/>
          <w:sz w:val="28"/>
          <w:szCs w:val="28"/>
          <w:lang w:val="uk-UA"/>
        </w:rPr>
        <w:t>ува</w:t>
      </w:r>
      <w:proofErr w:type="spellEnd"/>
      <w:r w:rsidRPr="00730C78">
        <w:rPr>
          <w:rFonts w:eastAsia="Calibri"/>
          <w:sz w:val="28"/>
          <w:szCs w:val="28"/>
        </w:rPr>
        <w:t>т</w:t>
      </w:r>
      <w:r w:rsidRPr="00730C78">
        <w:rPr>
          <w:rFonts w:eastAsia="Calibri"/>
          <w:sz w:val="28"/>
          <w:szCs w:val="28"/>
          <w:lang w:val="uk-UA"/>
        </w:rPr>
        <w:t>и</w:t>
      </w:r>
      <w:proofErr w:type="spellStart"/>
      <w:r w:rsidRPr="00730C78">
        <w:rPr>
          <w:rFonts w:eastAsia="Calibri"/>
          <w:sz w:val="28"/>
          <w:szCs w:val="28"/>
        </w:rPr>
        <w:t>ся</w:t>
      </w:r>
      <w:proofErr w:type="spellEnd"/>
      <w:r w:rsidRPr="00730C78">
        <w:rPr>
          <w:rFonts w:eastAsia="Calibri"/>
          <w:sz w:val="28"/>
          <w:szCs w:val="28"/>
        </w:rPr>
        <w:t xml:space="preserve"> </w:t>
      </w:r>
      <w:r w:rsidRPr="00730C78">
        <w:rPr>
          <w:rFonts w:eastAsia="Calibri"/>
          <w:sz w:val="28"/>
          <w:szCs w:val="28"/>
          <w:lang w:val="uk-UA"/>
        </w:rPr>
        <w:t xml:space="preserve"> лише </w:t>
      </w:r>
      <w:r w:rsidRPr="00730C78">
        <w:rPr>
          <w:rFonts w:eastAsia="Calibri"/>
          <w:sz w:val="28"/>
          <w:szCs w:val="28"/>
        </w:rPr>
        <w:t xml:space="preserve">у </w:t>
      </w:r>
      <w:proofErr w:type="spellStart"/>
      <w:r w:rsidRPr="00730C78">
        <w:rPr>
          <w:rFonts w:eastAsia="Calibri"/>
          <w:sz w:val="28"/>
          <w:szCs w:val="28"/>
        </w:rPr>
        <w:t>частині</w:t>
      </w:r>
      <w:proofErr w:type="spellEnd"/>
      <w:r w:rsidRPr="00730C78">
        <w:rPr>
          <w:rFonts w:eastAsia="Calibri"/>
          <w:sz w:val="28"/>
          <w:szCs w:val="28"/>
        </w:rPr>
        <w:t xml:space="preserve">, </w:t>
      </w:r>
      <w:proofErr w:type="spellStart"/>
      <w:r w:rsidRPr="00730C78">
        <w:rPr>
          <w:rFonts w:eastAsia="Calibri"/>
          <w:sz w:val="28"/>
          <w:szCs w:val="28"/>
        </w:rPr>
        <w:t>що</w:t>
      </w:r>
      <w:proofErr w:type="spellEnd"/>
      <w:r w:rsidRPr="00730C78">
        <w:rPr>
          <w:rFonts w:eastAsia="Calibri"/>
          <w:sz w:val="28"/>
          <w:szCs w:val="28"/>
        </w:rPr>
        <w:t xml:space="preserve"> не </w:t>
      </w:r>
      <w:proofErr w:type="spellStart"/>
      <w:r w:rsidRPr="00730C78">
        <w:rPr>
          <w:rFonts w:eastAsia="Calibri"/>
          <w:sz w:val="28"/>
          <w:szCs w:val="28"/>
        </w:rPr>
        <w:t>суперечить</w:t>
      </w:r>
      <w:proofErr w:type="spellEnd"/>
      <w:r w:rsidRPr="00730C78">
        <w:rPr>
          <w:rFonts w:eastAsia="Calibri"/>
          <w:sz w:val="28"/>
          <w:szCs w:val="28"/>
        </w:rPr>
        <w:t xml:space="preserve"> </w:t>
      </w:r>
      <w:proofErr w:type="spellStart"/>
      <w:r w:rsidRPr="00730C78">
        <w:rPr>
          <w:rFonts w:eastAsia="Calibri"/>
          <w:sz w:val="28"/>
          <w:szCs w:val="28"/>
        </w:rPr>
        <w:t>вимогам</w:t>
      </w:r>
      <w:proofErr w:type="spellEnd"/>
      <w:r w:rsidRPr="00730C78">
        <w:rPr>
          <w:rFonts w:eastAsia="Calibri"/>
          <w:sz w:val="28"/>
          <w:szCs w:val="28"/>
        </w:rPr>
        <w:t xml:space="preserve">, </w:t>
      </w:r>
      <w:proofErr w:type="spellStart"/>
      <w:r w:rsidRPr="00730C78">
        <w:rPr>
          <w:rFonts w:eastAsia="Calibri"/>
          <w:sz w:val="28"/>
          <w:szCs w:val="28"/>
        </w:rPr>
        <w:t>визначеним</w:t>
      </w:r>
      <w:proofErr w:type="spellEnd"/>
      <w:r w:rsidRPr="00730C78">
        <w:rPr>
          <w:rFonts w:eastAsia="Calibri"/>
          <w:sz w:val="28"/>
          <w:szCs w:val="28"/>
        </w:rPr>
        <w:t xml:space="preserve"> у </w:t>
      </w:r>
      <w:proofErr w:type="spellStart"/>
      <w:r w:rsidRPr="00730C78">
        <w:rPr>
          <w:rFonts w:eastAsia="Calibri"/>
          <w:sz w:val="28"/>
          <w:szCs w:val="28"/>
        </w:rPr>
        <w:t>технічному</w:t>
      </w:r>
      <w:proofErr w:type="spellEnd"/>
      <w:r w:rsidRPr="00730C78">
        <w:rPr>
          <w:rFonts w:eastAsia="Calibri"/>
          <w:sz w:val="28"/>
          <w:szCs w:val="28"/>
        </w:rPr>
        <w:t xml:space="preserve"> </w:t>
      </w:r>
      <w:proofErr w:type="spellStart"/>
      <w:r w:rsidRPr="00730C78">
        <w:rPr>
          <w:rFonts w:eastAsia="Calibri"/>
          <w:sz w:val="28"/>
          <w:szCs w:val="28"/>
        </w:rPr>
        <w:t>регламенті</w:t>
      </w:r>
      <w:proofErr w:type="spellEnd"/>
      <w:r w:rsidRPr="00730C78">
        <w:rPr>
          <w:rFonts w:eastAsia="Calibri"/>
          <w:sz w:val="28"/>
          <w:szCs w:val="28"/>
        </w:rPr>
        <w:t xml:space="preserve"> природного газу.</w:t>
      </w:r>
    </w:p>
    <w:p w:rsidR="00730C78" w:rsidRDefault="00730C78" w:rsidP="00B3339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3339F" w:rsidRDefault="00B3339F" w:rsidP="00B3339F">
      <w:pPr>
        <w:ind w:firstLine="540"/>
        <w:jc w:val="both"/>
        <w:rPr>
          <w:sz w:val="27"/>
          <w:szCs w:val="27"/>
          <w:lang w:val="uk-UA"/>
        </w:rPr>
      </w:pPr>
    </w:p>
    <w:p w:rsidR="00B3339F" w:rsidRPr="00B3339F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B3339F">
        <w:rPr>
          <w:sz w:val="28"/>
          <w:szCs w:val="28"/>
          <w:lang w:val="uk-UA"/>
        </w:rPr>
        <w:t xml:space="preserve">Основні групи (підгрупи), на які проблема справляє вплив: </w:t>
      </w:r>
    </w:p>
    <w:p w:rsidR="00B3339F" w:rsidRPr="00CD156B" w:rsidRDefault="00B3339F" w:rsidP="00B3339F">
      <w:pPr>
        <w:ind w:firstLine="540"/>
        <w:jc w:val="both"/>
        <w:rPr>
          <w:sz w:val="27"/>
          <w:szCs w:val="27"/>
          <w:lang w:val="uk-UA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4557"/>
        <w:gridCol w:w="2463"/>
      </w:tblGrid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4557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Ні</w:t>
            </w:r>
          </w:p>
        </w:tc>
      </w:tr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Громадяни</w:t>
            </w: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B3339F" w:rsidRPr="00CD156B" w:rsidRDefault="00730C78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Ні</w:t>
            </w:r>
          </w:p>
        </w:tc>
      </w:tr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Держава</w:t>
            </w: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Default="00B3339F" w:rsidP="005F776F">
            <w:pPr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Суб’єкти господарювання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</w:tbl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rPr>
          <w:b/>
          <w:bCs/>
          <w:color w:val="000000"/>
          <w:sz w:val="27"/>
          <w:szCs w:val="27"/>
          <w:lang w:val="uk-UA"/>
        </w:rPr>
      </w:pPr>
    </w:p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  <w:r w:rsidRPr="00B3339F">
        <w:rPr>
          <w:b/>
          <w:bCs/>
          <w:color w:val="000000"/>
          <w:sz w:val="28"/>
          <w:szCs w:val="28"/>
          <w:lang w:val="uk-UA"/>
        </w:rPr>
        <w:t xml:space="preserve">ІІ. </w:t>
      </w:r>
      <w:r w:rsidRPr="00B3339F">
        <w:rPr>
          <w:b/>
          <w:sz w:val="28"/>
          <w:szCs w:val="28"/>
          <w:lang w:val="uk-UA"/>
        </w:rPr>
        <w:t>Цілі державного регулювання</w:t>
      </w:r>
    </w:p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40"/>
        <w:rPr>
          <w:b/>
          <w:bCs/>
          <w:color w:val="000000"/>
          <w:sz w:val="28"/>
          <w:szCs w:val="28"/>
          <w:lang w:val="uk-UA"/>
        </w:rPr>
      </w:pPr>
    </w:p>
    <w:p w:rsidR="00B3339F" w:rsidRPr="00B3339F" w:rsidRDefault="00B3339F" w:rsidP="00B3339F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bookmarkStart w:id="1" w:name="_Hlk14968184"/>
      <w:r w:rsidRPr="00B3339F">
        <w:rPr>
          <w:sz w:val="28"/>
          <w:szCs w:val="28"/>
          <w:lang w:val="uk-UA"/>
        </w:rPr>
        <w:t xml:space="preserve">Метою прийняття </w:t>
      </w:r>
      <w:proofErr w:type="spellStart"/>
      <w:r w:rsidRPr="00B3339F">
        <w:rPr>
          <w:bCs/>
          <w:sz w:val="28"/>
          <w:szCs w:val="28"/>
          <w:lang w:val="uk-UA"/>
        </w:rPr>
        <w:t>проєкту</w:t>
      </w:r>
      <w:proofErr w:type="spellEnd"/>
      <w:r w:rsidRPr="00B3339F">
        <w:rPr>
          <w:bCs/>
          <w:sz w:val="28"/>
          <w:szCs w:val="28"/>
          <w:lang w:val="uk-UA"/>
        </w:rPr>
        <w:t xml:space="preserve"> Постанови</w:t>
      </w:r>
      <w:r w:rsidRPr="00B3339F">
        <w:rPr>
          <w:sz w:val="28"/>
          <w:szCs w:val="28"/>
          <w:lang w:val="uk-UA" w:eastAsia="uk-UA"/>
        </w:rPr>
        <w:t xml:space="preserve"> </w:t>
      </w:r>
      <w:bookmarkStart w:id="2" w:name="_Hlk63257727"/>
      <w:r w:rsidRPr="00B3339F">
        <w:rPr>
          <w:sz w:val="28"/>
          <w:szCs w:val="28"/>
          <w:lang w:val="uk-UA"/>
        </w:rPr>
        <w:t xml:space="preserve">є </w:t>
      </w:r>
      <w:bookmarkEnd w:id="1"/>
      <w:r w:rsidRPr="00B3339F">
        <w:rPr>
          <w:sz w:val="28"/>
          <w:szCs w:val="28"/>
          <w:lang w:val="uk-UA"/>
        </w:rPr>
        <w:t xml:space="preserve">стимулювання розвитку ринку </w:t>
      </w:r>
      <w:proofErr w:type="spellStart"/>
      <w:r w:rsidRPr="00B3339F">
        <w:rPr>
          <w:sz w:val="28"/>
          <w:szCs w:val="28"/>
          <w:lang w:val="uk-UA"/>
        </w:rPr>
        <w:t>біометану</w:t>
      </w:r>
      <w:proofErr w:type="spellEnd"/>
      <w:r w:rsidRPr="00B3339F">
        <w:rPr>
          <w:sz w:val="28"/>
          <w:szCs w:val="28"/>
          <w:lang w:val="uk-UA"/>
        </w:rPr>
        <w:t xml:space="preserve"> в Україні та розширення можливостей для доступу біогазу до газотранспортної та газорозподільних систем</w:t>
      </w:r>
      <w:r w:rsidRPr="00B3339F">
        <w:rPr>
          <w:color w:val="000000"/>
          <w:sz w:val="28"/>
          <w:szCs w:val="28"/>
          <w:lang w:val="uk-UA"/>
        </w:rPr>
        <w:t>.</w:t>
      </w:r>
    </w:p>
    <w:bookmarkEnd w:id="2"/>
    <w:p w:rsidR="00B3339F" w:rsidRPr="00B3339F" w:rsidRDefault="00B3339F" w:rsidP="00B3339F">
      <w:pPr>
        <w:widowControl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 w:rsidRPr="00B3339F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B3339F" w:rsidRPr="00B3339F" w:rsidRDefault="00B3339F" w:rsidP="00B3339F">
      <w:pPr>
        <w:ind w:firstLine="540"/>
        <w:jc w:val="both"/>
        <w:rPr>
          <w:sz w:val="28"/>
          <w:szCs w:val="28"/>
          <w:lang w:val="uk-UA"/>
        </w:rPr>
      </w:pPr>
    </w:p>
    <w:p w:rsidR="00B3339F" w:rsidRPr="00B3339F" w:rsidRDefault="00B3339F" w:rsidP="00B3339F">
      <w:pPr>
        <w:ind w:left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3339F">
        <w:rPr>
          <w:sz w:val="28"/>
          <w:szCs w:val="28"/>
          <w:lang w:val="uk-UA"/>
        </w:rPr>
        <w:t>Визначення альтернативних способів</w:t>
      </w:r>
    </w:p>
    <w:p w:rsidR="00B3339F" w:rsidRPr="00CD156B" w:rsidRDefault="00B3339F" w:rsidP="00B3339F">
      <w:pPr>
        <w:ind w:left="900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7431"/>
      </w:tblGrid>
      <w:tr w:rsidR="00B3339F" w:rsidRPr="00CD156B" w:rsidTr="005F776F">
        <w:tc>
          <w:tcPr>
            <w:tcW w:w="2268" w:type="dxa"/>
            <w:shd w:val="clear" w:color="auto" w:fill="auto"/>
          </w:tcPr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8100" w:type="dxa"/>
            <w:shd w:val="clear" w:color="auto" w:fill="auto"/>
          </w:tcPr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B3339F" w:rsidRPr="00730C78" w:rsidTr="005F776F">
        <w:tc>
          <w:tcPr>
            <w:tcW w:w="2268" w:type="dxa"/>
            <w:shd w:val="clear" w:color="auto" w:fill="auto"/>
          </w:tcPr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8100" w:type="dxa"/>
            <w:shd w:val="clear" w:color="auto" w:fill="auto"/>
          </w:tcPr>
          <w:p w:rsidR="00B3339F" w:rsidRDefault="00B3339F" w:rsidP="00B95F66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Збереження Кодексу газотранспортної системи та Кодексу газорозподільних систем</w:t>
            </w:r>
            <w:r w:rsidR="00C578EE">
              <w:rPr>
                <w:sz w:val="22"/>
                <w:szCs w:val="22"/>
                <w:lang w:val="en-US"/>
              </w:rPr>
              <w:t xml:space="preserve"> </w:t>
            </w:r>
            <w:r w:rsidR="00C578EE">
              <w:rPr>
                <w:sz w:val="22"/>
                <w:szCs w:val="22"/>
                <w:lang w:val="uk-UA"/>
              </w:rPr>
              <w:t>в чинній редакції</w:t>
            </w:r>
            <w:r>
              <w:rPr>
                <w:sz w:val="22"/>
                <w:szCs w:val="22"/>
                <w:lang w:val="uk-UA"/>
              </w:rPr>
              <w:t xml:space="preserve"> щодо молярної частки кисню у природному газі, які відповідно до вимог законодавства поширюються також і на біогаз та інші види газу з альтернативних джерел</w:t>
            </w:r>
            <w:r w:rsidR="00B95F66">
              <w:rPr>
                <w:sz w:val="22"/>
                <w:szCs w:val="22"/>
                <w:lang w:val="uk-UA"/>
              </w:rPr>
              <w:t xml:space="preserve">, потребує значних витрат виробників біогазу на його доочищення, що гальмує розвиток ринку </w:t>
            </w:r>
            <w:proofErr w:type="spellStart"/>
            <w:r w:rsidR="00B95F66">
              <w:rPr>
                <w:sz w:val="22"/>
                <w:szCs w:val="22"/>
                <w:lang w:val="uk-UA"/>
              </w:rPr>
              <w:t>біометану</w:t>
            </w:r>
            <w:proofErr w:type="spellEnd"/>
            <w:r w:rsidR="00B95F66">
              <w:rPr>
                <w:sz w:val="22"/>
                <w:szCs w:val="22"/>
                <w:lang w:val="uk-UA"/>
              </w:rPr>
              <w:t xml:space="preserve"> та досягнення вищого рівня енергетичної незалежності України</w:t>
            </w:r>
          </w:p>
          <w:p w:rsidR="00B95F66" w:rsidRPr="00CD156B" w:rsidRDefault="00B95F66" w:rsidP="00B95F66">
            <w:pPr>
              <w:shd w:val="clear" w:color="auto" w:fill="FFFFFF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B3339F" w:rsidRPr="00CD156B" w:rsidTr="005F776F">
        <w:tc>
          <w:tcPr>
            <w:tcW w:w="2268" w:type="dxa"/>
            <w:shd w:val="clear" w:color="auto" w:fill="auto"/>
          </w:tcPr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8100" w:type="dxa"/>
            <w:shd w:val="clear" w:color="auto" w:fill="auto"/>
          </w:tcPr>
          <w:p w:rsidR="00B3339F" w:rsidRPr="00CD156B" w:rsidRDefault="00B95F66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Зміни до </w:t>
            </w:r>
            <w:r>
              <w:rPr>
                <w:sz w:val="22"/>
                <w:szCs w:val="22"/>
                <w:lang w:val="uk-UA"/>
              </w:rPr>
              <w:t xml:space="preserve">Кодексу газотранспортної системи та Кодексу газорозподільних систем щодо молярної частки кисню у природному газі сприятимуть розвитку ринку </w:t>
            </w:r>
            <w:proofErr w:type="spellStart"/>
            <w:r>
              <w:rPr>
                <w:sz w:val="22"/>
                <w:szCs w:val="22"/>
                <w:lang w:val="uk-UA"/>
              </w:rPr>
              <w:t>біометану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 Україні</w:t>
            </w:r>
          </w:p>
        </w:tc>
      </w:tr>
    </w:tbl>
    <w:p w:rsidR="00B3339F" w:rsidRPr="00B95F66" w:rsidRDefault="00B3339F" w:rsidP="00B3339F">
      <w:pPr>
        <w:tabs>
          <w:tab w:val="left" w:pos="720"/>
        </w:tabs>
        <w:rPr>
          <w:sz w:val="28"/>
          <w:szCs w:val="28"/>
          <w:lang w:val="uk-UA"/>
        </w:rPr>
      </w:pPr>
    </w:p>
    <w:p w:rsidR="00B3339F" w:rsidRPr="00B95F66" w:rsidRDefault="00B3339F" w:rsidP="00B3339F">
      <w:pPr>
        <w:tabs>
          <w:tab w:val="left" w:pos="720"/>
        </w:tabs>
        <w:ind w:firstLine="540"/>
        <w:rPr>
          <w:sz w:val="28"/>
          <w:szCs w:val="28"/>
          <w:lang w:val="uk-UA"/>
        </w:rPr>
      </w:pPr>
      <w:r w:rsidRPr="00B95F66">
        <w:rPr>
          <w:sz w:val="28"/>
          <w:szCs w:val="28"/>
          <w:lang w:val="uk-UA"/>
        </w:rPr>
        <w:t>2. Оцінка вибраних альтернативних способів досягнення цілей</w:t>
      </w:r>
    </w:p>
    <w:p w:rsidR="00B3339F" w:rsidRPr="00B95F66" w:rsidRDefault="00B3339F" w:rsidP="00B3339F">
      <w:pPr>
        <w:rPr>
          <w:sz w:val="28"/>
          <w:szCs w:val="28"/>
          <w:lang w:val="uk-UA"/>
        </w:rPr>
      </w:pPr>
    </w:p>
    <w:p w:rsidR="00B3339F" w:rsidRPr="00B95F66" w:rsidRDefault="00B3339F" w:rsidP="00B3339F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B95F66">
        <w:rPr>
          <w:sz w:val="28"/>
          <w:szCs w:val="28"/>
          <w:lang w:val="uk-UA"/>
        </w:rPr>
        <w:lastRenderedPageBreak/>
        <w:t>Оцінка впливу на сферу інтересів держави:</w:t>
      </w:r>
    </w:p>
    <w:p w:rsidR="00B3339F" w:rsidRPr="00CD156B" w:rsidRDefault="00B3339F" w:rsidP="00B3339F">
      <w:pPr>
        <w:rPr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111"/>
        <w:gridCol w:w="3572"/>
      </w:tblGrid>
      <w:tr w:rsidR="00B3339F" w:rsidRPr="00D2518C" w:rsidTr="005F776F">
        <w:tc>
          <w:tcPr>
            <w:tcW w:w="2093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4111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136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572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D2518C" w:rsidTr="005F776F">
        <w:tc>
          <w:tcPr>
            <w:tcW w:w="2093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4111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</w:tc>
        <w:tc>
          <w:tcPr>
            <w:tcW w:w="3572" w:type="dxa"/>
            <w:shd w:val="clear" w:color="auto" w:fill="auto"/>
          </w:tcPr>
          <w:p w:rsidR="00B3339F" w:rsidRPr="00D2518C" w:rsidRDefault="00D2518C" w:rsidP="00D2518C">
            <w:pPr>
              <w:shd w:val="clear" w:color="auto" w:fill="FFFFFF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Збільшення витрат на імпорт та видобуток природного газу</w:t>
            </w:r>
          </w:p>
        </w:tc>
      </w:tr>
      <w:tr w:rsidR="00B3339F" w:rsidRPr="00D2518C" w:rsidTr="005F776F">
        <w:tc>
          <w:tcPr>
            <w:tcW w:w="2093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4111" w:type="dxa"/>
            <w:shd w:val="clear" w:color="auto" w:fill="auto"/>
          </w:tcPr>
          <w:p w:rsidR="00B3339F" w:rsidRPr="00D2518C" w:rsidRDefault="00B95F66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D2518C">
              <w:rPr>
                <w:lang w:val="uk-UA"/>
              </w:rPr>
              <w:t xml:space="preserve">Пришвидшення розвитку ринку </w:t>
            </w:r>
            <w:proofErr w:type="spellStart"/>
            <w:r w:rsidRPr="00D2518C">
              <w:rPr>
                <w:lang w:val="uk-UA"/>
              </w:rPr>
              <w:t>біометану</w:t>
            </w:r>
            <w:proofErr w:type="spellEnd"/>
            <w:r w:rsidRPr="00D2518C">
              <w:rPr>
                <w:lang w:val="uk-UA"/>
              </w:rPr>
              <w:t xml:space="preserve"> в Україні та підвищення рівня енергетичної незалежності</w:t>
            </w:r>
          </w:p>
        </w:tc>
        <w:tc>
          <w:tcPr>
            <w:tcW w:w="3572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</w:tr>
    </w:tbl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B3339F" w:rsidRPr="00B95F66" w:rsidRDefault="00B3339F" w:rsidP="00B3339F">
      <w:pPr>
        <w:pStyle w:val="a3"/>
        <w:widowControl w:val="0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:rsidR="00B3339F" w:rsidRPr="00B95F66" w:rsidRDefault="00B3339F" w:rsidP="00B3339F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B95F66">
        <w:rPr>
          <w:bCs/>
          <w:color w:val="000000"/>
          <w:sz w:val="28"/>
          <w:szCs w:val="28"/>
          <w:lang w:val="uk-UA"/>
        </w:rPr>
        <w:t>Оцінка впливу на сферу інтересів громадян:</w:t>
      </w:r>
    </w:p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B3339F" w:rsidRPr="00D2518C" w:rsidTr="005F776F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74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36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D2518C" w:rsidTr="005F776F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</w:tr>
      <w:tr w:rsidR="00B3339F" w:rsidRPr="00D2518C" w:rsidTr="005F776F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780" w:type="dxa"/>
            <w:shd w:val="clear" w:color="auto" w:fill="auto"/>
          </w:tcPr>
          <w:p w:rsidR="00B3339F" w:rsidRPr="00D2518C" w:rsidRDefault="00730C78" w:rsidP="00B95F66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</w:tc>
      </w:tr>
    </w:tbl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7"/>
          <w:szCs w:val="27"/>
          <w:lang w:val="uk-UA"/>
        </w:rPr>
      </w:pPr>
    </w:p>
    <w:p w:rsidR="00B3339F" w:rsidRPr="00B95F66" w:rsidRDefault="00B3339F" w:rsidP="00B95F66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8"/>
          <w:szCs w:val="28"/>
          <w:lang w:val="uk-UA"/>
        </w:rPr>
      </w:pPr>
      <w:r w:rsidRPr="00B95F66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</w:t>
      </w:r>
    </w:p>
    <w:p w:rsidR="00B95F66" w:rsidRPr="00B95F66" w:rsidRDefault="00B95F66" w:rsidP="00B95F66">
      <w:pPr>
        <w:pStyle w:val="a3"/>
        <w:widowControl w:val="0"/>
        <w:spacing w:before="0" w:beforeAutospacing="0" w:after="0" w:afterAutospacing="0"/>
        <w:ind w:left="1440"/>
        <w:jc w:val="both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3827"/>
        <w:gridCol w:w="3260"/>
      </w:tblGrid>
      <w:tr w:rsidR="00B3339F" w:rsidRPr="00D2518C" w:rsidTr="00D2518C">
        <w:tc>
          <w:tcPr>
            <w:tcW w:w="2689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827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108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260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730C78" w:rsidTr="00D2518C">
        <w:tc>
          <w:tcPr>
            <w:tcW w:w="2689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highlight w:val="yellow"/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827" w:type="dxa"/>
            <w:shd w:val="clear" w:color="auto" w:fill="auto"/>
          </w:tcPr>
          <w:p w:rsidR="00B3339F" w:rsidRPr="00D2518C" w:rsidRDefault="00730C78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highlight w:val="yellow"/>
                <w:lang w:val="uk-UA"/>
              </w:rPr>
            </w:pPr>
            <w:r>
              <w:rPr>
                <w:bCs/>
                <w:lang w:val="uk-UA"/>
              </w:rPr>
              <w:t>Відсутні</w:t>
            </w:r>
          </w:p>
        </w:tc>
        <w:tc>
          <w:tcPr>
            <w:tcW w:w="3260" w:type="dxa"/>
            <w:shd w:val="clear" w:color="auto" w:fill="auto"/>
          </w:tcPr>
          <w:p w:rsidR="00B3339F" w:rsidRPr="00D2518C" w:rsidRDefault="00730C78" w:rsidP="00D2518C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Збільшення</w:t>
            </w:r>
            <w:r w:rsidR="00D2518C" w:rsidRPr="00D2518C">
              <w:rPr>
                <w:bCs/>
                <w:lang w:val="uk-UA"/>
              </w:rPr>
              <w:t xml:space="preserve"> витрат виробників біогазу на його доочищення від кисню</w:t>
            </w:r>
          </w:p>
        </w:tc>
      </w:tr>
      <w:tr w:rsidR="00B3339F" w:rsidRPr="00D2518C" w:rsidTr="00D2518C">
        <w:trPr>
          <w:trHeight w:val="983"/>
        </w:trPr>
        <w:tc>
          <w:tcPr>
            <w:tcW w:w="2689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827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D2518C">
              <w:rPr>
                <w:lang w:val="uk-UA"/>
              </w:rPr>
              <w:t xml:space="preserve">Ефективне виконання завдань державного регулювання шляхом </w:t>
            </w:r>
            <w:r w:rsidR="00D2518C" w:rsidRPr="00D2518C">
              <w:rPr>
                <w:lang w:val="uk-UA"/>
              </w:rPr>
              <w:t xml:space="preserve">створення умов для розвитку ринку </w:t>
            </w:r>
            <w:proofErr w:type="spellStart"/>
            <w:r w:rsidR="00D2518C" w:rsidRPr="00D2518C">
              <w:rPr>
                <w:lang w:val="uk-UA"/>
              </w:rPr>
              <w:t>біометану</w:t>
            </w:r>
            <w:proofErr w:type="spellEnd"/>
            <w:r w:rsidR="00D2518C" w:rsidRPr="00D2518C">
              <w:rPr>
                <w:lang w:val="uk-UA"/>
              </w:rPr>
              <w:t xml:space="preserve"> та забезпечення споживачів енергоносіями з відновлювальних джерел</w:t>
            </w:r>
          </w:p>
        </w:tc>
        <w:tc>
          <w:tcPr>
            <w:tcW w:w="3260" w:type="dxa"/>
            <w:shd w:val="clear" w:color="auto" w:fill="auto"/>
          </w:tcPr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lang w:val="uk-UA"/>
              </w:rPr>
            </w:pPr>
          </w:p>
        </w:tc>
      </w:tr>
    </w:tbl>
    <w:p w:rsidR="00B3339F" w:rsidRPr="00D2518C" w:rsidRDefault="00B3339F" w:rsidP="00B3339F">
      <w:pPr>
        <w:pStyle w:val="a3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B3339F" w:rsidRPr="00D2518C" w:rsidRDefault="00B3339F" w:rsidP="00D2518C">
      <w:pPr>
        <w:pStyle w:val="a3"/>
        <w:widowControl w:val="0"/>
        <w:spacing w:before="0" w:beforeAutospacing="0" w:after="0" w:afterAutospacing="0"/>
        <w:ind w:firstLine="540"/>
        <w:jc w:val="center"/>
        <w:rPr>
          <w:b/>
          <w:sz w:val="28"/>
          <w:szCs w:val="28"/>
          <w:lang w:val="uk-UA"/>
        </w:rPr>
      </w:pPr>
      <w:r w:rsidRPr="00D2518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B3339F" w:rsidRPr="00D2518C" w:rsidRDefault="00B3339F" w:rsidP="00B3339F">
      <w:pPr>
        <w:pStyle w:val="a3"/>
        <w:widowControl w:val="0"/>
        <w:spacing w:before="0" w:beforeAutospacing="0" w:after="0" w:afterAutospacing="0"/>
        <w:ind w:firstLine="540"/>
        <w:rPr>
          <w:b/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B3339F" w:rsidRPr="00D2518C" w:rsidTr="005F776F">
        <w:tc>
          <w:tcPr>
            <w:tcW w:w="2988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D2518C">
              <w:rPr>
                <w:b/>
                <w:lang w:val="uk-UA"/>
              </w:rPr>
              <w:t>бала</w:t>
            </w:r>
            <w:proofErr w:type="spellEnd"/>
          </w:p>
        </w:tc>
      </w:tr>
      <w:tr w:rsidR="00B3339F" w:rsidRPr="00730C78" w:rsidTr="005F776F">
        <w:tc>
          <w:tcPr>
            <w:tcW w:w="2988" w:type="dxa"/>
          </w:tcPr>
          <w:p w:rsidR="00B3339F" w:rsidRPr="00D2518C" w:rsidRDefault="00B3339F" w:rsidP="005F776F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rPr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lang w:val="uk-UA"/>
              </w:rPr>
            </w:pPr>
          </w:p>
          <w:p w:rsidR="00B3339F" w:rsidRPr="00D2518C" w:rsidRDefault="00B3339F" w:rsidP="005F776F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1</w:t>
            </w:r>
          </w:p>
        </w:tc>
        <w:tc>
          <w:tcPr>
            <w:tcW w:w="4707" w:type="dxa"/>
          </w:tcPr>
          <w:p w:rsidR="00B3339F" w:rsidRPr="00730C78" w:rsidRDefault="00730C78" w:rsidP="00AB41E1">
            <w:pPr>
              <w:shd w:val="clear" w:color="auto" w:fill="FFFFFF"/>
              <w:jc w:val="both"/>
              <w:rPr>
                <w:bCs/>
                <w:lang w:val="uk-UA"/>
              </w:rPr>
            </w:pPr>
            <w:r w:rsidRPr="00730C78">
              <w:rPr>
                <w:color w:val="000000"/>
                <w:lang w:val="uk-UA" w:eastAsia="en-US"/>
              </w:rPr>
              <w:t>Не забезпечує досягнення поставленої мети.</w:t>
            </w:r>
            <w:r w:rsidRPr="00730C78">
              <w:rPr>
                <w:bCs/>
                <w:lang w:val="uk-UA"/>
              </w:rPr>
              <w:t xml:space="preserve"> Стримує розвиток ринку </w:t>
            </w:r>
            <w:proofErr w:type="spellStart"/>
            <w:r w:rsidRPr="00730C78">
              <w:rPr>
                <w:bCs/>
                <w:lang w:val="uk-UA"/>
              </w:rPr>
              <w:t>біометану</w:t>
            </w:r>
            <w:proofErr w:type="spellEnd"/>
            <w:r w:rsidRPr="00730C78">
              <w:rPr>
                <w:bCs/>
                <w:lang w:val="uk-UA"/>
              </w:rPr>
              <w:t xml:space="preserve"> в Україні, що може призвести до зниження рівня енергетичної незалежності України</w:t>
            </w:r>
          </w:p>
        </w:tc>
      </w:tr>
      <w:tr w:rsidR="00B3339F" w:rsidRPr="00D2518C" w:rsidTr="005F776F">
        <w:tc>
          <w:tcPr>
            <w:tcW w:w="2988" w:type="dxa"/>
          </w:tcPr>
          <w:p w:rsidR="00B3339F" w:rsidRPr="00D2518C" w:rsidRDefault="00B3339F" w:rsidP="005F776F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lastRenderedPageBreak/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lang w:val="uk-UA"/>
              </w:rPr>
            </w:pPr>
          </w:p>
          <w:p w:rsidR="00B3339F" w:rsidRPr="00D2518C" w:rsidRDefault="00B3339F" w:rsidP="005F776F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4</w:t>
            </w:r>
          </w:p>
        </w:tc>
        <w:tc>
          <w:tcPr>
            <w:tcW w:w="4707" w:type="dxa"/>
          </w:tcPr>
          <w:p w:rsidR="00730C78" w:rsidRPr="00AB41E1" w:rsidRDefault="00730C78" w:rsidP="00D2518C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B41E1">
              <w:rPr>
                <w:color w:val="000000"/>
                <w:lang w:val="uk-UA" w:eastAsia="en-US"/>
              </w:rPr>
              <w:t>Дозволяє вирішити проблему найбільш ефективним та найменш затратним способом.</w:t>
            </w:r>
          </w:p>
          <w:p w:rsidR="00B3339F" w:rsidRPr="00AB41E1" w:rsidRDefault="00AB41E1" w:rsidP="00AB41E1">
            <w:pPr>
              <w:widowControl w:val="0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С</w:t>
            </w:r>
            <w:r w:rsidR="00730C78" w:rsidRPr="00AB41E1">
              <w:rPr>
                <w:lang w:val="uk-UA"/>
              </w:rPr>
              <w:t xml:space="preserve">тимулює розвиток ринку </w:t>
            </w:r>
            <w:proofErr w:type="spellStart"/>
            <w:r w:rsidR="00730C78" w:rsidRPr="00AB41E1">
              <w:rPr>
                <w:lang w:val="uk-UA"/>
              </w:rPr>
              <w:t>біометану</w:t>
            </w:r>
            <w:proofErr w:type="spellEnd"/>
            <w:r w:rsidR="00730C78" w:rsidRPr="00AB41E1">
              <w:rPr>
                <w:lang w:val="uk-UA"/>
              </w:rPr>
              <w:t xml:space="preserve"> в Україні та розшир</w:t>
            </w:r>
            <w:r w:rsidRPr="00AB41E1">
              <w:rPr>
                <w:lang w:val="uk-UA"/>
              </w:rPr>
              <w:t>ює</w:t>
            </w:r>
            <w:r w:rsidR="00730C78" w:rsidRPr="00AB41E1">
              <w:rPr>
                <w:lang w:val="uk-UA"/>
              </w:rPr>
              <w:t xml:space="preserve"> можливост</w:t>
            </w:r>
            <w:r w:rsidRPr="00AB41E1">
              <w:rPr>
                <w:lang w:val="uk-UA"/>
              </w:rPr>
              <w:t>і</w:t>
            </w:r>
            <w:r w:rsidR="00730C78" w:rsidRPr="00AB41E1">
              <w:rPr>
                <w:lang w:val="uk-UA"/>
              </w:rPr>
              <w:t xml:space="preserve"> для доступу біогазу до газотранспортної та газорозподільних систем</w:t>
            </w:r>
          </w:p>
        </w:tc>
      </w:tr>
    </w:tbl>
    <w:p w:rsidR="00B3339F" w:rsidRPr="00D2518C" w:rsidRDefault="00B3339F" w:rsidP="00B3339F">
      <w:pPr>
        <w:jc w:val="both"/>
        <w:rPr>
          <w:bCs/>
          <w:sz w:val="27"/>
          <w:szCs w:val="27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984"/>
        <w:gridCol w:w="1843"/>
        <w:gridCol w:w="3544"/>
      </w:tblGrid>
      <w:tr w:rsidR="00B3339F" w:rsidRPr="00D2518C" w:rsidTr="005F776F">
        <w:tc>
          <w:tcPr>
            <w:tcW w:w="2547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1984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Вигоди (підсумок)</w:t>
            </w:r>
          </w:p>
        </w:tc>
        <w:tc>
          <w:tcPr>
            <w:tcW w:w="1843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544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752BF1" w:rsidRPr="00D2518C" w:rsidTr="005F776F">
        <w:tc>
          <w:tcPr>
            <w:tcW w:w="2547" w:type="dxa"/>
          </w:tcPr>
          <w:p w:rsidR="00752BF1" w:rsidRPr="00D2518C" w:rsidRDefault="00752BF1" w:rsidP="00752BF1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1</w:t>
            </w:r>
          </w:p>
          <w:p w:rsidR="00752BF1" w:rsidRPr="00D2518C" w:rsidRDefault="00752BF1" w:rsidP="00752BF1">
            <w:pPr>
              <w:rPr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  <w:p w:rsidR="00752BF1" w:rsidRPr="00D2518C" w:rsidRDefault="00752BF1" w:rsidP="00752BF1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752BF1" w:rsidRPr="00D2518C" w:rsidRDefault="00752BF1" w:rsidP="00752BF1">
            <w:pPr>
              <w:shd w:val="clear" w:color="auto" w:fill="FFFFFF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Збільшення витрат на імпорт та видобуток природного газу</w:t>
            </w:r>
          </w:p>
        </w:tc>
        <w:tc>
          <w:tcPr>
            <w:tcW w:w="3544" w:type="dxa"/>
          </w:tcPr>
          <w:p w:rsidR="00752BF1" w:rsidRPr="00D2518C" w:rsidRDefault="00752BF1" w:rsidP="00752BF1">
            <w:pPr>
              <w:shd w:val="clear" w:color="auto" w:fill="FFFFFF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Стримування розвитку ринку </w:t>
            </w:r>
            <w:proofErr w:type="spellStart"/>
            <w:r>
              <w:rPr>
                <w:bCs/>
                <w:lang w:val="uk-UA"/>
              </w:rPr>
              <w:t>біометану</w:t>
            </w:r>
            <w:proofErr w:type="spellEnd"/>
            <w:r>
              <w:rPr>
                <w:bCs/>
                <w:lang w:val="uk-UA"/>
              </w:rPr>
              <w:t xml:space="preserve"> в Україні</w:t>
            </w:r>
            <w:r w:rsidR="00AB41E1">
              <w:rPr>
                <w:bCs/>
                <w:lang w:val="uk-UA"/>
              </w:rPr>
              <w:t xml:space="preserve">, що може призвести до зниження </w:t>
            </w:r>
            <w:r>
              <w:rPr>
                <w:bCs/>
                <w:lang w:val="uk-UA"/>
              </w:rPr>
              <w:t>рівня енергетичної незалежності</w:t>
            </w:r>
          </w:p>
        </w:tc>
      </w:tr>
      <w:tr w:rsidR="00752BF1" w:rsidRPr="00D2518C" w:rsidTr="005F776F">
        <w:tc>
          <w:tcPr>
            <w:tcW w:w="2547" w:type="dxa"/>
          </w:tcPr>
          <w:p w:rsidR="00752BF1" w:rsidRPr="00D2518C" w:rsidRDefault="00752BF1" w:rsidP="00752BF1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2</w:t>
            </w:r>
          </w:p>
          <w:p w:rsidR="00752BF1" w:rsidRPr="00D2518C" w:rsidRDefault="00752BF1" w:rsidP="00752BF1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1984" w:type="dxa"/>
          </w:tcPr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Найбільш</w:t>
            </w:r>
          </w:p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вигідний,</w:t>
            </w:r>
          </w:p>
          <w:p w:rsidR="00752BF1" w:rsidRPr="00D2518C" w:rsidRDefault="00752BF1" w:rsidP="00752BF1">
            <w:pPr>
              <w:jc w:val="center"/>
              <w:rPr>
                <w:lang w:val="uk-UA"/>
              </w:rPr>
            </w:pPr>
          </w:p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забезпечує ефективне виконання завдань державного регулювання</w:t>
            </w:r>
          </w:p>
        </w:tc>
        <w:tc>
          <w:tcPr>
            <w:tcW w:w="1843" w:type="dxa"/>
          </w:tcPr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  <w:tc>
          <w:tcPr>
            <w:tcW w:w="3544" w:type="dxa"/>
          </w:tcPr>
          <w:p w:rsidR="00752BF1" w:rsidRPr="00D2518C" w:rsidRDefault="00752BF1" w:rsidP="00752BF1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D2518C">
              <w:rPr>
                <w:lang w:val="uk-UA"/>
              </w:rPr>
              <w:t>Дозволяє вирішити поставлену задачу найефективнішим шляхом</w:t>
            </w:r>
          </w:p>
        </w:tc>
      </w:tr>
    </w:tbl>
    <w:p w:rsidR="00B3339F" w:rsidRPr="00CD156B" w:rsidRDefault="00B3339F" w:rsidP="00B3339F">
      <w:pPr>
        <w:jc w:val="both"/>
        <w:rPr>
          <w:bCs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B3339F" w:rsidRPr="00CD156B" w:rsidTr="005F776F">
        <w:tc>
          <w:tcPr>
            <w:tcW w:w="2960" w:type="dxa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B3339F" w:rsidRPr="00CD156B" w:rsidTr="005F776F">
        <w:tc>
          <w:tcPr>
            <w:tcW w:w="2960" w:type="dxa"/>
          </w:tcPr>
          <w:p w:rsidR="00B3339F" w:rsidRPr="00CD156B" w:rsidRDefault="00B3339F" w:rsidP="005F776F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B3339F" w:rsidRPr="00CD156B" w:rsidRDefault="00B3339F" w:rsidP="005F776F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 вирішує визначену проблему</w:t>
            </w:r>
          </w:p>
        </w:tc>
        <w:tc>
          <w:tcPr>
            <w:tcW w:w="2013" w:type="dxa"/>
          </w:tcPr>
          <w:p w:rsidR="00B3339F" w:rsidRPr="00CD156B" w:rsidRDefault="00B3339F" w:rsidP="005F776F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B3339F" w:rsidRPr="00CD156B" w:rsidTr="005F776F">
        <w:trPr>
          <w:trHeight w:val="420"/>
        </w:trPr>
        <w:tc>
          <w:tcPr>
            <w:tcW w:w="2960" w:type="dxa"/>
          </w:tcPr>
          <w:p w:rsidR="00B3339F" w:rsidRPr="00CD156B" w:rsidRDefault="00B3339F" w:rsidP="005F776F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>Внесення змін до чинного регуляторного акта</w:t>
            </w:r>
            <w:r w:rsidRPr="00CD156B">
              <w:rPr>
                <w:lang w:val="uk-UA"/>
              </w:rPr>
              <w:t xml:space="preserve">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39F" w:rsidRPr="00CD156B" w:rsidRDefault="00B3339F" w:rsidP="00752BF1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Прийняття </w:t>
            </w:r>
            <w:proofErr w:type="spellStart"/>
            <w:r w:rsidR="00AB41E1">
              <w:rPr>
                <w:sz w:val="22"/>
                <w:szCs w:val="22"/>
                <w:lang w:val="uk-UA"/>
              </w:rPr>
              <w:t>П</w:t>
            </w:r>
            <w:r w:rsidRPr="00CD156B">
              <w:rPr>
                <w:sz w:val="22"/>
                <w:szCs w:val="22"/>
                <w:lang w:val="uk-UA"/>
              </w:rPr>
              <w:t>роєкту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</w:t>
            </w:r>
            <w:r w:rsidR="00AB41E1">
              <w:rPr>
                <w:sz w:val="22"/>
                <w:szCs w:val="22"/>
                <w:lang w:val="uk-UA"/>
              </w:rPr>
              <w:t>п</w:t>
            </w:r>
            <w:r w:rsidRPr="00CD156B">
              <w:rPr>
                <w:sz w:val="22"/>
                <w:szCs w:val="22"/>
                <w:lang w:val="uk-UA"/>
              </w:rPr>
              <w:t xml:space="preserve">останови вирішить проблему найефективнішим шляхом </w:t>
            </w:r>
            <w:r w:rsidR="00752BF1">
              <w:rPr>
                <w:sz w:val="22"/>
                <w:szCs w:val="22"/>
                <w:lang w:val="uk-UA"/>
              </w:rPr>
              <w:t>внесення змін до нормативно-правових актів НКРЕКП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39F" w:rsidRPr="00CD156B" w:rsidRDefault="00B3339F" w:rsidP="005F776F">
            <w:pPr>
              <w:spacing w:line="259" w:lineRule="auto"/>
              <w:ind w:right="55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Відсутній </w:t>
            </w:r>
          </w:p>
        </w:tc>
      </w:tr>
    </w:tbl>
    <w:p w:rsidR="00B3339F" w:rsidRPr="00752BF1" w:rsidRDefault="00B3339F" w:rsidP="00B3339F">
      <w:pPr>
        <w:rPr>
          <w:b/>
          <w:sz w:val="28"/>
          <w:szCs w:val="28"/>
          <w:lang w:val="uk-UA"/>
        </w:rPr>
      </w:pPr>
    </w:p>
    <w:p w:rsidR="00B3339F" w:rsidRPr="00752BF1" w:rsidRDefault="00B3339F" w:rsidP="00AB41E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752BF1">
        <w:rPr>
          <w:b/>
          <w:sz w:val="28"/>
          <w:szCs w:val="28"/>
          <w:lang w:val="uk-UA"/>
        </w:rPr>
        <w:t>V. Механізми та заходи, які забезпечать розв'язання визначеної проблеми</w:t>
      </w:r>
    </w:p>
    <w:p w:rsidR="00B3339F" w:rsidRPr="00752BF1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  <w:lang w:val="uk-UA"/>
        </w:rPr>
      </w:pPr>
    </w:p>
    <w:p w:rsidR="00B3339F" w:rsidRPr="00AB41E1" w:rsidRDefault="00B3339F" w:rsidP="00B3339F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752BF1">
        <w:rPr>
          <w:sz w:val="28"/>
          <w:szCs w:val="28"/>
          <w:lang w:val="uk-UA"/>
        </w:rPr>
        <w:t xml:space="preserve">Прийняття </w:t>
      </w:r>
      <w:proofErr w:type="spellStart"/>
      <w:r w:rsidRPr="00752BF1">
        <w:rPr>
          <w:sz w:val="28"/>
          <w:szCs w:val="28"/>
          <w:lang w:val="uk-UA"/>
        </w:rPr>
        <w:t>проєкту</w:t>
      </w:r>
      <w:proofErr w:type="spellEnd"/>
      <w:r w:rsidRPr="00752BF1">
        <w:rPr>
          <w:sz w:val="28"/>
          <w:szCs w:val="28"/>
          <w:lang w:val="uk-UA"/>
        </w:rPr>
        <w:t xml:space="preserve"> Постанови </w:t>
      </w:r>
      <w:r w:rsidR="00752BF1">
        <w:rPr>
          <w:sz w:val="28"/>
          <w:szCs w:val="28"/>
          <w:lang w:val="uk-UA"/>
        </w:rPr>
        <w:t xml:space="preserve">сприятиме </w:t>
      </w:r>
      <w:r w:rsidR="00C12CE8">
        <w:rPr>
          <w:sz w:val="28"/>
          <w:szCs w:val="28"/>
          <w:lang w:val="uk-UA"/>
        </w:rPr>
        <w:t xml:space="preserve">розвитку ринку </w:t>
      </w:r>
      <w:proofErr w:type="spellStart"/>
      <w:r w:rsidR="00C12CE8">
        <w:rPr>
          <w:sz w:val="28"/>
          <w:szCs w:val="28"/>
          <w:lang w:val="uk-UA"/>
        </w:rPr>
        <w:t>біометану</w:t>
      </w:r>
      <w:proofErr w:type="spellEnd"/>
      <w:r w:rsidR="00C12CE8">
        <w:rPr>
          <w:sz w:val="28"/>
          <w:szCs w:val="28"/>
          <w:lang w:val="uk-UA"/>
        </w:rPr>
        <w:t xml:space="preserve"> в Україні шляхом розширення можливостей для доступу біогазу до газотранспортної та газорозподільних систем</w:t>
      </w:r>
      <w:r w:rsidR="00AB41E1">
        <w:rPr>
          <w:sz w:val="28"/>
          <w:szCs w:val="28"/>
          <w:lang w:val="uk-UA"/>
        </w:rPr>
        <w:t xml:space="preserve">, а також </w:t>
      </w:r>
      <w:r w:rsidR="00AB41E1" w:rsidRPr="00AB41E1">
        <w:rPr>
          <w:sz w:val="28"/>
          <w:szCs w:val="28"/>
          <w:lang w:val="uk-UA"/>
        </w:rPr>
        <w:t>підвищення рівня енергетичної незалежності України</w:t>
      </w:r>
      <w:r w:rsidR="00752BF1">
        <w:rPr>
          <w:sz w:val="28"/>
          <w:szCs w:val="28"/>
          <w:lang w:val="uk-UA"/>
        </w:rPr>
        <w:t>.</w:t>
      </w:r>
    </w:p>
    <w:p w:rsidR="00B3339F" w:rsidRPr="00C12CE8" w:rsidRDefault="00B3339F" w:rsidP="00B3339F">
      <w:pPr>
        <w:widowControl w:val="0"/>
        <w:jc w:val="both"/>
        <w:rPr>
          <w:color w:val="000000"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  <w:lang w:val="uk-UA"/>
        </w:rPr>
      </w:pPr>
      <w:r w:rsidRPr="00C12CE8">
        <w:rPr>
          <w:b/>
          <w:bCs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Термін </w:t>
      </w:r>
      <w:r w:rsidRPr="00C12CE8">
        <w:rPr>
          <w:rStyle w:val="spelle"/>
          <w:sz w:val="28"/>
          <w:szCs w:val="28"/>
          <w:lang w:val="uk-UA"/>
        </w:rPr>
        <w:t>дії</w:t>
      </w:r>
      <w:r w:rsidRPr="00C12CE8">
        <w:rPr>
          <w:sz w:val="28"/>
          <w:szCs w:val="28"/>
          <w:lang w:val="uk-UA"/>
        </w:rPr>
        <w:t xml:space="preserve"> акта не</w:t>
      </w:r>
      <w:r w:rsidRPr="00C12CE8">
        <w:rPr>
          <w:rStyle w:val="spelle"/>
          <w:sz w:val="28"/>
          <w:szCs w:val="28"/>
          <w:lang w:val="uk-UA"/>
        </w:rPr>
        <w:t>обмежений</w:t>
      </w:r>
      <w:r w:rsidRPr="00C12CE8">
        <w:rPr>
          <w:sz w:val="28"/>
          <w:szCs w:val="28"/>
          <w:lang w:val="uk-UA"/>
        </w:rPr>
        <w:t xml:space="preserve">. Він може бути змінений у разі внесення </w:t>
      </w:r>
      <w:r w:rsidRPr="00C12CE8">
        <w:rPr>
          <w:sz w:val="28"/>
          <w:szCs w:val="28"/>
          <w:lang w:val="uk-UA"/>
        </w:rPr>
        <w:lastRenderedPageBreak/>
        <w:t>відповідних змін до законодавства.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C12CE8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bookmarkStart w:id="3" w:name="_Hlk69799505"/>
      <w:r w:rsidRPr="00C12CE8">
        <w:rPr>
          <w:sz w:val="28"/>
          <w:szCs w:val="28"/>
          <w:lang w:val="uk-UA"/>
        </w:rPr>
        <w:t xml:space="preserve">Після набрання чинності постановою НКРЕКП «Про </w:t>
      </w:r>
      <w:r w:rsidR="00C12CE8">
        <w:rPr>
          <w:sz w:val="28"/>
          <w:szCs w:val="28"/>
          <w:lang w:val="uk-UA"/>
        </w:rPr>
        <w:t>внесення змін до Кодексу газотранспортної системи та Кодексу газорозподільних систем</w:t>
      </w:r>
      <w:r w:rsidRPr="00C12CE8">
        <w:rPr>
          <w:sz w:val="28"/>
          <w:szCs w:val="28"/>
          <w:lang w:val="uk-UA"/>
        </w:rPr>
        <w:t>» її результативність визначається такими кількісними показниками: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1)</w:t>
      </w:r>
      <w:r w:rsidRPr="00C12CE8">
        <w:rPr>
          <w:color w:val="FF0000"/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 xml:space="preserve">розміром надходжень до Державного бюджету України – реалізація </w:t>
      </w:r>
      <w:proofErr w:type="spellStart"/>
      <w:r w:rsidRPr="00C12CE8">
        <w:rPr>
          <w:sz w:val="28"/>
          <w:szCs w:val="28"/>
          <w:lang w:val="uk-UA"/>
        </w:rPr>
        <w:t>проєкту</w:t>
      </w:r>
      <w:proofErr w:type="spellEnd"/>
      <w:r w:rsidRPr="00C12CE8">
        <w:rPr>
          <w:sz w:val="28"/>
          <w:szCs w:val="28"/>
          <w:lang w:val="uk-UA"/>
        </w:rPr>
        <w:t xml:space="preserve"> регуляторного </w:t>
      </w:r>
      <w:proofErr w:type="spellStart"/>
      <w:r w:rsidRPr="00C12CE8">
        <w:rPr>
          <w:sz w:val="28"/>
          <w:szCs w:val="28"/>
          <w:lang w:val="uk-UA"/>
        </w:rPr>
        <w:t>акта</w:t>
      </w:r>
      <w:proofErr w:type="spellEnd"/>
      <w:r w:rsidRPr="00C12CE8">
        <w:rPr>
          <w:sz w:val="28"/>
          <w:szCs w:val="28"/>
          <w:lang w:val="uk-UA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акта не передбачаються;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2) кількістю суб'єктів господарювання та/або фізичних осіб, на яких поширюється дія </w:t>
      </w:r>
      <w:proofErr w:type="spellStart"/>
      <w:r w:rsidRPr="00C12CE8">
        <w:rPr>
          <w:sz w:val="28"/>
          <w:szCs w:val="28"/>
          <w:lang w:val="uk-UA"/>
        </w:rPr>
        <w:t>акта</w:t>
      </w:r>
      <w:proofErr w:type="spellEnd"/>
      <w:r w:rsidRPr="00C12CE8">
        <w:rPr>
          <w:sz w:val="28"/>
          <w:szCs w:val="28"/>
          <w:lang w:val="uk-UA"/>
        </w:rPr>
        <w:t xml:space="preserve"> – дія </w:t>
      </w:r>
      <w:proofErr w:type="spellStart"/>
      <w:r w:rsidRPr="00C12CE8">
        <w:rPr>
          <w:sz w:val="28"/>
          <w:szCs w:val="28"/>
          <w:lang w:val="uk-UA"/>
        </w:rPr>
        <w:t>акта</w:t>
      </w:r>
      <w:proofErr w:type="spellEnd"/>
      <w:r w:rsidRPr="00C12CE8">
        <w:rPr>
          <w:sz w:val="28"/>
          <w:szCs w:val="28"/>
          <w:lang w:val="uk-UA"/>
        </w:rPr>
        <w:t xml:space="preserve"> поширюватиметься на</w:t>
      </w:r>
      <w:r w:rsidR="00AB41E1">
        <w:rPr>
          <w:sz w:val="28"/>
          <w:szCs w:val="28"/>
          <w:lang w:val="uk-UA"/>
        </w:rPr>
        <w:t xml:space="preserve"> оператора газотранспортної системи, операторів газорозподільних систем та</w:t>
      </w:r>
      <w:r w:rsidRPr="00C12CE8">
        <w:rPr>
          <w:sz w:val="28"/>
          <w:szCs w:val="28"/>
          <w:lang w:val="uk-UA"/>
        </w:rPr>
        <w:t xml:space="preserve"> суб’єктів господарювання</w:t>
      </w:r>
      <w:r w:rsidRPr="00C12CE8">
        <w:rPr>
          <w:bCs/>
          <w:color w:val="000000"/>
          <w:sz w:val="28"/>
          <w:szCs w:val="28"/>
          <w:lang w:val="uk-UA"/>
        </w:rPr>
        <w:t xml:space="preserve">, що </w:t>
      </w:r>
      <w:r w:rsidR="00AB41E1">
        <w:rPr>
          <w:bCs/>
          <w:color w:val="000000"/>
          <w:sz w:val="28"/>
          <w:szCs w:val="28"/>
          <w:lang w:val="uk-UA"/>
        </w:rPr>
        <w:t>провадять</w:t>
      </w:r>
      <w:r w:rsidRPr="00C12CE8">
        <w:rPr>
          <w:bCs/>
          <w:color w:val="000000"/>
          <w:sz w:val="28"/>
          <w:szCs w:val="28"/>
          <w:lang w:val="uk-UA"/>
        </w:rPr>
        <w:t xml:space="preserve"> господарську діяльність</w:t>
      </w:r>
      <w:r w:rsidR="00AB41E1">
        <w:rPr>
          <w:bCs/>
          <w:color w:val="000000"/>
          <w:sz w:val="28"/>
          <w:szCs w:val="28"/>
          <w:lang w:val="uk-UA"/>
        </w:rPr>
        <w:t xml:space="preserve"> з</w:t>
      </w:r>
      <w:r w:rsidRPr="00C12CE8">
        <w:rPr>
          <w:bCs/>
          <w:color w:val="000000"/>
          <w:sz w:val="28"/>
          <w:szCs w:val="28"/>
          <w:lang w:val="uk-UA"/>
        </w:rPr>
        <w:t xml:space="preserve"> </w:t>
      </w:r>
      <w:r w:rsidR="00C12CE8">
        <w:rPr>
          <w:bCs/>
          <w:color w:val="000000"/>
          <w:sz w:val="28"/>
          <w:szCs w:val="28"/>
          <w:lang w:val="uk-UA"/>
        </w:rPr>
        <w:t>виробництва біогазу або газу з інших альтернативних джерел</w:t>
      </w:r>
      <w:r w:rsidRPr="00C12CE8">
        <w:rPr>
          <w:sz w:val="28"/>
          <w:szCs w:val="28"/>
          <w:lang w:val="uk-UA"/>
        </w:rPr>
        <w:t>;</w:t>
      </w:r>
    </w:p>
    <w:p w:rsidR="00B3339F" w:rsidRPr="00C12CE8" w:rsidRDefault="00B3339F" w:rsidP="00B3339F">
      <w:pPr>
        <w:ind w:firstLine="539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3) рівнем поінформованості суб’єктів господарювання з основних положень</w:t>
      </w:r>
      <w:r w:rsidR="00C12CE8">
        <w:rPr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>акта – середній.</w:t>
      </w:r>
    </w:p>
    <w:bookmarkEnd w:id="3"/>
    <w:p w:rsidR="00B3339F" w:rsidRPr="00C12CE8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Відповідно до вимог частини другої статті 15 </w:t>
      </w:r>
      <w:r w:rsidRPr="00C12CE8">
        <w:rPr>
          <w:color w:val="000000"/>
          <w:sz w:val="28"/>
          <w:szCs w:val="28"/>
          <w:lang w:val="uk-UA"/>
        </w:rPr>
        <w:t>Закону про НКРЕКП</w:t>
      </w:r>
      <w:r w:rsidRPr="00C12CE8">
        <w:rPr>
          <w:sz w:val="28"/>
          <w:szCs w:val="28"/>
          <w:lang w:val="uk-UA"/>
        </w:rPr>
        <w:t xml:space="preserve"> проєкт постанови </w:t>
      </w:r>
      <w:r w:rsidR="00C12CE8" w:rsidRPr="00C12CE8">
        <w:rPr>
          <w:sz w:val="28"/>
          <w:szCs w:val="28"/>
          <w:lang w:val="uk-UA"/>
        </w:rPr>
        <w:t xml:space="preserve">«Про </w:t>
      </w:r>
      <w:r w:rsidR="00C12CE8">
        <w:rPr>
          <w:sz w:val="28"/>
          <w:szCs w:val="28"/>
          <w:lang w:val="uk-UA"/>
        </w:rPr>
        <w:t>внесення змін до Кодексу газотранспортної системи та Кодексу газорозподільних систем</w:t>
      </w:r>
      <w:r w:rsidR="00C12CE8" w:rsidRPr="00C12CE8">
        <w:rPr>
          <w:sz w:val="28"/>
          <w:szCs w:val="28"/>
          <w:lang w:val="uk-UA"/>
        </w:rPr>
        <w:t>»</w:t>
      </w:r>
      <w:r w:rsidRPr="00C12CE8">
        <w:rPr>
          <w:color w:val="000000"/>
          <w:sz w:val="28"/>
          <w:szCs w:val="28"/>
          <w:lang w:val="uk-UA"/>
        </w:rPr>
        <w:t xml:space="preserve">, </w:t>
      </w:r>
      <w:r w:rsidRPr="00C12CE8">
        <w:rPr>
          <w:sz w:val="28"/>
          <w:szCs w:val="28"/>
          <w:lang w:val="uk-UA"/>
        </w:rPr>
        <w:t xml:space="preserve">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C12CE8">
        <w:rPr>
          <w:sz w:val="28"/>
          <w:szCs w:val="28"/>
          <w:lang w:val="uk-UA"/>
        </w:rPr>
        <w:t>вебсайті</w:t>
      </w:r>
      <w:proofErr w:type="spellEnd"/>
      <w:r w:rsidRPr="00C12CE8">
        <w:rPr>
          <w:sz w:val="28"/>
          <w:szCs w:val="28"/>
          <w:lang w:val="uk-UA"/>
        </w:rPr>
        <w:t xml:space="preserve"> НКРЕКП </w:t>
      </w:r>
      <w:r w:rsidR="00B34AD5">
        <w:rPr>
          <w:sz w:val="28"/>
          <w:szCs w:val="28"/>
          <w:lang w:val="uk-UA"/>
        </w:rPr>
        <w:t>у</w:t>
      </w:r>
      <w:r w:rsidRPr="00C12CE8">
        <w:rPr>
          <w:sz w:val="28"/>
          <w:szCs w:val="28"/>
          <w:lang w:val="uk-UA"/>
        </w:rPr>
        <w:t xml:space="preserve"> мережі Інтернет: </w:t>
      </w:r>
      <w:hyperlink r:id="rId5" w:history="1">
        <w:r w:rsidRPr="00C12CE8">
          <w:rPr>
            <w:rStyle w:val="a5"/>
            <w:color w:val="000000"/>
            <w:sz w:val="28"/>
            <w:szCs w:val="28"/>
            <w:lang w:val="uk-UA"/>
          </w:rPr>
          <w:t>http://nerc.gov.ua</w:t>
        </w:r>
      </w:hyperlink>
      <w:r w:rsidRPr="00C12CE8">
        <w:rPr>
          <w:sz w:val="28"/>
          <w:szCs w:val="28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B3339F" w:rsidRPr="00C12CE8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НКРЕКП у межах компетенції надаватиме необхідні роз’яснення щодо норм </w:t>
      </w:r>
      <w:proofErr w:type="spellStart"/>
      <w:r w:rsidRPr="00C12CE8">
        <w:rPr>
          <w:sz w:val="28"/>
          <w:szCs w:val="28"/>
          <w:lang w:val="uk-UA"/>
        </w:rPr>
        <w:t>проєкту</w:t>
      </w:r>
      <w:proofErr w:type="spellEnd"/>
      <w:r w:rsidRPr="00C12CE8">
        <w:rPr>
          <w:sz w:val="28"/>
          <w:szCs w:val="28"/>
          <w:lang w:val="uk-UA"/>
        </w:rPr>
        <w:t xml:space="preserve"> регуляторного </w:t>
      </w:r>
      <w:proofErr w:type="spellStart"/>
      <w:r w:rsidRPr="00C12CE8">
        <w:rPr>
          <w:sz w:val="28"/>
          <w:szCs w:val="28"/>
          <w:lang w:val="uk-UA"/>
        </w:rPr>
        <w:t>акта</w:t>
      </w:r>
      <w:proofErr w:type="spellEnd"/>
      <w:r w:rsidRPr="00C12CE8">
        <w:rPr>
          <w:sz w:val="28"/>
          <w:szCs w:val="28"/>
          <w:lang w:val="uk-UA"/>
        </w:rPr>
        <w:t xml:space="preserve"> після його прийняття.</w:t>
      </w:r>
    </w:p>
    <w:p w:rsidR="00B3339F" w:rsidRPr="00C12CE8" w:rsidRDefault="00B3339F" w:rsidP="00B3339F">
      <w:pPr>
        <w:widowControl w:val="0"/>
        <w:jc w:val="both"/>
        <w:rPr>
          <w:sz w:val="28"/>
          <w:szCs w:val="28"/>
          <w:lang w:val="uk-UA"/>
        </w:rPr>
      </w:pPr>
    </w:p>
    <w:p w:rsidR="00B3339F" w:rsidRPr="00C12CE8" w:rsidRDefault="00B3339F" w:rsidP="00B3339F">
      <w:pPr>
        <w:ind w:firstLine="540"/>
        <w:jc w:val="both"/>
        <w:rPr>
          <w:b/>
          <w:sz w:val="28"/>
          <w:szCs w:val="28"/>
          <w:lang w:val="uk-UA"/>
        </w:rPr>
      </w:pPr>
      <w:r w:rsidRPr="00C12CE8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:rsidR="00B3339F" w:rsidRPr="00C12CE8" w:rsidRDefault="00B3339F" w:rsidP="00B3339F">
      <w:pPr>
        <w:ind w:firstLine="540"/>
        <w:jc w:val="both"/>
        <w:rPr>
          <w:b/>
          <w:sz w:val="28"/>
          <w:szCs w:val="28"/>
          <w:lang w:val="uk-UA"/>
        </w:rPr>
      </w:pPr>
    </w:p>
    <w:p w:rsidR="00B3339F" w:rsidRPr="00C12CE8" w:rsidRDefault="00C12CE8" w:rsidP="00B3339F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 w:rsidRPr="00752BF1">
        <w:rPr>
          <w:sz w:val="28"/>
          <w:szCs w:val="28"/>
          <w:lang w:val="uk-UA"/>
        </w:rPr>
        <w:t xml:space="preserve">Прийняття </w:t>
      </w:r>
      <w:proofErr w:type="spellStart"/>
      <w:r w:rsidRPr="00752BF1">
        <w:rPr>
          <w:sz w:val="28"/>
          <w:szCs w:val="28"/>
          <w:lang w:val="uk-UA"/>
        </w:rPr>
        <w:t>проєкту</w:t>
      </w:r>
      <w:proofErr w:type="spellEnd"/>
      <w:r w:rsidRPr="00752BF1">
        <w:rPr>
          <w:sz w:val="28"/>
          <w:szCs w:val="28"/>
          <w:lang w:val="uk-UA"/>
        </w:rPr>
        <w:t xml:space="preserve"> Постанови НКРЕКП</w:t>
      </w:r>
      <w:r>
        <w:rPr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внесення змін до Кодексу газотранспортної системи та Кодексу газорозподільних систем</w:t>
      </w:r>
      <w:r w:rsidRPr="00C12CE8">
        <w:rPr>
          <w:sz w:val="28"/>
          <w:szCs w:val="28"/>
          <w:lang w:val="uk-UA"/>
        </w:rPr>
        <w:t>»</w:t>
      </w:r>
      <w:r w:rsidRPr="00752B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сприятиме розвитку ринку </w:t>
      </w:r>
      <w:proofErr w:type="spellStart"/>
      <w:r>
        <w:rPr>
          <w:sz w:val="28"/>
          <w:szCs w:val="28"/>
          <w:lang w:val="uk-UA"/>
        </w:rPr>
        <w:t>біометану</w:t>
      </w:r>
      <w:proofErr w:type="spellEnd"/>
      <w:r>
        <w:rPr>
          <w:sz w:val="28"/>
          <w:szCs w:val="28"/>
          <w:lang w:val="uk-UA"/>
        </w:rPr>
        <w:t xml:space="preserve"> в Україні та розширенню можливостей для доступу біогазу до газотранспортної та газорозподільних систем, що</w:t>
      </w:r>
      <w:r w:rsidR="00B34A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 наслідок</w:t>
      </w:r>
      <w:r w:rsidR="00B34AD5">
        <w:rPr>
          <w:sz w:val="28"/>
          <w:szCs w:val="28"/>
          <w:lang w:val="uk-UA"/>
        </w:rPr>
        <w:t>,</w:t>
      </w:r>
      <w:bookmarkStart w:id="4" w:name="_GoBack"/>
      <w:bookmarkEnd w:id="4"/>
      <w:r>
        <w:rPr>
          <w:sz w:val="28"/>
          <w:szCs w:val="28"/>
          <w:lang w:val="uk-UA"/>
        </w:rPr>
        <w:t xml:space="preserve"> призведе до посилення енергетичної незалежності України.</w:t>
      </w:r>
    </w:p>
    <w:p w:rsidR="00B3339F" w:rsidRPr="00C12CE8" w:rsidRDefault="00B3339F" w:rsidP="00B3339F">
      <w:pPr>
        <w:widowControl w:val="0"/>
        <w:jc w:val="both"/>
        <w:rPr>
          <w:color w:val="000000"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rPr>
          <w:rStyle w:val="spelle"/>
          <w:b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rPr>
          <w:rStyle w:val="spelle"/>
          <w:b/>
          <w:sz w:val="28"/>
          <w:szCs w:val="28"/>
          <w:lang w:val="uk-UA"/>
        </w:rPr>
      </w:pPr>
    </w:p>
    <w:p w:rsidR="00B3339F" w:rsidRPr="00C12CE8" w:rsidRDefault="00B3339F" w:rsidP="00B3339F">
      <w:pPr>
        <w:rPr>
          <w:sz w:val="28"/>
          <w:szCs w:val="28"/>
          <w:lang w:val="uk-UA"/>
        </w:rPr>
      </w:pPr>
      <w:r w:rsidRPr="00C12CE8">
        <w:rPr>
          <w:rStyle w:val="spelle"/>
          <w:b/>
          <w:sz w:val="28"/>
          <w:szCs w:val="28"/>
          <w:lang w:val="uk-UA"/>
        </w:rPr>
        <w:t>Голова НКРЕКП</w:t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="00C12CE8" w:rsidRPr="00C12CE8">
        <w:rPr>
          <w:rStyle w:val="spelle"/>
          <w:b/>
          <w:sz w:val="28"/>
          <w:szCs w:val="28"/>
          <w:lang w:val="uk-UA"/>
        </w:rPr>
        <w:tab/>
      </w:r>
      <w:r w:rsidR="00C12CE8">
        <w:rPr>
          <w:rStyle w:val="spelle"/>
          <w:b/>
          <w:sz w:val="28"/>
          <w:szCs w:val="28"/>
          <w:lang w:val="uk-UA"/>
        </w:rPr>
        <w:tab/>
      </w:r>
      <w:r w:rsidR="00C12CE8">
        <w:rPr>
          <w:rStyle w:val="spelle"/>
          <w:b/>
          <w:sz w:val="28"/>
          <w:szCs w:val="28"/>
          <w:lang w:val="uk-UA"/>
        </w:rPr>
        <w:tab/>
        <w:t>     </w:t>
      </w:r>
      <w:r w:rsidRPr="00C12CE8">
        <w:rPr>
          <w:rStyle w:val="spelle"/>
          <w:b/>
          <w:sz w:val="28"/>
          <w:szCs w:val="28"/>
          <w:lang w:val="uk-UA"/>
        </w:rPr>
        <w:t>К. Ущаповський</w:t>
      </w:r>
    </w:p>
    <w:sectPr w:rsidR="00B3339F" w:rsidRPr="00C12CE8" w:rsidSect="00B333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2D517F1"/>
    <w:multiLevelType w:val="hybridMultilevel"/>
    <w:tmpl w:val="9AFE84DA"/>
    <w:lvl w:ilvl="0" w:tplc="40289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39F"/>
    <w:rsid w:val="001509ED"/>
    <w:rsid w:val="004F0E6D"/>
    <w:rsid w:val="00730C78"/>
    <w:rsid w:val="00752BF1"/>
    <w:rsid w:val="00AB41E1"/>
    <w:rsid w:val="00B3339F"/>
    <w:rsid w:val="00B34AD5"/>
    <w:rsid w:val="00B95F66"/>
    <w:rsid w:val="00C12CE8"/>
    <w:rsid w:val="00C578EE"/>
    <w:rsid w:val="00C95F4C"/>
    <w:rsid w:val="00D2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A8D7"/>
  <w15:chartTrackingRefBased/>
  <w15:docId w15:val="{CB484145-D71F-4C6F-94E0-7A6EB9FF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B3339F"/>
  </w:style>
  <w:style w:type="paragraph" w:styleId="a3">
    <w:name w:val="Body Text"/>
    <w:basedOn w:val="a"/>
    <w:link w:val="a4"/>
    <w:rsid w:val="00B3339F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B3339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rsid w:val="00B3339F"/>
    <w:rPr>
      <w:color w:val="0000FF"/>
      <w:u w:val="single"/>
    </w:rPr>
  </w:style>
  <w:style w:type="paragraph" w:styleId="a6">
    <w:name w:val="Normal (Web)"/>
    <w:basedOn w:val="a"/>
    <w:uiPriority w:val="99"/>
    <w:rsid w:val="00B3339F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B3339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B33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6305</Words>
  <Characters>3595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Людмила Кулаковська</cp:lastModifiedBy>
  <cp:revision>4</cp:revision>
  <dcterms:created xsi:type="dcterms:W3CDTF">2022-07-01T11:30:00Z</dcterms:created>
  <dcterms:modified xsi:type="dcterms:W3CDTF">2022-07-05T10:04:00Z</dcterms:modified>
</cp:coreProperties>
</file>