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6FB4D" w14:textId="4C57499E" w:rsidR="00946865" w:rsidRDefault="00946BAD" w:rsidP="00C50D8E">
      <w:pPr>
        <w:spacing w:after="0"/>
        <w:jc w:val="center"/>
        <w:rPr>
          <w:rFonts w:ascii="Times New Roman" w:hAnsi="Times New Roman" w:cs="Times New Roman"/>
          <w:b/>
          <w:sz w:val="28"/>
          <w:szCs w:val="28"/>
          <w:lang w:val="uk-UA"/>
        </w:rPr>
      </w:pPr>
      <w:r w:rsidRPr="00FC5C04">
        <w:rPr>
          <w:rFonts w:ascii="Times New Roman" w:hAnsi="Times New Roman" w:cs="Times New Roman"/>
          <w:b/>
          <w:bCs/>
          <w:sz w:val="28"/>
          <w:szCs w:val="28"/>
          <w:lang w:val="uk-UA"/>
        </w:rPr>
        <w:t xml:space="preserve">Пропозиції змін до </w:t>
      </w:r>
      <w:r w:rsidR="00C50D8E" w:rsidRPr="00F7195C">
        <w:rPr>
          <w:rFonts w:ascii="Times New Roman" w:hAnsi="Times New Roman" w:cs="Times New Roman"/>
          <w:b/>
          <w:sz w:val="28"/>
          <w:szCs w:val="28"/>
          <w:lang w:val="uk-UA"/>
        </w:rPr>
        <w:t>постанови НКРЕКП від 26</w:t>
      </w:r>
      <w:r w:rsidR="00C50D8E">
        <w:rPr>
          <w:rFonts w:ascii="Times New Roman" w:hAnsi="Times New Roman" w:cs="Times New Roman"/>
          <w:b/>
          <w:sz w:val="28"/>
          <w:szCs w:val="28"/>
          <w:lang w:val="uk-UA"/>
        </w:rPr>
        <w:t> </w:t>
      </w:r>
      <w:r w:rsidR="00C50D8E" w:rsidRPr="00F7195C">
        <w:rPr>
          <w:rFonts w:ascii="Times New Roman" w:hAnsi="Times New Roman" w:cs="Times New Roman"/>
          <w:b/>
          <w:sz w:val="28"/>
          <w:szCs w:val="28"/>
          <w:lang w:val="uk-UA"/>
        </w:rPr>
        <w:t>квітня 2019</w:t>
      </w:r>
      <w:r w:rsidR="00C50D8E">
        <w:rPr>
          <w:rFonts w:ascii="Times New Roman" w:hAnsi="Times New Roman" w:cs="Times New Roman"/>
          <w:b/>
          <w:sz w:val="28"/>
          <w:szCs w:val="28"/>
          <w:lang w:val="uk-UA"/>
        </w:rPr>
        <w:t> </w:t>
      </w:r>
      <w:r w:rsidR="00C50D8E" w:rsidRPr="00F7195C">
        <w:rPr>
          <w:rFonts w:ascii="Times New Roman" w:hAnsi="Times New Roman" w:cs="Times New Roman"/>
          <w:b/>
          <w:sz w:val="28"/>
          <w:szCs w:val="28"/>
          <w:lang w:val="uk-UA"/>
        </w:rPr>
        <w:t>року №</w:t>
      </w:r>
      <w:r w:rsidR="00C50D8E">
        <w:rPr>
          <w:rFonts w:ascii="Times New Roman" w:hAnsi="Times New Roman" w:cs="Times New Roman"/>
          <w:b/>
          <w:sz w:val="28"/>
          <w:szCs w:val="28"/>
          <w:lang w:val="uk-UA"/>
        </w:rPr>
        <w:t> </w:t>
      </w:r>
      <w:r w:rsidR="00C50D8E" w:rsidRPr="00F7195C">
        <w:rPr>
          <w:rFonts w:ascii="Times New Roman" w:hAnsi="Times New Roman" w:cs="Times New Roman"/>
          <w:b/>
          <w:sz w:val="28"/>
          <w:szCs w:val="28"/>
          <w:lang w:val="uk-UA"/>
        </w:rPr>
        <w:t>641</w:t>
      </w:r>
    </w:p>
    <w:p w14:paraId="4BB003FF" w14:textId="77777777" w:rsidR="00C50D8E" w:rsidRPr="00FC5C04" w:rsidRDefault="00C50D8E" w:rsidP="00C50D8E">
      <w:pPr>
        <w:spacing w:after="0"/>
        <w:jc w:val="center"/>
        <w:rPr>
          <w:rFonts w:ascii="Times New Roman" w:hAnsi="Times New Roman" w:cs="Times New Roman"/>
          <w:b/>
          <w:bCs/>
          <w:sz w:val="28"/>
          <w:szCs w:val="28"/>
          <w:lang w:val="uk-UA"/>
        </w:rPr>
      </w:pPr>
    </w:p>
    <w:tbl>
      <w:tblPr>
        <w:tblStyle w:val="a4"/>
        <w:tblW w:w="5000" w:type="pct"/>
        <w:tblLook w:val="04A0" w:firstRow="1" w:lastRow="0" w:firstColumn="1" w:lastColumn="0" w:noHBand="0" w:noVBand="1"/>
      </w:tblPr>
      <w:tblGrid>
        <w:gridCol w:w="7789"/>
        <w:gridCol w:w="7599"/>
      </w:tblGrid>
      <w:tr w:rsidR="00FC5C04" w:rsidRPr="00FC5C04" w14:paraId="43B400DF" w14:textId="77777777" w:rsidTr="00E35235">
        <w:tc>
          <w:tcPr>
            <w:tcW w:w="2531" w:type="pct"/>
          </w:tcPr>
          <w:p w14:paraId="3463991B" w14:textId="76A1087E" w:rsidR="00E35235" w:rsidRPr="00FC5C04" w:rsidRDefault="00E35235" w:rsidP="00946BAD">
            <w:pPr>
              <w:jc w:val="center"/>
              <w:rPr>
                <w:rFonts w:ascii="Times New Roman" w:hAnsi="Times New Roman" w:cs="Times New Roman"/>
                <w:b/>
                <w:bCs/>
                <w:sz w:val="24"/>
                <w:szCs w:val="24"/>
                <w:lang w:val="uk-UA"/>
              </w:rPr>
            </w:pPr>
            <w:r w:rsidRPr="00FC5C04">
              <w:rPr>
                <w:rFonts w:ascii="Times New Roman" w:hAnsi="Times New Roman" w:cs="Times New Roman"/>
                <w:b/>
                <w:bCs/>
                <w:sz w:val="24"/>
                <w:szCs w:val="24"/>
                <w:lang w:val="uk-UA"/>
              </w:rPr>
              <w:t xml:space="preserve">Чинна редакція </w:t>
            </w:r>
          </w:p>
        </w:tc>
        <w:tc>
          <w:tcPr>
            <w:tcW w:w="2469" w:type="pct"/>
          </w:tcPr>
          <w:p w14:paraId="6BF57C72" w14:textId="101B87C2" w:rsidR="00E35235" w:rsidRPr="00FC5C04" w:rsidRDefault="00AB06C6" w:rsidP="00946BAD">
            <w:pPr>
              <w:jc w:val="center"/>
              <w:rPr>
                <w:rFonts w:ascii="Times New Roman" w:hAnsi="Times New Roman" w:cs="Times New Roman"/>
                <w:b/>
                <w:bCs/>
                <w:sz w:val="24"/>
                <w:szCs w:val="24"/>
                <w:lang w:val="en-US"/>
              </w:rPr>
            </w:pPr>
            <w:r w:rsidRPr="00FC5C04">
              <w:rPr>
                <w:rFonts w:ascii="Times New Roman" w:hAnsi="Times New Roman" w:cs="Times New Roman"/>
                <w:b/>
                <w:bCs/>
                <w:sz w:val="24"/>
                <w:szCs w:val="24"/>
                <w:lang w:val="uk-UA"/>
              </w:rPr>
              <w:t>Редакція проєкту рішення НКРЕКП</w:t>
            </w:r>
          </w:p>
        </w:tc>
      </w:tr>
      <w:tr w:rsidR="00FC5C04" w:rsidRPr="004029B5" w14:paraId="1E7168AF" w14:textId="77777777" w:rsidTr="00C50D8E">
        <w:trPr>
          <w:trHeight w:val="5796"/>
        </w:trPr>
        <w:tc>
          <w:tcPr>
            <w:tcW w:w="2531" w:type="pct"/>
          </w:tcPr>
          <w:p w14:paraId="4669972F" w14:textId="77777777" w:rsidR="00A844FD" w:rsidRPr="00A844FD" w:rsidRDefault="00A844FD" w:rsidP="00A844FD">
            <w:pPr>
              <w:ind w:firstLine="567"/>
              <w:jc w:val="both"/>
              <w:rPr>
                <w:rFonts w:ascii="Times New Roman" w:eastAsia="Times New Roman" w:hAnsi="Times New Roman" w:cs="Times New Roman"/>
                <w:sz w:val="24"/>
                <w:szCs w:val="24"/>
                <w:lang w:val="uk-UA" w:eastAsia="ru-RU"/>
              </w:rPr>
            </w:pPr>
            <w:r w:rsidRPr="00A844FD">
              <w:rPr>
                <w:rFonts w:ascii="Times New Roman" w:eastAsia="Times New Roman" w:hAnsi="Times New Roman" w:cs="Times New Roman"/>
                <w:sz w:val="24"/>
                <w:szCs w:val="24"/>
                <w:lang w:val="uk-UA" w:eastAsia="ru-RU"/>
              </w:rPr>
              <w:t>9.3. Платіж за відшкодування гарантованому покупцю частки вартості врегулювання небалансу гарантованого покупця в усіх торгових зонах z за розрахунковий місяць m визначається за формулою</w:t>
            </w:r>
          </w:p>
          <w:p w14:paraId="5179B0C3" w14:textId="77777777" w:rsidR="00A844FD" w:rsidRDefault="00A844FD" w:rsidP="00A844FD">
            <w:pPr>
              <w:ind w:firstLine="567"/>
              <w:jc w:val="both"/>
              <w:rPr>
                <w:rFonts w:ascii="Times New Roman" w:eastAsia="Times New Roman" w:hAnsi="Times New Roman" w:cs="Times New Roman"/>
                <w:sz w:val="24"/>
                <w:szCs w:val="24"/>
                <w:lang w:val="uk-UA" w:eastAsia="ru-RU"/>
              </w:rPr>
            </w:pPr>
          </w:p>
          <w:p w14:paraId="2B57965F" w14:textId="18F27182" w:rsidR="00A844FD" w:rsidRPr="000F123D" w:rsidRDefault="00A844FD" w:rsidP="00A844FD">
            <w:pPr>
              <w:jc w:val="center"/>
              <w:rPr>
                <w:sz w:val="24"/>
                <w:szCs w:val="24"/>
                <w:lang w:val="ru-RU"/>
              </w:rPr>
            </w:pPr>
            <w:r w:rsidRPr="00A844FD">
              <w:rPr>
                <w:noProof/>
                <w:sz w:val="24"/>
                <w:szCs w:val="24"/>
                <w:lang w:val="uk-UA"/>
              </w:rPr>
              <w:drawing>
                <wp:inline distT="0" distB="0" distL="0" distR="0" wp14:anchorId="5A30721B" wp14:editId="0F966D79">
                  <wp:extent cx="2736850" cy="401320"/>
                  <wp:effectExtent l="0" t="0" r="0" b="0"/>
                  <wp:docPr id="654" name="Picture 654"/>
                  <wp:cNvGraphicFramePr/>
                  <a:graphic xmlns:a="http://schemas.openxmlformats.org/drawingml/2006/main">
                    <a:graphicData uri="http://schemas.openxmlformats.org/drawingml/2006/picture">
                      <pic:pic xmlns:pic="http://schemas.openxmlformats.org/drawingml/2006/picture">
                        <pic:nvPicPr>
                          <pic:cNvPr id="654" name="Picture 654"/>
                          <pic:cNvPicPr/>
                        </pic:nvPicPr>
                        <pic:blipFill>
                          <a:blip r:embed="rId11"/>
                          <a:stretch>
                            <a:fillRect/>
                          </a:stretch>
                        </pic:blipFill>
                        <pic:spPr>
                          <a:xfrm>
                            <a:off x="0" y="0"/>
                            <a:ext cx="2736850" cy="401320"/>
                          </a:xfrm>
                          <a:prstGeom prst="rect">
                            <a:avLst/>
                          </a:prstGeom>
                        </pic:spPr>
                      </pic:pic>
                    </a:graphicData>
                  </a:graphic>
                </wp:inline>
              </w:drawing>
            </w:r>
            <w:r w:rsidRPr="00A844FD">
              <w:rPr>
                <w:rFonts w:ascii="Times New Roman" w:eastAsia="Times New Roman" w:hAnsi="Times New Roman" w:cs="Times New Roman"/>
                <w:sz w:val="24"/>
                <w:szCs w:val="24"/>
                <w:lang w:val="uk-UA"/>
              </w:rPr>
              <w:t>, (15)</w:t>
            </w:r>
          </w:p>
          <w:p w14:paraId="20CD2A8C" w14:textId="77777777" w:rsidR="00A844FD" w:rsidRPr="00A844FD" w:rsidRDefault="00A844FD" w:rsidP="00A844FD">
            <w:pPr>
              <w:ind w:firstLine="709"/>
              <w:jc w:val="both"/>
              <w:rPr>
                <w:sz w:val="24"/>
                <w:szCs w:val="24"/>
                <w:lang w:val="uk-UA"/>
              </w:rPr>
            </w:pPr>
            <w:r w:rsidRPr="00A844FD">
              <w:rPr>
                <w:rFonts w:ascii="Times New Roman" w:eastAsia="Times New Roman" w:hAnsi="Times New Roman" w:cs="Times New Roman"/>
                <w:sz w:val="24"/>
                <w:szCs w:val="24"/>
                <w:lang w:val="uk-UA"/>
              </w:rPr>
              <w:t>де z – торгова зона, визначена відповідно до Правил ринку, при цьому z</w:t>
            </w:r>
            <w:r w:rsidRPr="00A844FD">
              <w:rPr>
                <w:rFonts w:ascii="Times New Roman" w:eastAsia="Times New Roman" w:hAnsi="Times New Roman" w:cs="Times New Roman"/>
                <w:b/>
                <w:sz w:val="24"/>
                <w:szCs w:val="24"/>
                <w:vertAlign w:val="subscript"/>
                <w:lang w:val="uk-UA"/>
              </w:rPr>
              <w:t>1</w:t>
            </w:r>
            <w:r w:rsidRPr="00A844FD">
              <w:rPr>
                <w:rFonts w:ascii="Times New Roman" w:eastAsia="Times New Roman" w:hAnsi="Times New Roman" w:cs="Times New Roman"/>
                <w:sz w:val="24"/>
                <w:szCs w:val="24"/>
                <w:lang w:val="uk-UA"/>
              </w:rPr>
              <w:t>, z</w:t>
            </w:r>
            <w:r w:rsidRPr="00A844FD">
              <w:rPr>
                <w:rFonts w:ascii="Times New Roman" w:eastAsia="Times New Roman" w:hAnsi="Times New Roman" w:cs="Times New Roman"/>
                <w:b/>
                <w:sz w:val="24"/>
                <w:szCs w:val="24"/>
                <w:vertAlign w:val="subscript"/>
                <w:lang w:val="uk-UA"/>
              </w:rPr>
              <w:t>2</w:t>
            </w:r>
            <w:r w:rsidRPr="00A844FD">
              <w:rPr>
                <w:rFonts w:ascii="Times New Roman" w:eastAsia="Times New Roman" w:hAnsi="Times New Roman" w:cs="Times New Roman"/>
                <w:sz w:val="24"/>
                <w:szCs w:val="24"/>
                <w:lang w:val="uk-UA"/>
              </w:rPr>
              <w:t>, z</w:t>
            </w:r>
            <w:r w:rsidRPr="00A844FD">
              <w:rPr>
                <w:rFonts w:ascii="Times New Roman" w:eastAsia="Times New Roman" w:hAnsi="Times New Roman" w:cs="Times New Roman"/>
                <w:b/>
                <w:sz w:val="24"/>
                <w:szCs w:val="24"/>
                <w:vertAlign w:val="subscript"/>
                <w:lang w:val="uk-UA"/>
              </w:rPr>
              <w:t>3</w:t>
            </w:r>
            <w:r w:rsidRPr="00A844FD">
              <w:rPr>
                <w:rFonts w:ascii="Times New Roman" w:eastAsia="Times New Roman" w:hAnsi="Times New Roman" w:cs="Times New Roman"/>
                <w:sz w:val="24"/>
                <w:szCs w:val="24"/>
                <w:lang w:val="uk-UA"/>
              </w:rPr>
              <w:t xml:space="preserve">….  </w:t>
            </w:r>
            <w:proofErr w:type="spellStart"/>
            <w:r w:rsidRPr="00A844FD">
              <w:rPr>
                <w:rFonts w:ascii="Times New Roman" w:eastAsia="Times New Roman" w:hAnsi="Times New Roman" w:cs="Times New Roman"/>
                <w:sz w:val="24"/>
                <w:szCs w:val="24"/>
                <w:lang w:val="uk-UA"/>
              </w:rPr>
              <w:t>z</w:t>
            </w:r>
            <w:r w:rsidRPr="00A844FD">
              <w:rPr>
                <w:rFonts w:ascii="Times New Roman" w:eastAsia="Times New Roman" w:hAnsi="Times New Roman" w:cs="Times New Roman"/>
                <w:b/>
                <w:sz w:val="24"/>
                <w:szCs w:val="24"/>
                <w:vertAlign w:val="subscript"/>
                <w:lang w:val="uk-UA"/>
              </w:rPr>
              <w:t>n</w:t>
            </w:r>
            <w:proofErr w:type="spellEnd"/>
            <w:r w:rsidRPr="00A844FD">
              <w:rPr>
                <w:rFonts w:ascii="Times New Roman" w:eastAsia="Times New Roman" w:hAnsi="Times New Roman" w:cs="Times New Roman"/>
                <w:sz w:val="24"/>
                <w:szCs w:val="24"/>
                <w:lang w:val="uk-UA"/>
              </w:rPr>
              <w:t xml:space="preserve">  </w:t>
            </w:r>
            <w:r w:rsidRPr="00A844FD">
              <w:rPr>
                <w:rFonts w:ascii="Times New Roman" w:eastAsia="Times New Roman" w:hAnsi="Times New Roman" w:cs="Times New Roman"/>
                <w:sz w:val="24"/>
                <w:szCs w:val="24"/>
                <w:lang w:val="uk-UA"/>
              </w:rPr>
              <w:tab/>
            </w:r>
            <w:r w:rsidRPr="00A844FD">
              <w:rPr>
                <w:rFonts w:ascii="Times New Roman" w:eastAsia="Times New Roman" w:hAnsi="Times New Roman" w:cs="Times New Roman"/>
                <w:i/>
                <w:sz w:val="24"/>
                <w:szCs w:val="24"/>
                <w:lang w:val="uk-UA"/>
              </w:rPr>
              <w:t>є</w:t>
            </w:r>
            <w:r w:rsidRPr="00A844FD">
              <w:rPr>
                <w:rFonts w:ascii="Times New Roman" w:eastAsia="Times New Roman" w:hAnsi="Times New Roman" w:cs="Times New Roman"/>
                <w:sz w:val="24"/>
                <w:szCs w:val="24"/>
                <w:lang w:val="uk-UA"/>
              </w:rPr>
              <w:t xml:space="preserve"> Z.</w:t>
            </w:r>
          </w:p>
          <w:p w14:paraId="3E0697D7" w14:textId="77777777" w:rsidR="00A844FD" w:rsidRDefault="00A844FD" w:rsidP="00A844FD">
            <w:pPr>
              <w:ind w:firstLine="567"/>
              <w:jc w:val="both"/>
              <w:rPr>
                <w:rFonts w:ascii="Times New Roman" w:eastAsia="Times New Roman" w:hAnsi="Times New Roman" w:cs="Times New Roman"/>
                <w:sz w:val="24"/>
                <w:szCs w:val="24"/>
                <w:lang w:val="uk-UA" w:eastAsia="ru-RU"/>
              </w:rPr>
            </w:pPr>
          </w:p>
          <w:p w14:paraId="147C4B39" w14:textId="6E65F4F2" w:rsidR="00A844FD" w:rsidRPr="00A844FD" w:rsidRDefault="00A844FD" w:rsidP="00A844FD">
            <w:pPr>
              <w:ind w:firstLine="567"/>
              <w:jc w:val="both"/>
              <w:rPr>
                <w:rFonts w:ascii="Times New Roman" w:eastAsia="Times New Roman" w:hAnsi="Times New Roman" w:cs="Times New Roman"/>
                <w:sz w:val="24"/>
                <w:szCs w:val="24"/>
                <w:lang w:val="uk-UA" w:eastAsia="ru-RU"/>
              </w:rPr>
            </w:pPr>
            <w:r w:rsidRPr="00A844FD">
              <w:rPr>
                <w:rFonts w:ascii="Times New Roman" w:eastAsia="Times New Roman" w:hAnsi="Times New Roman" w:cs="Times New Roman"/>
                <w:sz w:val="24"/>
                <w:szCs w:val="24"/>
                <w:lang w:val="uk-UA" w:eastAsia="ru-RU"/>
              </w:rPr>
              <w:t xml:space="preserve">У випадку отримання оновлених даних комерційного обліку по генеруючих одиницях продавця або споживача за </w:t>
            </w:r>
            <w:r>
              <w:rPr>
                <w:rFonts w:ascii="Times New Roman" w:eastAsia="Times New Roman" w:hAnsi="Times New Roman" w:cs="Times New Roman"/>
                <w:sz w:val="24"/>
                <w:szCs w:val="24"/>
                <w:lang w:val="uk-UA" w:eastAsia="ru-RU"/>
              </w:rPr>
              <w:t>«</w:t>
            </w:r>
            <w:r w:rsidRPr="00A844FD">
              <w:rPr>
                <w:rFonts w:ascii="Times New Roman" w:eastAsia="Times New Roman" w:hAnsi="Times New Roman" w:cs="Times New Roman"/>
                <w:sz w:val="24"/>
                <w:szCs w:val="24"/>
                <w:lang w:val="uk-UA" w:eastAsia="ru-RU"/>
              </w:rPr>
              <w:t>зеленим</w:t>
            </w:r>
            <w:r>
              <w:rPr>
                <w:rFonts w:ascii="Times New Roman" w:eastAsia="Times New Roman" w:hAnsi="Times New Roman" w:cs="Times New Roman"/>
                <w:sz w:val="24"/>
                <w:szCs w:val="24"/>
                <w:lang w:val="uk-UA" w:eastAsia="ru-RU"/>
              </w:rPr>
              <w:t>»</w:t>
            </w:r>
            <w:r w:rsidRPr="00A844FD">
              <w:rPr>
                <w:rFonts w:ascii="Times New Roman" w:eastAsia="Times New Roman" w:hAnsi="Times New Roman" w:cs="Times New Roman"/>
                <w:sz w:val="24"/>
                <w:szCs w:val="24"/>
                <w:lang w:val="uk-UA" w:eastAsia="ru-RU"/>
              </w:rPr>
              <w:t xml:space="preserve"> тарифом p, що входять до балансуючої групи гарантованого покупця, розрахунок платежу за відшкодування гарантованому покупцю частки вартості врегулювання небалансу гарантованого покупця в усіх торгових зонах за розрахунковий місяць здійснюється з урахуванням таких даних.</w:t>
            </w:r>
          </w:p>
          <w:p w14:paraId="7F5E990D" w14:textId="77777777" w:rsidR="00A844FD" w:rsidRPr="00A844FD" w:rsidRDefault="00A844FD" w:rsidP="00A844FD">
            <w:pPr>
              <w:ind w:firstLine="567"/>
              <w:jc w:val="both"/>
              <w:rPr>
                <w:rFonts w:ascii="Times New Roman" w:eastAsia="Times New Roman" w:hAnsi="Times New Roman" w:cs="Times New Roman"/>
                <w:sz w:val="24"/>
                <w:szCs w:val="24"/>
                <w:lang w:val="uk-UA" w:eastAsia="ru-RU"/>
              </w:rPr>
            </w:pPr>
          </w:p>
          <w:p w14:paraId="6B9254BC" w14:textId="60356331" w:rsidR="00AB06C6" w:rsidRPr="00FC5C04" w:rsidRDefault="00A844FD" w:rsidP="00A844FD">
            <w:pPr>
              <w:tabs>
                <w:tab w:val="left" w:pos="5812"/>
              </w:tabs>
              <w:ind w:firstLine="567"/>
              <w:jc w:val="both"/>
              <w:rPr>
                <w:rFonts w:ascii="Times New Roman" w:hAnsi="Times New Roman" w:cs="Times New Roman"/>
                <w:sz w:val="24"/>
                <w:szCs w:val="24"/>
                <w:lang w:val="uk-UA"/>
              </w:rPr>
            </w:pPr>
            <w:r w:rsidRPr="00A844FD">
              <w:rPr>
                <w:rFonts w:ascii="Times New Roman" w:eastAsia="Times New Roman" w:hAnsi="Times New Roman" w:cs="Times New Roman"/>
                <w:sz w:val="24"/>
                <w:szCs w:val="24"/>
                <w:lang w:val="uk-UA" w:eastAsia="ru-RU"/>
              </w:rPr>
              <w:t xml:space="preserve">Коригуючий платіж за відшкодування продавцем або споживачем за </w:t>
            </w:r>
            <w:r>
              <w:rPr>
                <w:rFonts w:ascii="Times New Roman" w:eastAsia="Times New Roman" w:hAnsi="Times New Roman" w:cs="Times New Roman"/>
                <w:sz w:val="24"/>
                <w:szCs w:val="24"/>
                <w:lang w:val="uk-UA" w:eastAsia="ru-RU"/>
              </w:rPr>
              <w:t>«</w:t>
            </w:r>
            <w:r w:rsidRPr="00A844FD">
              <w:rPr>
                <w:rFonts w:ascii="Times New Roman" w:eastAsia="Times New Roman" w:hAnsi="Times New Roman" w:cs="Times New Roman"/>
                <w:sz w:val="24"/>
                <w:szCs w:val="24"/>
                <w:lang w:val="uk-UA" w:eastAsia="ru-RU"/>
              </w:rPr>
              <w:t>зеленим</w:t>
            </w:r>
            <w:r>
              <w:rPr>
                <w:rFonts w:ascii="Times New Roman" w:eastAsia="Times New Roman" w:hAnsi="Times New Roman" w:cs="Times New Roman"/>
                <w:sz w:val="24"/>
                <w:szCs w:val="24"/>
                <w:lang w:val="uk-UA" w:eastAsia="ru-RU"/>
              </w:rPr>
              <w:t>»</w:t>
            </w:r>
            <w:r w:rsidRPr="00A844FD">
              <w:rPr>
                <w:rFonts w:ascii="Times New Roman" w:eastAsia="Times New Roman" w:hAnsi="Times New Roman" w:cs="Times New Roman"/>
                <w:sz w:val="24"/>
                <w:szCs w:val="24"/>
                <w:lang w:val="uk-UA" w:eastAsia="ru-RU"/>
              </w:rPr>
              <w:t xml:space="preserve"> тарифом p, що входять до балансуючої групи гарантованого покупця, гарантованому покупцю частки вартості врегулювання небалансу гарантованого покупця визначається як арифметична різниця між платежем за відшкодування продавцем або споживачем за "зеленим" тарифом p, що входять до балансуючої групи гарантованого покупця, гарантованому покупцю частки вартості врегулювання небалансу гарантованого покупця в усіх торгових зонах за розрахунковий місяць, що розрахований на підставі оновлених даних комерційного обліку по генеруючих одиницях продавця або споживача за </w:t>
            </w:r>
            <w:r>
              <w:rPr>
                <w:rFonts w:ascii="Times New Roman" w:eastAsia="Times New Roman" w:hAnsi="Times New Roman" w:cs="Times New Roman"/>
                <w:sz w:val="24"/>
                <w:szCs w:val="24"/>
                <w:lang w:val="uk-UA" w:eastAsia="ru-RU"/>
              </w:rPr>
              <w:t>«</w:t>
            </w:r>
            <w:r w:rsidRPr="00A844FD">
              <w:rPr>
                <w:rFonts w:ascii="Times New Roman" w:eastAsia="Times New Roman" w:hAnsi="Times New Roman" w:cs="Times New Roman"/>
                <w:sz w:val="24"/>
                <w:szCs w:val="24"/>
                <w:lang w:val="uk-UA" w:eastAsia="ru-RU"/>
              </w:rPr>
              <w:t>зеленим</w:t>
            </w:r>
            <w:r>
              <w:rPr>
                <w:rFonts w:ascii="Times New Roman" w:eastAsia="Times New Roman" w:hAnsi="Times New Roman" w:cs="Times New Roman"/>
                <w:sz w:val="24"/>
                <w:szCs w:val="24"/>
                <w:lang w:val="uk-UA" w:eastAsia="ru-RU"/>
              </w:rPr>
              <w:t>»</w:t>
            </w:r>
            <w:r w:rsidRPr="00A844FD">
              <w:rPr>
                <w:rFonts w:ascii="Times New Roman" w:eastAsia="Times New Roman" w:hAnsi="Times New Roman" w:cs="Times New Roman"/>
                <w:sz w:val="24"/>
                <w:szCs w:val="24"/>
                <w:lang w:val="uk-UA" w:eastAsia="ru-RU"/>
              </w:rPr>
              <w:t xml:space="preserve"> тарифом, що входять до балансуючої групи гарантованого покупця, та платежем за відшкодування продавцем або споживачем за </w:t>
            </w:r>
            <w:r>
              <w:rPr>
                <w:rFonts w:ascii="Times New Roman" w:eastAsia="Times New Roman" w:hAnsi="Times New Roman" w:cs="Times New Roman"/>
                <w:sz w:val="24"/>
                <w:szCs w:val="24"/>
                <w:lang w:val="uk-UA" w:eastAsia="ru-RU"/>
              </w:rPr>
              <w:t>«</w:t>
            </w:r>
            <w:r w:rsidRPr="00A844FD">
              <w:rPr>
                <w:rFonts w:ascii="Times New Roman" w:eastAsia="Times New Roman" w:hAnsi="Times New Roman" w:cs="Times New Roman"/>
                <w:sz w:val="24"/>
                <w:szCs w:val="24"/>
                <w:lang w:val="uk-UA" w:eastAsia="ru-RU"/>
              </w:rPr>
              <w:t>зеленим</w:t>
            </w:r>
            <w:r>
              <w:rPr>
                <w:rFonts w:ascii="Times New Roman" w:eastAsia="Times New Roman" w:hAnsi="Times New Roman" w:cs="Times New Roman"/>
                <w:sz w:val="24"/>
                <w:szCs w:val="24"/>
                <w:lang w:val="uk-UA" w:eastAsia="ru-RU"/>
              </w:rPr>
              <w:t>»</w:t>
            </w:r>
            <w:r w:rsidRPr="00A844FD">
              <w:rPr>
                <w:rFonts w:ascii="Times New Roman" w:eastAsia="Times New Roman" w:hAnsi="Times New Roman" w:cs="Times New Roman"/>
                <w:sz w:val="24"/>
                <w:szCs w:val="24"/>
                <w:lang w:val="uk-UA" w:eastAsia="ru-RU"/>
              </w:rPr>
              <w:t xml:space="preserve"> тарифом p, що входять до балансуючої групи гарантованого покупця, гарантованому покупцю частки вартості врегулювання небалансу гарантованого покупця в усіх торгових зонах за розрахунковий місяць, що розрахований на </w:t>
            </w:r>
            <w:r w:rsidRPr="00A844FD">
              <w:rPr>
                <w:rFonts w:ascii="Times New Roman" w:eastAsia="Times New Roman" w:hAnsi="Times New Roman" w:cs="Times New Roman"/>
                <w:sz w:val="24"/>
                <w:szCs w:val="24"/>
                <w:lang w:val="uk-UA" w:eastAsia="ru-RU"/>
              </w:rPr>
              <w:lastRenderedPageBreak/>
              <w:t xml:space="preserve">підставі попередніх даних комерційного обліку по генеруючих одиницях продавця або споживача за </w:t>
            </w:r>
            <w:r>
              <w:rPr>
                <w:rFonts w:ascii="Times New Roman" w:eastAsia="Times New Roman" w:hAnsi="Times New Roman" w:cs="Times New Roman"/>
                <w:sz w:val="24"/>
                <w:szCs w:val="24"/>
                <w:lang w:val="uk-UA" w:eastAsia="ru-RU"/>
              </w:rPr>
              <w:t>«</w:t>
            </w:r>
            <w:r w:rsidRPr="00A844FD">
              <w:rPr>
                <w:rFonts w:ascii="Times New Roman" w:eastAsia="Times New Roman" w:hAnsi="Times New Roman" w:cs="Times New Roman"/>
                <w:sz w:val="24"/>
                <w:szCs w:val="24"/>
                <w:lang w:val="uk-UA" w:eastAsia="ru-RU"/>
              </w:rPr>
              <w:t>зеленим</w:t>
            </w:r>
            <w:r>
              <w:rPr>
                <w:rFonts w:ascii="Times New Roman" w:eastAsia="Times New Roman" w:hAnsi="Times New Roman" w:cs="Times New Roman"/>
                <w:sz w:val="24"/>
                <w:szCs w:val="24"/>
                <w:lang w:val="uk-UA" w:eastAsia="ru-RU"/>
              </w:rPr>
              <w:t>»</w:t>
            </w:r>
            <w:r w:rsidRPr="00A844FD">
              <w:rPr>
                <w:rFonts w:ascii="Times New Roman" w:eastAsia="Times New Roman" w:hAnsi="Times New Roman" w:cs="Times New Roman"/>
                <w:sz w:val="24"/>
                <w:szCs w:val="24"/>
                <w:lang w:val="uk-UA" w:eastAsia="ru-RU"/>
              </w:rPr>
              <w:t xml:space="preserve"> тарифом, що входять до балансуючої групи гарантованого покупця.</w:t>
            </w:r>
          </w:p>
        </w:tc>
        <w:tc>
          <w:tcPr>
            <w:tcW w:w="2469" w:type="pct"/>
          </w:tcPr>
          <w:p w14:paraId="65E9BC7D" w14:textId="77777777" w:rsidR="0043379A" w:rsidRPr="0043379A" w:rsidRDefault="0043379A" w:rsidP="0043379A">
            <w:pPr>
              <w:ind w:firstLine="601"/>
              <w:jc w:val="both"/>
              <w:rPr>
                <w:sz w:val="24"/>
                <w:szCs w:val="24"/>
                <w:lang w:val="uk-UA"/>
              </w:rPr>
            </w:pPr>
            <w:r w:rsidRPr="0043379A">
              <w:rPr>
                <w:rFonts w:ascii="Times New Roman" w:eastAsia="Times New Roman" w:hAnsi="Times New Roman" w:cs="Times New Roman"/>
                <w:sz w:val="24"/>
                <w:szCs w:val="24"/>
                <w:lang w:val="uk-UA"/>
              </w:rPr>
              <w:lastRenderedPageBreak/>
              <w:t xml:space="preserve">9.3. </w:t>
            </w:r>
            <w:r w:rsidRPr="0043379A">
              <w:rPr>
                <w:rFonts w:ascii="Times New Roman" w:eastAsia="Times New Roman" w:hAnsi="Times New Roman" w:cs="Times New Roman"/>
                <w:color w:val="333333"/>
                <w:sz w:val="24"/>
                <w:szCs w:val="24"/>
                <w:lang w:val="uk-UA"/>
              </w:rPr>
              <w:t>Платіж за відшкодування гарантованому покупцю частки вартості врегулювання небалансу гарантованого покупця в усіх торгових зонах z за розрахунковий місяць m визначається за формулою</w:t>
            </w:r>
          </w:p>
          <w:p w14:paraId="52F0F927" w14:textId="77777777" w:rsidR="0043379A" w:rsidRPr="0043379A" w:rsidRDefault="0043379A" w:rsidP="0043379A">
            <w:pPr>
              <w:jc w:val="center"/>
              <w:rPr>
                <w:sz w:val="24"/>
                <w:szCs w:val="24"/>
                <w:lang w:val="ru-RU"/>
              </w:rPr>
            </w:pPr>
            <w:r w:rsidRPr="0043379A">
              <w:rPr>
                <w:noProof/>
                <w:sz w:val="24"/>
                <w:szCs w:val="24"/>
                <w:lang w:val="uk-UA"/>
              </w:rPr>
              <w:drawing>
                <wp:inline distT="0" distB="0" distL="0" distR="0" wp14:anchorId="4C095E27" wp14:editId="1E6DEA97">
                  <wp:extent cx="2736850" cy="401320"/>
                  <wp:effectExtent l="0" t="0" r="0" b="0"/>
                  <wp:docPr id="2" name="Picture 654"/>
                  <wp:cNvGraphicFramePr/>
                  <a:graphic xmlns:a="http://schemas.openxmlformats.org/drawingml/2006/main">
                    <a:graphicData uri="http://schemas.openxmlformats.org/drawingml/2006/picture">
                      <pic:pic xmlns:pic="http://schemas.openxmlformats.org/drawingml/2006/picture">
                        <pic:nvPicPr>
                          <pic:cNvPr id="654" name="Picture 654"/>
                          <pic:cNvPicPr/>
                        </pic:nvPicPr>
                        <pic:blipFill>
                          <a:blip r:embed="rId11"/>
                          <a:stretch>
                            <a:fillRect/>
                          </a:stretch>
                        </pic:blipFill>
                        <pic:spPr>
                          <a:xfrm>
                            <a:off x="0" y="0"/>
                            <a:ext cx="2736850" cy="401320"/>
                          </a:xfrm>
                          <a:prstGeom prst="rect">
                            <a:avLst/>
                          </a:prstGeom>
                        </pic:spPr>
                      </pic:pic>
                    </a:graphicData>
                  </a:graphic>
                </wp:inline>
              </w:drawing>
            </w:r>
            <w:r w:rsidRPr="0043379A">
              <w:rPr>
                <w:rFonts w:ascii="Times New Roman" w:eastAsia="Times New Roman" w:hAnsi="Times New Roman" w:cs="Times New Roman"/>
                <w:sz w:val="24"/>
                <w:szCs w:val="24"/>
                <w:lang w:val="uk-UA"/>
              </w:rPr>
              <w:t xml:space="preserve">, (15) </w:t>
            </w:r>
          </w:p>
          <w:p w14:paraId="01931CAC" w14:textId="3E950E53" w:rsidR="0043379A" w:rsidRDefault="0043379A" w:rsidP="0043379A">
            <w:pPr>
              <w:ind w:firstLine="709"/>
              <w:jc w:val="both"/>
              <w:rPr>
                <w:rFonts w:ascii="Times New Roman" w:eastAsia="Times New Roman" w:hAnsi="Times New Roman" w:cs="Times New Roman"/>
                <w:sz w:val="24"/>
                <w:szCs w:val="24"/>
                <w:lang w:val="uk-UA"/>
              </w:rPr>
            </w:pPr>
            <w:r w:rsidRPr="0043379A">
              <w:rPr>
                <w:rFonts w:ascii="Times New Roman" w:eastAsia="Times New Roman" w:hAnsi="Times New Roman" w:cs="Times New Roman"/>
                <w:sz w:val="24"/>
                <w:szCs w:val="24"/>
                <w:lang w:val="uk-UA"/>
              </w:rPr>
              <w:t>де z – торгова зона, визначена відповідно до Правил ринку, при цьому z</w:t>
            </w:r>
            <w:r w:rsidRPr="0043379A">
              <w:rPr>
                <w:rFonts w:ascii="Times New Roman" w:eastAsia="Times New Roman" w:hAnsi="Times New Roman" w:cs="Times New Roman"/>
                <w:b/>
                <w:sz w:val="24"/>
                <w:szCs w:val="24"/>
                <w:vertAlign w:val="subscript"/>
                <w:lang w:val="uk-UA"/>
              </w:rPr>
              <w:t>1</w:t>
            </w:r>
            <w:r w:rsidRPr="0043379A">
              <w:rPr>
                <w:rFonts w:ascii="Times New Roman" w:eastAsia="Times New Roman" w:hAnsi="Times New Roman" w:cs="Times New Roman"/>
                <w:sz w:val="24"/>
                <w:szCs w:val="24"/>
                <w:lang w:val="uk-UA"/>
              </w:rPr>
              <w:t>, z</w:t>
            </w:r>
            <w:r w:rsidRPr="0043379A">
              <w:rPr>
                <w:rFonts w:ascii="Times New Roman" w:eastAsia="Times New Roman" w:hAnsi="Times New Roman" w:cs="Times New Roman"/>
                <w:b/>
                <w:sz w:val="24"/>
                <w:szCs w:val="24"/>
                <w:vertAlign w:val="subscript"/>
                <w:lang w:val="uk-UA"/>
              </w:rPr>
              <w:t>2</w:t>
            </w:r>
            <w:r w:rsidRPr="0043379A">
              <w:rPr>
                <w:rFonts w:ascii="Times New Roman" w:eastAsia="Times New Roman" w:hAnsi="Times New Roman" w:cs="Times New Roman"/>
                <w:sz w:val="24"/>
                <w:szCs w:val="24"/>
                <w:lang w:val="uk-UA"/>
              </w:rPr>
              <w:t>, z</w:t>
            </w:r>
            <w:r w:rsidRPr="0043379A">
              <w:rPr>
                <w:rFonts w:ascii="Times New Roman" w:eastAsia="Times New Roman" w:hAnsi="Times New Roman" w:cs="Times New Roman"/>
                <w:b/>
                <w:sz w:val="24"/>
                <w:szCs w:val="24"/>
                <w:vertAlign w:val="subscript"/>
                <w:lang w:val="uk-UA"/>
              </w:rPr>
              <w:t>3</w:t>
            </w:r>
            <w:r w:rsidRPr="0043379A">
              <w:rPr>
                <w:rFonts w:ascii="Times New Roman" w:eastAsia="Times New Roman" w:hAnsi="Times New Roman" w:cs="Times New Roman"/>
                <w:sz w:val="24"/>
                <w:szCs w:val="24"/>
                <w:lang w:val="uk-UA"/>
              </w:rPr>
              <w:t xml:space="preserve">….  </w:t>
            </w:r>
            <w:proofErr w:type="spellStart"/>
            <w:r w:rsidRPr="0043379A">
              <w:rPr>
                <w:rFonts w:ascii="Times New Roman" w:eastAsia="Times New Roman" w:hAnsi="Times New Roman" w:cs="Times New Roman"/>
                <w:sz w:val="24"/>
                <w:szCs w:val="24"/>
                <w:lang w:val="uk-UA"/>
              </w:rPr>
              <w:t>z</w:t>
            </w:r>
            <w:r w:rsidRPr="0043379A">
              <w:rPr>
                <w:rFonts w:ascii="Times New Roman" w:eastAsia="Times New Roman" w:hAnsi="Times New Roman" w:cs="Times New Roman"/>
                <w:b/>
                <w:sz w:val="24"/>
                <w:szCs w:val="24"/>
                <w:vertAlign w:val="subscript"/>
                <w:lang w:val="uk-UA"/>
              </w:rPr>
              <w:t>n</w:t>
            </w:r>
            <w:proofErr w:type="spellEnd"/>
            <w:r w:rsidRPr="0043379A">
              <w:rPr>
                <w:rFonts w:ascii="Times New Roman" w:eastAsia="Times New Roman" w:hAnsi="Times New Roman" w:cs="Times New Roman"/>
                <w:sz w:val="24"/>
                <w:szCs w:val="24"/>
                <w:lang w:val="uk-UA"/>
              </w:rPr>
              <w:t xml:space="preserve">  </w:t>
            </w:r>
            <w:r w:rsidRPr="0043379A">
              <w:rPr>
                <w:rFonts w:ascii="Times New Roman" w:eastAsia="Times New Roman" w:hAnsi="Times New Roman" w:cs="Times New Roman"/>
                <w:sz w:val="24"/>
                <w:szCs w:val="24"/>
                <w:lang w:val="uk-UA"/>
              </w:rPr>
              <w:tab/>
            </w:r>
            <w:r w:rsidRPr="0043379A">
              <w:rPr>
                <w:rFonts w:ascii="Times New Roman" w:eastAsia="Times New Roman" w:hAnsi="Times New Roman" w:cs="Times New Roman"/>
                <w:i/>
                <w:sz w:val="24"/>
                <w:szCs w:val="24"/>
                <w:lang w:val="uk-UA"/>
              </w:rPr>
              <w:t>є</w:t>
            </w:r>
            <w:r w:rsidRPr="0043379A">
              <w:rPr>
                <w:rFonts w:ascii="Times New Roman" w:eastAsia="Times New Roman" w:hAnsi="Times New Roman" w:cs="Times New Roman"/>
                <w:sz w:val="24"/>
                <w:szCs w:val="24"/>
                <w:lang w:val="uk-UA"/>
              </w:rPr>
              <w:t xml:space="preserve"> Z.</w:t>
            </w:r>
          </w:p>
          <w:p w14:paraId="7753531A" w14:textId="77777777" w:rsidR="0043379A" w:rsidRPr="0043379A" w:rsidRDefault="0043379A" w:rsidP="0043379A">
            <w:pPr>
              <w:ind w:firstLine="709"/>
              <w:jc w:val="both"/>
              <w:rPr>
                <w:rFonts w:ascii="Times New Roman" w:hAnsi="Times New Roman" w:cs="Times New Roman"/>
                <w:sz w:val="24"/>
                <w:szCs w:val="24"/>
                <w:lang w:val="uk-UA"/>
              </w:rPr>
            </w:pPr>
          </w:p>
          <w:p w14:paraId="03BF9B40" w14:textId="0C3BE9B9" w:rsidR="0043379A" w:rsidRPr="0034169D" w:rsidRDefault="0043379A" w:rsidP="0043379A">
            <w:pPr>
              <w:ind w:firstLine="709"/>
              <w:jc w:val="both"/>
              <w:rPr>
                <w:rFonts w:ascii="Times New Roman" w:eastAsia="Times New Roman" w:hAnsi="Times New Roman" w:cs="Times New Roman"/>
                <w:b/>
                <w:sz w:val="24"/>
                <w:szCs w:val="24"/>
                <w:lang w:val="uk-UA"/>
              </w:rPr>
            </w:pPr>
            <w:r w:rsidRPr="0043379A">
              <w:rPr>
                <w:rFonts w:ascii="Times New Roman" w:eastAsia="Times New Roman" w:hAnsi="Times New Roman" w:cs="Times New Roman"/>
                <w:sz w:val="24"/>
                <w:szCs w:val="24"/>
                <w:lang w:val="uk-UA"/>
              </w:rPr>
              <w:t xml:space="preserve">У випадку отримання оновлених даних комерційного обліку по генеруючих одиницях продавця або споживача за «зеленим» тарифом p, що входять до балансуючої групи гарантованого покупця, </w:t>
            </w:r>
            <w:r w:rsidR="0034169D" w:rsidRPr="0034169D">
              <w:rPr>
                <w:rFonts w:ascii="Times New Roman" w:eastAsia="Times New Roman" w:hAnsi="Times New Roman" w:cs="Times New Roman"/>
                <w:strike/>
                <w:sz w:val="24"/>
                <w:szCs w:val="24"/>
                <w:lang w:val="uk-UA" w:eastAsia="ru-RU"/>
              </w:rPr>
              <w:t>розрахунок платежу за відшкодування гарантованому покупцю частки вартості врегулювання небалансу гарантованого покупця в усіх торгових зонах за розрахунковий місяць здійснюється з урахуванням таких даних</w:t>
            </w:r>
            <w:r w:rsidR="0034169D">
              <w:rPr>
                <w:rFonts w:ascii="Times New Roman" w:eastAsia="Times New Roman" w:hAnsi="Times New Roman" w:cs="Times New Roman"/>
                <w:sz w:val="24"/>
                <w:szCs w:val="24"/>
                <w:lang w:val="uk-UA" w:eastAsia="ru-RU"/>
              </w:rPr>
              <w:t xml:space="preserve"> </w:t>
            </w:r>
            <w:r w:rsidRPr="0034169D">
              <w:rPr>
                <w:rFonts w:ascii="Times New Roman" w:eastAsia="Times New Roman" w:hAnsi="Times New Roman" w:cs="Times New Roman"/>
                <w:b/>
                <w:sz w:val="24"/>
                <w:szCs w:val="24"/>
                <w:lang w:val="uk-UA"/>
              </w:rPr>
              <w:t>та/або у випадку отримання від ОСП оновлених даних щодо погодинних обсягів не</w:t>
            </w:r>
            <w:r w:rsidR="004029B5">
              <w:rPr>
                <w:rFonts w:ascii="Times New Roman" w:eastAsia="Times New Roman" w:hAnsi="Times New Roman" w:cs="Times New Roman"/>
                <w:b/>
                <w:sz w:val="24"/>
                <w:szCs w:val="24"/>
                <w:lang w:val="uk-UA"/>
              </w:rPr>
              <w:t xml:space="preserve"> </w:t>
            </w:r>
            <w:r w:rsidRPr="0034169D">
              <w:rPr>
                <w:rFonts w:ascii="Times New Roman" w:eastAsia="Times New Roman" w:hAnsi="Times New Roman" w:cs="Times New Roman"/>
                <w:b/>
                <w:sz w:val="24"/>
                <w:szCs w:val="24"/>
                <w:lang w:val="uk-UA"/>
              </w:rPr>
              <w:t>відпущеної електричної енергії генеруючими одиницями продавців у результаті виконання команд ОСП на зменшення навантаження здійснюється перерахунок обсягу відшкодування з урахуванням таких даних.</w:t>
            </w:r>
          </w:p>
          <w:p w14:paraId="4E40FF61" w14:textId="77777777" w:rsidR="0043379A" w:rsidRPr="0043379A" w:rsidRDefault="0043379A" w:rsidP="0043379A">
            <w:pPr>
              <w:ind w:firstLine="709"/>
              <w:jc w:val="both"/>
              <w:rPr>
                <w:rFonts w:ascii="Times New Roman" w:eastAsia="Times New Roman" w:hAnsi="Times New Roman" w:cs="Times New Roman"/>
                <w:sz w:val="24"/>
                <w:szCs w:val="24"/>
                <w:lang w:val="uk-UA"/>
              </w:rPr>
            </w:pPr>
          </w:p>
          <w:p w14:paraId="68B90E95" w14:textId="2879C664" w:rsidR="00AB06C6" w:rsidRPr="0043379A" w:rsidRDefault="0043379A" w:rsidP="0043379A">
            <w:pPr>
              <w:ind w:firstLine="709"/>
              <w:jc w:val="both"/>
              <w:rPr>
                <w:rFonts w:ascii="Times New Roman" w:hAnsi="Times New Roman" w:cs="Times New Roman"/>
                <w:bCs/>
                <w:sz w:val="24"/>
                <w:szCs w:val="24"/>
                <w:lang w:val="uk-UA"/>
              </w:rPr>
            </w:pPr>
            <w:r w:rsidRPr="0043379A">
              <w:rPr>
                <w:rFonts w:ascii="Times New Roman" w:hAnsi="Times New Roman" w:cs="Times New Roman"/>
                <w:sz w:val="24"/>
                <w:szCs w:val="24"/>
                <w:lang w:val="uk-UA"/>
              </w:rPr>
              <w:t xml:space="preserve">Коригуючий платіж за відшкодування продавцем або споживачем за «зеленим» тарифом p, що входять до балансуючої групи гарантованого покупця, гарантованому покупцю частки вартості врегулювання небалансу гарантованого покупця визначається як арифметична різниця між платежем за відшкодування продавцем або споживачем за «зеленим» тарифом p, що входять до балансуючої групи гарантованого покупця, гарантованому покупцю частки вартості врегулювання небалансу гарантованого покупця в усіх торгових зонах за розрахунковий місяць, що розрахований на підставі оновлених даних комерційного обліку по генеруючих одиницях продавця або споживача за «зеленим» тарифом, що входять до балансуючої групи гарантованого </w:t>
            </w:r>
            <w:r w:rsidRPr="0043379A">
              <w:rPr>
                <w:rFonts w:ascii="Times New Roman" w:hAnsi="Times New Roman" w:cs="Times New Roman"/>
                <w:sz w:val="24"/>
                <w:szCs w:val="24"/>
                <w:lang w:val="uk-UA"/>
              </w:rPr>
              <w:lastRenderedPageBreak/>
              <w:t>покупця</w:t>
            </w:r>
            <w:r w:rsidRPr="0034169D">
              <w:rPr>
                <w:rFonts w:ascii="Times New Roman" w:hAnsi="Times New Roman" w:cs="Times New Roman"/>
                <w:b/>
                <w:sz w:val="24"/>
                <w:szCs w:val="24"/>
                <w:lang w:val="uk-UA"/>
              </w:rPr>
              <w:t>, та/або оновлених даних щодо погодинних обсягів не</w:t>
            </w:r>
            <w:r w:rsidR="004029B5">
              <w:rPr>
                <w:rFonts w:ascii="Times New Roman" w:hAnsi="Times New Roman" w:cs="Times New Roman"/>
                <w:b/>
                <w:sz w:val="24"/>
                <w:szCs w:val="24"/>
                <w:lang w:val="uk-UA"/>
              </w:rPr>
              <w:t xml:space="preserve"> </w:t>
            </w:r>
            <w:r w:rsidRPr="0034169D">
              <w:rPr>
                <w:rFonts w:ascii="Times New Roman" w:hAnsi="Times New Roman" w:cs="Times New Roman"/>
                <w:b/>
                <w:sz w:val="24"/>
                <w:szCs w:val="24"/>
                <w:lang w:val="uk-UA"/>
              </w:rPr>
              <w:t>відпущеної електричної енергії генеруючими одиницями продавців у результаті виконання команд ОСП на зменшення навантаження</w:t>
            </w:r>
            <w:r w:rsidRPr="0043379A">
              <w:rPr>
                <w:rFonts w:ascii="Times New Roman" w:hAnsi="Times New Roman" w:cs="Times New Roman"/>
                <w:sz w:val="24"/>
                <w:szCs w:val="24"/>
                <w:lang w:val="uk-UA"/>
              </w:rPr>
              <w:t xml:space="preserve">, та платежем за відшкодування продавцем або споживачем за «зеленим» тарифом p, що входять до балансуючої групи гарантованого покупця, гарантованому покупцю частки вартості врегулювання небалансу гарантованого покупця в усіх торгових зонах за розрахунковий місяць, що розрахований на підставі попередніх даних комерційного обліку </w:t>
            </w:r>
            <w:r w:rsidRPr="0034169D">
              <w:rPr>
                <w:rFonts w:ascii="Times New Roman" w:hAnsi="Times New Roman" w:cs="Times New Roman"/>
                <w:b/>
                <w:sz w:val="24"/>
                <w:szCs w:val="24"/>
                <w:lang w:val="uk-UA"/>
              </w:rPr>
              <w:t>та/або обсягів не</w:t>
            </w:r>
            <w:r w:rsidR="004029B5">
              <w:rPr>
                <w:rFonts w:ascii="Times New Roman" w:hAnsi="Times New Roman" w:cs="Times New Roman"/>
                <w:b/>
                <w:sz w:val="24"/>
                <w:szCs w:val="24"/>
                <w:lang w:val="uk-UA"/>
              </w:rPr>
              <w:t xml:space="preserve"> </w:t>
            </w:r>
            <w:r w:rsidRPr="0034169D">
              <w:rPr>
                <w:rFonts w:ascii="Times New Roman" w:hAnsi="Times New Roman" w:cs="Times New Roman"/>
                <w:b/>
                <w:sz w:val="24"/>
                <w:szCs w:val="24"/>
                <w:lang w:val="uk-UA"/>
              </w:rPr>
              <w:t>відпущеної електричної енергії генеруючими одиницями продавців у результаті виконання команд ОСП на зменшення навантаження</w:t>
            </w:r>
            <w:r w:rsidRPr="0043379A">
              <w:rPr>
                <w:rFonts w:ascii="Times New Roman" w:hAnsi="Times New Roman" w:cs="Times New Roman"/>
                <w:sz w:val="24"/>
                <w:szCs w:val="24"/>
                <w:lang w:val="uk-UA"/>
              </w:rPr>
              <w:t xml:space="preserve"> по генеруючих одиницях продавця або споживача за «зеленим» тарифом, що входять до балансуючої групи гарантованого покупця.</w:t>
            </w:r>
          </w:p>
        </w:tc>
      </w:tr>
      <w:tr w:rsidR="00FC5C04" w:rsidRPr="004029B5" w14:paraId="5B8B0C61" w14:textId="77777777" w:rsidTr="00E35235">
        <w:tc>
          <w:tcPr>
            <w:tcW w:w="2531" w:type="pct"/>
          </w:tcPr>
          <w:p w14:paraId="4FC549BA" w14:textId="7EAD3811" w:rsidR="00716F89" w:rsidRPr="00716F89" w:rsidRDefault="00716F89" w:rsidP="00716F89">
            <w:pPr>
              <w:ind w:firstLine="567"/>
              <w:jc w:val="both"/>
              <w:rPr>
                <w:rFonts w:ascii="Times New Roman" w:hAnsi="Times New Roman" w:cs="Times New Roman"/>
                <w:sz w:val="24"/>
                <w:szCs w:val="24"/>
                <w:lang w:val="uk-UA"/>
              </w:rPr>
            </w:pPr>
            <w:r w:rsidRPr="00716F89">
              <w:rPr>
                <w:rFonts w:ascii="Times New Roman" w:hAnsi="Times New Roman" w:cs="Times New Roman"/>
                <w:sz w:val="24"/>
                <w:szCs w:val="24"/>
                <w:lang w:val="uk-UA"/>
              </w:rPr>
              <w:lastRenderedPageBreak/>
              <w:t>9.4. ОСП на наступний день після підписання актів приймання-передачі наданих послуг зі зменшення навантаження з продавцями, але не пізніше 15 числа місяця, наступного за розрахунковим, надає гарантованому покупцю підписані КЕП уповноваженої особи погодинні обсяги не</w:t>
            </w:r>
            <w:r w:rsidR="004029B5">
              <w:rPr>
                <w:rFonts w:ascii="Times New Roman" w:hAnsi="Times New Roman" w:cs="Times New Roman"/>
                <w:sz w:val="24"/>
                <w:szCs w:val="24"/>
                <w:lang w:val="uk-UA"/>
              </w:rPr>
              <w:t xml:space="preserve"> </w:t>
            </w:r>
            <w:r w:rsidRPr="00716F89">
              <w:rPr>
                <w:rFonts w:ascii="Times New Roman" w:hAnsi="Times New Roman" w:cs="Times New Roman"/>
                <w:sz w:val="24"/>
                <w:szCs w:val="24"/>
                <w:lang w:val="uk-UA"/>
              </w:rPr>
              <w:t xml:space="preserve">відпущеної електричної енергії генеруючими одиницями продавців у результаті виконання команд ОСП на зменшення навантаження продавців у кожній торговій зоні для кожної генеруючої одиниці (із зазначенням EIC-коду типу W) продавців, що входять до балансуючої групи гарантованого покупця, </w:t>
            </w:r>
            <w:proofErr w:type="spellStart"/>
            <w:r w:rsidR="00447B34" w:rsidRPr="00590AE5">
              <w:rPr>
                <w:rFonts w:ascii="Times New Roman" w:eastAsia="Times New Roman" w:hAnsi="Times New Roman" w:cs="Times New Roman"/>
                <w:sz w:val="24"/>
              </w:rPr>
              <w:t>ΔW</w:t>
            </w:r>
            <w:r w:rsidR="00447B34" w:rsidRPr="00590AE5">
              <w:rPr>
                <w:rFonts w:ascii="Times New Roman" w:eastAsia="Times New Roman" w:hAnsi="Times New Roman" w:cs="Times New Roman"/>
                <w:sz w:val="24"/>
                <w:vertAlign w:val="superscript"/>
              </w:rPr>
              <w:t>e</w:t>
            </w:r>
            <w:r w:rsidR="00447B34" w:rsidRPr="00590AE5">
              <w:rPr>
                <w:rFonts w:ascii="Times New Roman" w:eastAsia="Times New Roman" w:hAnsi="Times New Roman" w:cs="Times New Roman"/>
                <w:sz w:val="24"/>
                <w:vertAlign w:val="subscript"/>
              </w:rPr>
              <w:t>z</w:t>
            </w:r>
            <w:proofErr w:type="spellEnd"/>
            <w:r w:rsidR="00447B34" w:rsidRPr="00590AE5">
              <w:rPr>
                <w:rFonts w:ascii="Times New Roman" w:eastAsia="Times New Roman" w:hAnsi="Times New Roman" w:cs="Times New Roman"/>
                <w:sz w:val="24"/>
                <w:vertAlign w:val="subscript"/>
                <w:lang w:val="uk-UA"/>
              </w:rPr>
              <w:t>,</w:t>
            </w:r>
            <w:r w:rsidR="00447B34">
              <w:rPr>
                <w:rFonts w:ascii="Times New Roman" w:eastAsia="Times New Roman" w:hAnsi="Times New Roman" w:cs="Times New Roman"/>
                <w:sz w:val="24"/>
                <w:vertAlign w:val="subscript"/>
                <w:lang w:val="en-US"/>
              </w:rPr>
              <w:t>e</w:t>
            </w:r>
            <w:r w:rsidR="00447B34" w:rsidRPr="00447B34">
              <w:rPr>
                <w:rFonts w:ascii="Times New Roman" w:eastAsia="Times New Roman" w:hAnsi="Times New Roman" w:cs="Times New Roman"/>
                <w:sz w:val="24"/>
                <w:vertAlign w:val="subscript"/>
                <w:lang w:val="ru-RU"/>
              </w:rPr>
              <w:t>.</w:t>
            </w:r>
            <w:r w:rsidR="00447B34">
              <w:rPr>
                <w:rFonts w:ascii="Times New Roman" w:eastAsia="Times New Roman" w:hAnsi="Times New Roman" w:cs="Times New Roman"/>
                <w:sz w:val="24"/>
                <w:vertAlign w:val="subscript"/>
                <w:lang w:val="en-US"/>
              </w:rPr>
              <w:t>j</w:t>
            </w:r>
            <w:r>
              <w:rPr>
                <w:rFonts w:ascii="Times New Roman" w:hAnsi="Times New Roman" w:cs="Times New Roman"/>
                <w:sz w:val="24"/>
                <w:szCs w:val="24"/>
                <w:lang w:val="uk-UA"/>
              </w:rPr>
              <w:t xml:space="preserve"> </w:t>
            </w:r>
            <w:r w:rsidRPr="00716F89">
              <w:rPr>
                <w:rFonts w:ascii="Times New Roman" w:hAnsi="Times New Roman" w:cs="Times New Roman"/>
                <w:sz w:val="24"/>
                <w:szCs w:val="24"/>
                <w:lang w:val="uk-UA"/>
              </w:rPr>
              <w:t>за розрахунковий місяць.</w:t>
            </w:r>
          </w:p>
          <w:p w14:paraId="5EAA3C62" w14:textId="77777777" w:rsidR="00716F89" w:rsidRPr="00716F89" w:rsidRDefault="00716F89" w:rsidP="00716F89">
            <w:pPr>
              <w:ind w:firstLine="567"/>
              <w:jc w:val="both"/>
              <w:rPr>
                <w:rFonts w:ascii="Times New Roman" w:hAnsi="Times New Roman" w:cs="Times New Roman"/>
                <w:sz w:val="24"/>
                <w:szCs w:val="24"/>
                <w:lang w:val="uk-UA"/>
              </w:rPr>
            </w:pPr>
          </w:p>
          <w:p w14:paraId="37282C62" w14:textId="564CD64A" w:rsidR="00E35235" w:rsidRPr="00FC5C04" w:rsidRDefault="00716F89" w:rsidP="00716F89">
            <w:pPr>
              <w:ind w:firstLine="567"/>
              <w:jc w:val="both"/>
              <w:rPr>
                <w:rFonts w:ascii="Times New Roman" w:hAnsi="Times New Roman" w:cs="Times New Roman"/>
                <w:sz w:val="24"/>
                <w:szCs w:val="24"/>
                <w:lang w:val="uk-UA"/>
              </w:rPr>
            </w:pPr>
            <w:r w:rsidRPr="00716F89">
              <w:rPr>
                <w:rFonts w:ascii="Times New Roman" w:hAnsi="Times New Roman" w:cs="Times New Roman"/>
                <w:sz w:val="24"/>
                <w:szCs w:val="24"/>
                <w:lang w:val="uk-UA"/>
              </w:rPr>
              <w:t>У випадку ненадання ОСП підписаних КЕП уповноваженої особи погодинних обсягів не</w:t>
            </w:r>
            <w:r w:rsidR="004029B5">
              <w:rPr>
                <w:rFonts w:ascii="Times New Roman" w:hAnsi="Times New Roman" w:cs="Times New Roman"/>
                <w:sz w:val="24"/>
                <w:szCs w:val="24"/>
                <w:lang w:val="uk-UA"/>
              </w:rPr>
              <w:t xml:space="preserve"> </w:t>
            </w:r>
            <w:r w:rsidRPr="00716F89">
              <w:rPr>
                <w:rFonts w:ascii="Times New Roman" w:hAnsi="Times New Roman" w:cs="Times New Roman"/>
                <w:sz w:val="24"/>
                <w:szCs w:val="24"/>
                <w:lang w:val="uk-UA"/>
              </w:rPr>
              <w:t xml:space="preserve">відпущеної електричної енергії генеруючими одиницями продавців у результаті виконання команд ОСП на зменшення </w:t>
            </w:r>
            <w:r w:rsidRPr="00716F89">
              <w:rPr>
                <w:rFonts w:ascii="Times New Roman" w:hAnsi="Times New Roman" w:cs="Times New Roman"/>
                <w:sz w:val="24"/>
                <w:szCs w:val="24"/>
                <w:lang w:val="uk-UA"/>
              </w:rPr>
              <w:lastRenderedPageBreak/>
              <w:t xml:space="preserve">навантаження продавців у кожній торговій зоні для кожної генеруючої одиниці (із зазначенням EIC-коду типу W) продавців </w:t>
            </w:r>
            <w:proofErr w:type="spellStart"/>
            <w:r w:rsidR="00447B34" w:rsidRPr="00590AE5">
              <w:rPr>
                <w:rFonts w:ascii="Times New Roman" w:eastAsia="Times New Roman" w:hAnsi="Times New Roman" w:cs="Times New Roman"/>
                <w:sz w:val="24"/>
              </w:rPr>
              <w:t>ΔW</w:t>
            </w:r>
            <w:r w:rsidR="00447B34" w:rsidRPr="00590AE5">
              <w:rPr>
                <w:rFonts w:ascii="Times New Roman" w:eastAsia="Times New Roman" w:hAnsi="Times New Roman" w:cs="Times New Roman"/>
                <w:sz w:val="24"/>
                <w:vertAlign w:val="superscript"/>
              </w:rPr>
              <w:t>e</w:t>
            </w:r>
            <w:r w:rsidR="00447B34" w:rsidRPr="00590AE5">
              <w:rPr>
                <w:rFonts w:ascii="Times New Roman" w:eastAsia="Times New Roman" w:hAnsi="Times New Roman" w:cs="Times New Roman"/>
                <w:sz w:val="24"/>
                <w:vertAlign w:val="subscript"/>
              </w:rPr>
              <w:t>z</w:t>
            </w:r>
            <w:proofErr w:type="spellEnd"/>
            <w:r w:rsidR="00447B34" w:rsidRPr="00590AE5">
              <w:rPr>
                <w:rFonts w:ascii="Times New Roman" w:eastAsia="Times New Roman" w:hAnsi="Times New Roman" w:cs="Times New Roman"/>
                <w:sz w:val="24"/>
                <w:vertAlign w:val="subscript"/>
                <w:lang w:val="uk-UA"/>
              </w:rPr>
              <w:t>,</w:t>
            </w:r>
            <w:r w:rsidR="00447B34">
              <w:rPr>
                <w:rFonts w:ascii="Times New Roman" w:eastAsia="Times New Roman" w:hAnsi="Times New Roman" w:cs="Times New Roman"/>
                <w:sz w:val="24"/>
                <w:vertAlign w:val="subscript"/>
                <w:lang w:val="en-US"/>
              </w:rPr>
              <w:t>e</w:t>
            </w:r>
            <w:r w:rsidR="00447B34" w:rsidRPr="00447B34">
              <w:rPr>
                <w:rFonts w:ascii="Times New Roman" w:eastAsia="Times New Roman" w:hAnsi="Times New Roman" w:cs="Times New Roman"/>
                <w:sz w:val="24"/>
                <w:vertAlign w:val="subscript"/>
                <w:lang w:val="uk-UA"/>
              </w:rPr>
              <w:t>.</w:t>
            </w:r>
            <w:r w:rsidR="00447B34">
              <w:rPr>
                <w:rFonts w:ascii="Times New Roman" w:eastAsia="Times New Roman" w:hAnsi="Times New Roman" w:cs="Times New Roman"/>
                <w:sz w:val="24"/>
                <w:vertAlign w:val="subscript"/>
                <w:lang w:val="en-US"/>
              </w:rPr>
              <w:t>j</w:t>
            </w:r>
            <w:r w:rsidRPr="00716F89">
              <w:rPr>
                <w:rFonts w:ascii="Times New Roman" w:hAnsi="Times New Roman" w:cs="Times New Roman"/>
                <w:sz w:val="24"/>
                <w:szCs w:val="24"/>
                <w:lang w:val="uk-UA"/>
              </w:rPr>
              <w:t>, що входять до балансуючої групи гарантованого покупця, такі дані вважаються рівними нулю.</w:t>
            </w:r>
          </w:p>
        </w:tc>
        <w:tc>
          <w:tcPr>
            <w:tcW w:w="2469" w:type="pct"/>
          </w:tcPr>
          <w:p w14:paraId="73EC9107" w14:textId="62BCC3B7" w:rsidR="00447B34" w:rsidRPr="00447B34" w:rsidRDefault="00447B34" w:rsidP="00447B34">
            <w:pPr>
              <w:ind w:firstLine="709"/>
              <w:jc w:val="both"/>
              <w:rPr>
                <w:rFonts w:ascii="Times New Roman" w:hAnsi="Times New Roman" w:cs="Times New Roman"/>
                <w:sz w:val="24"/>
                <w:szCs w:val="24"/>
                <w:lang w:val="uk-UA"/>
              </w:rPr>
            </w:pPr>
            <w:r w:rsidRPr="00447B34">
              <w:rPr>
                <w:rFonts w:ascii="Times New Roman" w:hAnsi="Times New Roman" w:cs="Times New Roman"/>
                <w:sz w:val="24"/>
                <w:szCs w:val="24"/>
                <w:lang w:val="uk-UA"/>
              </w:rPr>
              <w:lastRenderedPageBreak/>
              <w:t xml:space="preserve">9.4. ОСП </w:t>
            </w:r>
            <w:r w:rsidRPr="00447B34">
              <w:rPr>
                <w:rFonts w:ascii="Times New Roman" w:hAnsi="Times New Roman" w:cs="Times New Roman"/>
                <w:strike/>
                <w:sz w:val="24"/>
                <w:szCs w:val="24"/>
                <w:lang w:val="uk-UA"/>
              </w:rPr>
              <w:t>на наступний день після підписання актів приймання-передачі наданих послуг зі зменшення навантаження з продавцями, але</w:t>
            </w:r>
            <w:r w:rsidRPr="0026473E">
              <w:rPr>
                <w:rFonts w:ascii="Times New Roman" w:hAnsi="Times New Roman" w:cs="Times New Roman"/>
                <w:strike/>
                <w:sz w:val="24"/>
                <w:szCs w:val="24"/>
                <w:lang w:val="uk-UA"/>
              </w:rPr>
              <w:t xml:space="preserve"> </w:t>
            </w:r>
            <w:r w:rsidRPr="0026473E">
              <w:rPr>
                <w:rFonts w:ascii="Times New Roman" w:hAnsi="Times New Roman" w:cs="Times New Roman"/>
                <w:b/>
                <w:sz w:val="24"/>
                <w:szCs w:val="24"/>
                <w:lang w:val="uk-UA"/>
              </w:rPr>
              <w:t>не пізніше робочого дня, що передує</w:t>
            </w:r>
            <w:r w:rsidRPr="00447B34">
              <w:rPr>
                <w:rFonts w:ascii="Times New Roman" w:hAnsi="Times New Roman" w:cs="Times New Roman"/>
                <w:sz w:val="24"/>
                <w:szCs w:val="24"/>
                <w:lang w:val="uk-UA"/>
              </w:rPr>
              <w:t xml:space="preserve"> 15 числу місяця, наступного за розрахунковим, надає гарантованому покупцю підписані КЕП уповноваженої особи погодинні обсяги не</w:t>
            </w:r>
            <w:r w:rsidR="004029B5">
              <w:rPr>
                <w:rFonts w:ascii="Times New Roman" w:hAnsi="Times New Roman" w:cs="Times New Roman"/>
                <w:sz w:val="24"/>
                <w:szCs w:val="24"/>
                <w:lang w:val="uk-UA"/>
              </w:rPr>
              <w:t xml:space="preserve"> </w:t>
            </w:r>
            <w:r w:rsidRPr="00447B34">
              <w:rPr>
                <w:rFonts w:ascii="Times New Roman" w:hAnsi="Times New Roman" w:cs="Times New Roman"/>
                <w:sz w:val="24"/>
                <w:szCs w:val="24"/>
                <w:lang w:val="uk-UA"/>
              </w:rPr>
              <w:t xml:space="preserve">відпущеної електричної енергії генеруючими одиницями продавців у результаті виконання команд ОСП на зменшення навантаження продавців у кожній торговій зоні для кожної генеруючої одиниці (із зазначенням EIC-коду типу W) продавців, що входять до балансуючої групи гарантованого покупця, </w:t>
            </w:r>
            <w:proofErr w:type="spellStart"/>
            <w:r w:rsidR="0026473E" w:rsidRPr="0026473E">
              <w:rPr>
                <w:rFonts w:ascii="Times New Roman" w:eastAsia="Times New Roman" w:hAnsi="Times New Roman" w:cs="Times New Roman"/>
                <w:strike/>
                <w:sz w:val="24"/>
              </w:rPr>
              <w:t>ΔW</w:t>
            </w:r>
            <w:r w:rsidR="0026473E" w:rsidRPr="0026473E">
              <w:rPr>
                <w:rFonts w:ascii="Times New Roman" w:eastAsia="Times New Roman" w:hAnsi="Times New Roman" w:cs="Times New Roman"/>
                <w:strike/>
                <w:sz w:val="24"/>
                <w:vertAlign w:val="superscript"/>
              </w:rPr>
              <w:t>e</w:t>
            </w:r>
            <w:r w:rsidR="0026473E" w:rsidRPr="0026473E">
              <w:rPr>
                <w:rFonts w:ascii="Times New Roman" w:eastAsia="Times New Roman" w:hAnsi="Times New Roman" w:cs="Times New Roman"/>
                <w:strike/>
                <w:sz w:val="24"/>
                <w:vertAlign w:val="subscript"/>
              </w:rPr>
              <w:t>z</w:t>
            </w:r>
            <w:proofErr w:type="spellEnd"/>
            <w:r w:rsidR="0026473E" w:rsidRPr="0026473E">
              <w:rPr>
                <w:rFonts w:ascii="Times New Roman" w:eastAsia="Times New Roman" w:hAnsi="Times New Roman" w:cs="Times New Roman"/>
                <w:strike/>
                <w:sz w:val="24"/>
                <w:vertAlign w:val="subscript"/>
                <w:lang w:val="uk-UA"/>
              </w:rPr>
              <w:t>,</w:t>
            </w:r>
            <w:r w:rsidR="0026473E" w:rsidRPr="0026473E">
              <w:rPr>
                <w:rFonts w:ascii="Times New Roman" w:eastAsia="Times New Roman" w:hAnsi="Times New Roman" w:cs="Times New Roman"/>
                <w:strike/>
                <w:sz w:val="24"/>
                <w:vertAlign w:val="subscript"/>
                <w:lang w:val="en-US"/>
              </w:rPr>
              <w:t>e</w:t>
            </w:r>
            <w:r w:rsidR="0026473E" w:rsidRPr="0026473E">
              <w:rPr>
                <w:rFonts w:ascii="Times New Roman" w:eastAsia="Times New Roman" w:hAnsi="Times New Roman" w:cs="Times New Roman"/>
                <w:strike/>
                <w:sz w:val="24"/>
                <w:vertAlign w:val="subscript"/>
                <w:lang w:val="uk-UA"/>
              </w:rPr>
              <w:t>.</w:t>
            </w:r>
            <w:r w:rsidR="0026473E" w:rsidRPr="0026473E">
              <w:rPr>
                <w:rFonts w:ascii="Times New Roman" w:eastAsia="Times New Roman" w:hAnsi="Times New Roman" w:cs="Times New Roman"/>
                <w:strike/>
                <w:sz w:val="24"/>
                <w:vertAlign w:val="subscript"/>
                <w:lang w:val="en-US"/>
              </w:rPr>
              <w:t>j</w:t>
            </w:r>
            <w:r w:rsidR="0026473E" w:rsidRPr="0026473E">
              <w:rPr>
                <w:rFonts w:ascii="Times New Roman" w:eastAsia="Times New Roman" w:hAnsi="Times New Roman" w:cs="Times New Roman"/>
                <w:sz w:val="24"/>
                <w:szCs w:val="24"/>
                <w:lang w:val="uk-UA"/>
              </w:rPr>
              <w:t xml:space="preserve"> </w:t>
            </w:r>
            <w:proofErr w:type="spellStart"/>
            <w:r w:rsidRPr="0026473E">
              <w:rPr>
                <w:rFonts w:ascii="Times New Roman" w:eastAsia="Times New Roman" w:hAnsi="Times New Roman" w:cs="Times New Roman"/>
                <w:b/>
                <w:sz w:val="24"/>
                <w:szCs w:val="24"/>
              </w:rPr>
              <w:t>ΔW</w:t>
            </w:r>
            <w:r w:rsidRPr="0026473E">
              <w:rPr>
                <w:rFonts w:ascii="Times New Roman" w:eastAsia="Times New Roman" w:hAnsi="Times New Roman" w:cs="Times New Roman"/>
                <w:b/>
                <w:sz w:val="24"/>
                <w:szCs w:val="24"/>
                <w:vertAlign w:val="superscript"/>
              </w:rPr>
              <w:t>e</w:t>
            </w:r>
            <w:r w:rsidRPr="0026473E">
              <w:rPr>
                <w:rFonts w:ascii="Times New Roman" w:eastAsia="Times New Roman" w:hAnsi="Times New Roman" w:cs="Times New Roman"/>
                <w:b/>
                <w:sz w:val="24"/>
                <w:szCs w:val="24"/>
                <w:vertAlign w:val="subscript"/>
              </w:rPr>
              <w:t>z</w:t>
            </w:r>
            <w:proofErr w:type="spellEnd"/>
            <w:r w:rsidRPr="0026473E">
              <w:rPr>
                <w:rFonts w:ascii="Times New Roman" w:eastAsia="Times New Roman" w:hAnsi="Times New Roman" w:cs="Times New Roman"/>
                <w:b/>
                <w:sz w:val="24"/>
                <w:szCs w:val="24"/>
                <w:vertAlign w:val="subscript"/>
                <w:lang w:val="uk-UA"/>
              </w:rPr>
              <w:t>,</w:t>
            </w:r>
            <w:r w:rsidRPr="0026473E">
              <w:rPr>
                <w:rFonts w:ascii="Times New Roman" w:eastAsia="Times New Roman" w:hAnsi="Times New Roman" w:cs="Times New Roman"/>
                <w:b/>
                <w:sz w:val="24"/>
                <w:szCs w:val="24"/>
                <w:vertAlign w:val="subscript"/>
              </w:rPr>
              <w:t>t</w:t>
            </w:r>
            <w:r w:rsidRPr="00447B34">
              <w:rPr>
                <w:rFonts w:ascii="Times New Roman" w:hAnsi="Times New Roman" w:cs="Times New Roman"/>
                <w:sz w:val="24"/>
                <w:szCs w:val="24"/>
                <w:lang w:val="uk-UA"/>
              </w:rPr>
              <w:t xml:space="preserve"> за розрахунковий місяць.</w:t>
            </w:r>
          </w:p>
          <w:p w14:paraId="5584B7DF" w14:textId="77777777" w:rsidR="00447B34" w:rsidRPr="0026473E" w:rsidRDefault="00447B34" w:rsidP="00447B34">
            <w:pPr>
              <w:ind w:firstLine="709"/>
              <w:jc w:val="both"/>
              <w:rPr>
                <w:rFonts w:ascii="Times New Roman" w:hAnsi="Times New Roman" w:cs="Times New Roman"/>
                <w:b/>
                <w:sz w:val="24"/>
                <w:szCs w:val="24"/>
                <w:lang w:val="uk-UA"/>
              </w:rPr>
            </w:pPr>
            <w:r w:rsidRPr="0026473E">
              <w:rPr>
                <w:rFonts w:ascii="Times New Roman" w:hAnsi="Times New Roman" w:cs="Times New Roman"/>
                <w:b/>
                <w:sz w:val="24"/>
                <w:szCs w:val="24"/>
                <w:lang w:val="uk-UA"/>
              </w:rPr>
              <w:t xml:space="preserve">ОСП передає гарантованому покупцю дані, які зазначені в підписаних актах приймання-передачі наданих послуг із зменшення навантаження станом на попередній робочий день до дня передачі такої інформації від ОСП. </w:t>
            </w:r>
          </w:p>
          <w:p w14:paraId="5F8EC971" w14:textId="5CC5C74C" w:rsidR="00447B34" w:rsidRPr="0026473E" w:rsidRDefault="00447B34" w:rsidP="00447B34">
            <w:pPr>
              <w:ind w:firstLine="709"/>
              <w:jc w:val="both"/>
              <w:rPr>
                <w:rFonts w:ascii="Times New Roman" w:hAnsi="Times New Roman" w:cs="Times New Roman"/>
                <w:b/>
                <w:sz w:val="24"/>
                <w:szCs w:val="24"/>
                <w:lang w:val="uk-UA"/>
              </w:rPr>
            </w:pPr>
            <w:r w:rsidRPr="0026473E">
              <w:rPr>
                <w:rFonts w:ascii="Times New Roman" w:hAnsi="Times New Roman" w:cs="Times New Roman"/>
                <w:b/>
                <w:sz w:val="24"/>
                <w:szCs w:val="24"/>
                <w:lang w:val="uk-UA"/>
              </w:rPr>
              <w:lastRenderedPageBreak/>
              <w:t>У випадку відсутності підписаних між ППВДЕ та ОСП актів на зазначену дату ОСП надає гарантованому покупцю оперативні розрахункові дані погодинних обсягів не</w:t>
            </w:r>
            <w:r w:rsidR="004029B5">
              <w:rPr>
                <w:rFonts w:ascii="Times New Roman" w:hAnsi="Times New Roman" w:cs="Times New Roman"/>
                <w:b/>
                <w:sz w:val="24"/>
                <w:szCs w:val="24"/>
                <w:lang w:val="uk-UA"/>
              </w:rPr>
              <w:t xml:space="preserve"> </w:t>
            </w:r>
            <w:r w:rsidRPr="0026473E">
              <w:rPr>
                <w:rFonts w:ascii="Times New Roman" w:hAnsi="Times New Roman" w:cs="Times New Roman"/>
                <w:b/>
                <w:sz w:val="24"/>
                <w:szCs w:val="24"/>
                <w:lang w:val="uk-UA"/>
              </w:rPr>
              <w:t xml:space="preserve">відпущеної електричної енергії, отримані від такого ППВДЕ станом на попередній робочий день до дня передачі такої інформації від ОСП у форматі, узгодженому з ОСП та гарантованим покупцем. </w:t>
            </w:r>
          </w:p>
          <w:p w14:paraId="03D2CF51" w14:textId="6247FD43" w:rsidR="00447B34" w:rsidRPr="0026473E" w:rsidRDefault="00447B34" w:rsidP="00447B34">
            <w:pPr>
              <w:ind w:firstLine="709"/>
              <w:jc w:val="both"/>
              <w:rPr>
                <w:rFonts w:ascii="Times New Roman" w:hAnsi="Times New Roman" w:cs="Times New Roman"/>
                <w:b/>
                <w:sz w:val="24"/>
                <w:szCs w:val="24"/>
                <w:lang w:val="uk-UA"/>
              </w:rPr>
            </w:pPr>
            <w:r w:rsidRPr="0026473E">
              <w:rPr>
                <w:rFonts w:ascii="Times New Roman" w:hAnsi="Times New Roman" w:cs="Times New Roman"/>
                <w:b/>
                <w:sz w:val="24"/>
                <w:szCs w:val="24"/>
                <w:lang w:val="uk-UA"/>
              </w:rPr>
              <w:t>У разі відсутності оперативних розрахункових даних погодинних обсягів не</w:t>
            </w:r>
            <w:r w:rsidR="004029B5">
              <w:rPr>
                <w:rFonts w:ascii="Times New Roman" w:hAnsi="Times New Roman" w:cs="Times New Roman"/>
                <w:b/>
                <w:sz w:val="24"/>
                <w:szCs w:val="24"/>
                <w:lang w:val="uk-UA"/>
              </w:rPr>
              <w:t xml:space="preserve"> </w:t>
            </w:r>
            <w:r w:rsidRPr="0026473E">
              <w:rPr>
                <w:rFonts w:ascii="Times New Roman" w:hAnsi="Times New Roman" w:cs="Times New Roman"/>
                <w:b/>
                <w:sz w:val="24"/>
                <w:szCs w:val="24"/>
                <w:lang w:val="uk-UA"/>
              </w:rPr>
              <w:t>відпущеної електричної енергії, отриманих від такого ППВДЕ, ОСП має право самостійно розрахувати та надати гарантованому покупцю такі оперативні розрахункові дані погодинних обсягів не</w:t>
            </w:r>
            <w:r w:rsidR="004029B5">
              <w:rPr>
                <w:rFonts w:ascii="Times New Roman" w:hAnsi="Times New Roman" w:cs="Times New Roman"/>
                <w:b/>
                <w:sz w:val="24"/>
                <w:szCs w:val="24"/>
                <w:lang w:val="uk-UA"/>
              </w:rPr>
              <w:t xml:space="preserve"> </w:t>
            </w:r>
            <w:r w:rsidRPr="0026473E">
              <w:rPr>
                <w:rFonts w:ascii="Times New Roman" w:hAnsi="Times New Roman" w:cs="Times New Roman"/>
                <w:b/>
                <w:sz w:val="24"/>
                <w:szCs w:val="24"/>
                <w:lang w:val="uk-UA"/>
              </w:rPr>
              <w:t>відпущеної електричної енергії.</w:t>
            </w:r>
          </w:p>
          <w:p w14:paraId="4968130B" w14:textId="7ECBEFB8" w:rsidR="00447B34" w:rsidRPr="00447B34" w:rsidRDefault="00447B34" w:rsidP="00447B34">
            <w:pPr>
              <w:ind w:firstLine="709"/>
              <w:jc w:val="both"/>
              <w:rPr>
                <w:rFonts w:ascii="Times New Roman" w:hAnsi="Times New Roman" w:cs="Times New Roman"/>
                <w:sz w:val="24"/>
                <w:szCs w:val="24"/>
                <w:lang w:val="uk-UA"/>
              </w:rPr>
            </w:pPr>
            <w:r w:rsidRPr="00447B34">
              <w:rPr>
                <w:rFonts w:ascii="Times New Roman" w:hAnsi="Times New Roman" w:cs="Times New Roman"/>
                <w:sz w:val="24"/>
                <w:szCs w:val="24"/>
                <w:lang w:val="uk-UA"/>
              </w:rPr>
              <w:t xml:space="preserve">У випадку ненадання ОСП </w:t>
            </w:r>
            <w:r w:rsidRPr="0026473E">
              <w:rPr>
                <w:rFonts w:ascii="Times New Roman" w:hAnsi="Times New Roman" w:cs="Times New Roman"/>
                <w:b/>
                <w:sz w:val="24"/>
                <w:szCs w:val="24"/>
                <w:lang w:val="uk-UA"/>
              </w:rPr>
              <w:t>до робочого дня, що передує 15 числу місяця, наступного за розрахунковим,</w:t>
            </w:r>
            <w:r w:rsidRPr="00447B34">
              <w:rPr>
                <w:rFonts w:ascii="Times New Roman" w:hAnsi="Times New Roman" w:cs="Times New Roman"/>
                <w:sz w:val="24"/>
                <w:szCs w:val="24"/>
                <w:lang w:val="uk-UA"/>
              </w:rPr>
              <w:t xml:space="preserve"> підписаних КЕП уповноваженої особи погодинних обсягів не</w:t>
            </w:r>
            <w:r w:rsidR="004029B5">
              <w:rPr>
                <w:rFonts w:ascii="Times New Roman" w:hAnsi="Times New Roman" w:cs="Times New Roman"/>
                <w:sz w:val="24"/>
                <w:szCs w:val="24"/>
                <w:lang w:val="uk-UA"/>
              </w:rPr>
              <w:t xml:space="preserve"> </w:t>
            </w:r>
            <w:r w:rsidRPr="00447B34">
              <w:rPr>
                <w:rFonts w:ascii="Times New Roman" w:hAnsi="Times New Roman" w:cs="Times New Roman"/>
                <w:sz w:val="24"/>
                <w:szCs w:val="24"/>
                <w:lang w:val="uk-UA"/>
              </w:rPr>
              <w:t xml:space="preserve">відпущеної електричної енергії генеруючими одиницями продавців у результаті виконання команд ОСП на зменшення навантаження продавців у кожній торговій зоні для кожної генеруючої одиниці (із зазначенням EIC-коду типу W) продавців </w:t>
            </w:r>
            <w:proofErr w:type="spellStart"/>
            <w:r w:rsidR="0026473E" w:rsidRPr="0026473E">
              <w:rPr>
                <w:rFonts w:ascii="Times New Roman" w:eastAsia="Times New Roman" w:hAnsi="Times New Roman" w:cs="Times New Roman"/>
                <w:strike/>
                <w:sz w:val="24"/>
              </w:rPr>
              <w:t>ΔW</w:t>
            </w:r>
            <w:r w:rsidR="0026473E" w:rsidRPr="0026473E">
              <w:rPr>
                <w:rFonts w:ascii="Times New Roman" w:eastAsia="Times New Roman" w:hAnsi="Times New Roman" w:cs="Times New Roman"/>
                <w:strike/>
                <w:sz w:val="24"/>
                <w:vertAlign w:val="superscript"/>
              </w:rPr>
              <w:t>e</w:t>
            </w:r>
            <w:r w:rsidR="0026473E" w:rsidRPr="0026473E">
              <w:rPr>
                <w:rFonts w:ascii="Times New Roman" w:eastAsia="Times New Roman" w:hAnsi="Times New Roman" w:cs="Times New Roman"/>
                <w:strike/>
                <w:sz w:val="24"/>
                <w:vertAlign w:val="subscript"/>
              </w:rPr>
              <w:t>z</w:t>
            </w:r>
            <w:proofErr w:type="spellEnd"/>
            <w:r w:rsidR="0026473E" w:rsidRPr="0026473E">
              <w:rPr>
                <w:rFonts w:ascii="Times New Roman" w:eastAsia="Times New Roman" w:hAnsi="Times New Roman" w:cs="Times New Roman"/>
                <w:strike/>
                <w:sz w:val="24"/>
                <w:vertAlign w:val="subscript"/>
                <w:lang w:val="uk-UA"/>
              </w:rPr>
              <w:t>,</w:t>
            </w:r>
            <w:r w:rsidR="0026473E" w:rsidRPr="0026473E">
              <w:rPr>
                <w:rFonts w:ascii="Times New Roman" w:eastAsia="Times New Roman" w:hAnsi="Times New Roman" w:cs="Times New Roman"/>
                <w:strike/>
                <w:sz w:val="24"/>
                <w:vertAlign w:val="subscript"/>
                <w:lang w:val="en-US"/>
              </w:rPr>
              <w:t>e</w:t>
            </w:r>
            <w:r w:rsidR="0026473E" w:rsidRPr="0026473E">
              <w:rPr>
                <w:rFonts w:ascii="Times New Roman" w:eastAsia="Times New Roman" w:hAnsi="Times New Roman" w:cs="Times New Roman"/>
                <w:strike/>
                <w:sz w:val="24"/>
                <w:vertAlign w:val="subscript"/>
                <w:lang w:val="uk-UA"/>
              </w:rPr>
              <w:t>.</w:t>
            </w:r>
            <w:r w:rsidR="0026473E" w:rsidRPr="0026473E">
              <w:rPr>
                <w:rFonts w:ascii="Times New Roman" w:eastAsia="Times New Roman" w:hAnsi="Times New Roman" w:cs="Times New Roman"/>
                <w:strike/>
                <w:sz w:val="24"/>
                <w:vertAlign w:val="subscript"/>
                <w:lang w:val="en-US"/>
              </w:rPr>
              <w:t>j</w:t>
            </w:r>
            <w:r w:rsidR="0026473E" w:rsidRPr="0026473E">
              <w:rPr>
                <w:rFonts w:ascii="Times New Roman" w:eastAsia="Times New Roman" w:hAnsi="Times New Roman" w:cs="Times New Roman"/>
                <w:sz w:val="24"/>
                <w:szCs w:val="24"/>
                <w:lang w:val="uk-UA"/>
              </w:rPr>
              <w:t xml:space="preserve"> </w:t>
            </w:r>
            <w:proofErr w:type="spellStart"/>
            <w:r w:rsidR="0026473E" w:rsidRPr="0026473E">
              <w:rPr>
                <w:rFonts w:ascii="Times New Roman" w:eastAsia="Times New Roman" w:hAnsi="Times New Roman" w:cs="Times New Roman"/>
                <w:b/>
                <w:sz w:val="24"/>
                <w:szCs w:val="24"/>
              </w:rPr>
              <w:t>ΔW</w:t>
            </w:r>
            <w:r w:rsidR="0026473E" w:rsidRPr="0026473E">
              <w:rPr>
                <w:rFonts w:ascii="Times New Roman" w:eastAsia="Times New Roman" w:hAnsi="Times New Roman" w:cs="Times New Roman"/>
                <w:b/>
                <w:sz w:val="24"/>
                <w:szCs w:val="24"/>
                <w:vertAlign w:val="superscript"/>
              </w:rPr>
              <w:t>e</w:t>
            </w:r>
            <w:r w:rsidR="0026473E" w:rsidRPr="0026473E">
              <w:rPr>
                <w:rFonts w:ascii="Times New Roman" w:eastAsia="Times New Roman" w:hAnsi="Times New Roman" w:cs="Times New Roman"/>
                <w:b/>
                <w:sz w:val="24"/>
                <w:szCs w:val="24"/>
                <w:vertAlign w:val="subscript"/>
              </w:rPr>
              <w:t>z</w:t>
            </w:r>
            <w:proofErr w:type="spellEnd"/>
            <w:r w:rsidR="0026473E" w:rsidRPr="0026473E">
              <w:rPr>
                <w:rFonts w:ascii="Times New Roman" w:eastAsia="Times New Roman" w:hAnsi="Times New Roman" w:cs="Times New Roman"/>
                <w:b/>
                <w:sz w:val="24"/>
                <w:szCs w:val="24"/>
                <w:vertAlign w:val="subscript"/>
                <w:lang w:val="uk-UA"/>
              </w:rPr>
              <w:t>,</w:t>
            </w:r>
            <w:r w:rsidR="0026473E" w:rsidRPr="0026473E">
              <w:rPr>
                <w:rFonts w:ascii="Times New Roman" w:eastAsia="Times New Roman" w:hAnsi="Times New Roman" w:cs="Times New Roman"/>
                <w:b/>
                <w:sz w:val="24"/>
                <w:szCs w:val="24"/>
                <w:vertAlign w:val="subscript"/>
              </w:rPr>
              <w:t>t</w:t>
            </w:r>
            <w:r w:rsidRPr="00447B34">
              <w:rPr>
                <w:rFonts w:ascii="Times New Roman" w:hAnsi="Times New Roman" w:cs="Times New Roman"/>
                <w:sz w:val="24"/>
                <w:szCs w:val="24"/>
                <w:lang w:val="uk-UA"/>
              </w:rPr>
              <w:t xml:space="preserve"> що входять до балансуючої групи гарантованого покупця, такі дані вважаються рівними нулю.</w:t>
            </w:r>
          </w:p>
          <w:p w14:paraId="38AF64D0" w14:textId="3B31DCD6" w:rsidR="00447B34" w:rsidRPr="00EB3253" w:rsidRDefault="00447B34" w:rsidP="00447B34">
            <w:pPr>
              <w:ind w:firstLine="709"/>
              <w:jc w:val="both"/>
              <w:rPr>
                <w:rFonts w:ascii="Times New Roman" w:hAnsi="Times New Roman" w:cs="Times New Roman"/>
                <w:b/>
                <w:sz w:val="24"/>
                <w:szCs w:val="24"/>
                <w:lang w:val="uk-UA"/>
              </w:rPr>
            </w:pPr>
            <w:r w:rsidRPr="00EB3253">
              <w:rPr>
                <w:rFonts w:ascii="Times New Roman" w:hAnsi="Times New Roman" w:cs="Times New Roman"/>
                <w:b/>
                <w:sz w:val="24"/>
                <w:szCs w:val="24"/>
                <w:lang w:val="uk-UA"/>
              </w:rPr>
              <w:t>Оновлені дані щодо погодинних обсягів не</w:t>
            </w:r>
            <w:r w:rsidR="004029B5">
              <w:rPr>
                <w:rFonts w:ascii="Times New Roman" w:hAnsi="Times New Roman" w:cs="Times New Roman"/>
                <w:b/>
                <w:sz w:val="24"/>
                <w:szCs w:val="24"/>
                <w:lang w:val="uk-UA"/>
              </w:rPr>
              <w:t xml:space="preserve"> </w:t>
            </w:r>
            <w:r w:rsidRPr="00EB3253">
              <w:rPr>
                <w:rFonts w:ascii="Times New Roman" w:hAnsi="Times New Roman" w:cs="Times New Roman"/>
                <w:b/>
                <w:sz w:val="24"/>
                <w:szCs w:val="24"/>
                <w:lang w:val="uk-UA"/>
              </w:rPr>
              <w:t xml:space="preserve">відпущеної електричної енергії відповідно до підписаних актів приймання-передачі наданих послуг із зменшення навантаження надаються ОСП </w:t>
            </w:r>
            <w:r w:rsidR="004029B5">
              <w:rPr>
                <w:rFonts w:ascii="Times New Roman" w:hAnsi="Times New Roman" w:cs="Times New Roman"/>
                <w:b/>
                <w:sz w:val="24"/>
                <w:szCs w:val="24"/>
                <w:lang w:val="uk-UA"/>
              </w:rPr>
              <w:t>з накладанням</w:t>
            </w:r>
            <w:r w:rsidRPr="00EB3253">
              <w:rPr>
                <w:rFonts w:ascii="Times New Roman" w:hAnsi="Times New Roman" w:cs="Times New Roman"/>
                <w:b/>
                <w:sz w:val="24"/>
                <w:szCs w:val="24"/>
                <w:lang w:val="uk-UA"/>
              </w:rPr>
              <w:t xml:space="preserve"> КЕП гарантованому покупцю для здійснення перерахунку в останній робочий день </w:t>
            </w:r>
            <w:r w:rsidR="000F123D">
              <w:rPr>
                <w:rFonts w:ascii="Times New Roman" w:hAnsi="Times New Roman" w:cs="Times New Roman"/>
                <w:b/>
                <w:sz w:val="24"/>
                <w:szCs w:val="24"/>
                <w:lang w:val="uk-UA"/>
              </w:rPr>
              <w:t xml:space="preserve">другого </w:t>
            </w:r>
            <w:r w:rsidRPr="00EB3253">
              <w:rPr>
                <w:rFonts w:ascii="Times New Roman" w:hAnsi="Times New Roman" w:cs="Times New Roman"/>
                <w:b/>
                <w:sz w:val="24"/>
                <w:szCs w:val="24"/>
                <w:lang w:val="uk-UA"/>
              </w:rPr>
              <w:t>місяця за звітнім.</w:t>
            </w:r>
          </w:p>
          <w:p w14:paraId="3BBB54E8" w14:textId="38DB06B8" w:rsidR="00447B34" w:rsidRPr="00EB3253" w:rsidRDefault="00447B34" w:rsidP="00447B34">
            <w:pPr>
              <w:ind w:firstLine="709"/>
              <w:jc w:val="both"/>
              <w:rPr>
                <w:rFonts w:ascii="Times New Roman" w:hAnsi="Times New Roman" w:cs="Times New Roman"/>
                <w:b/>
                <w:sz w:val="24"/>
                <w:szCs w:val="24"/>
                <w:lang w:val="uk-UA"/>
              </w:rPr>
            </w:pPr>
            <w:r w:rsidRPr="00EB3253">
              <w:rPr>
                <w:rFonts w:ascii="Times New Roman" w:hAnsi="Times New Roman" w:cs="Times New Roman"/>
                <w:b/>
                <w:sz w:val="24"/>
                <w:szCs w:val="24"/>
                <w:lang w:val="uk-UA"/>
              </w:rPr>
              <w:t>Остаточні оновлені дані щодо погодинних обсягів не</w:t>
            </w:r>
            <w:r w:rsidR="004029B5">
              <w:rPr>
                <w:rFonts w:ascii="Times New Roman" w:hAnsi="Times New Roman" w:cs="Times New Roman"/>
                <w:b/>
                <w:sz w:val="24"/>
                <w:szCs w:val="24"/>
                <w:lang w:val="uk-UA"/>
              </w:rPr>
              <w:t xml:space="preserve"> </w:t>
            </w:r>
            <w:r w:rsidRPr="00EB3253">
              <w:rPr>
                <w:rFonts w:ascii="Times New Roman" w:hAnsi="Times New Roman" w:cs="Times New Roman"/>
                <w:b/>
                <w:sz w:val="24"/>
                <w:szCs w:val="24"/>
                <w:lang w:val="uk-UA"/>
              </w:rPr>
              <w:t xml:space="preserve">відпущеної електричної енергії відповідно до підписаних актів приймання-передачі наданих послуг із зменшення навантаження надаються ОСП </w:t>
            </w:r>
            <w:r w:rsidR="004029B5">
              <w:rPr>
                <w:rFonts w:ascii="Times New Roman" w:hAnsi="Times New Roman" w:cs="Times New Roman"/>
                <w:b/>
                <w:sz w:val="24"/>
                <w:szCs w:val="24"/>
                <w:lang w:val="uk-UA"/>
              </w:rPr>
              <w:t>з накладанням</w:t>
            </w:r>
            <w:r w:rsidRPr="00EB3253">
              <w:rPr>
                <w:rFonts w:ascii="Times New Roman" w:hAnsi="Times New Roman" w:cs="Times New Roman"/>
                <w:b/>
                <w:sz w:val="24"/>
                <w:szCs w:val="24"/>
                <w:lang w:val="uk-UA"/>
              </w:rPr>
              <w:t xml:space="preserve"> КЕП гарантованому покупцю на 5 робочий день після отримання гарантованим покупцем від Адміністратора комерційного обліку оновлених сертифікованих даних комерційного обліку електричної енергії про погодинні обсяги відпуску та споживання електричної енергії кожною генеруючою одиницею всіх продавців, що входять до балансуючої групи гарантованого покупця (версії 2 останнього релізу даних комерційного обліку в системі MMS).</w:t>
            </w:r>
          </w:p>
          <w:p w14:paraId="5638C930" w14:textId="3DCD7AEC" w:rsidR="00E35235" w:rsidRPr="00447B34" w:rsidRDefault="00447B34" w:rsidP="00447B34">
            <w:pPr>
              <w:ind w:firstLine="567"/>
              <w:jc w:val="both"/>
              <w:rPr>
                <w:rFonts w:ascii="Times New Roman" w:hAnsi="Times New Roman" w:cs="Times New Roman"/>
                <w:b/>
                <w:sz w:val="24"/>
                <w:szCs w:val="24"/>
                <w:lang w:val="uk-UA"/>
              </w:rPr>
            </w:pPr>
            <w:r w:rsidRPr="00EB3253">
              <w:rPr>
                <w:rFonts w:ascii="Times New Roman" w:hAnsi="Times New Roman" w:cs="Times New Roman"/>
                <w:b/>
                <w:sz w:val="24"/>
                <w:szCs w:val="24"/>
                <w:lang w:val="uk-UA"/>
              </w:rPr>
              <w:lastRenderedPageBreak/>
              <w:t>У разі відсутності підписаних актів приймання-передачі наданих послуг із зменшення навантаження між ППВДЕ та ОСП на дату передачі остаточних оновлених даних гарантованому покупцю для остаточного перерахунку такі дані приймаються на рівні оперативних розрахункових даних погодинних обсягів не</w:t>
            </w:r>
            <w:r w:rsidR="004029B5">
              <w:rPr>
                <w:rFonts w:ascii="Times New Roman" w:hAnsi="Times New Roman" w:cs="Times New Roman"/>
                <w:b/>
                <w:sz w:val="24"/>
                <w:szCs w:val="24"/>
                <w:lang w:val="uk-UA"/>
              </w:rPr>
              <w:t xml:space="preserve"> </w:t>
            </w:r>
            <w:r w:rsidRPr="00EB3253">
              <w:rPr>
                <w:rFonts w:ascii="Times New Roman" w:hAnsi="Times New Roman" w:cs="Times New Roman"/>
                <w:b/>
                <w:sz w:val="24"/>
                <w:szCs w:val="24"/>
                <w:lang w:val="uk-UA"/>
              </w:rPr>
              <w:t>відпущеної електричної енергії, наданих ОСП гарантованому покупцю без можливості подальшого коригування.</w:t>
            </w:r>
          </w:p>
        </w:tc>
      </w:tr>
      <w:tr w:rsidR="00FC5C04" w:rsidRPr="004029B5" w14:paraId="0677358C" w14:textId="77777777" w:rsidTr="00E35235">
        <w:tc>
          <w:tcPr>
            <w:tcW w:w="2531" w:type="pct"/>
          </w:tcPr>
          <w:p w14:paraId="6A367614" w14:textId="07306BA5" w:rsidR="00E35235" w:rsidRPr="00FC5C04" w:rsidRDefault="00EB3253" w:rsidP="00852541">
            <w:pPr>
              <w:ind w:firstLine="567"/>
              <w:jc w:val="both"/>
              <w:rPr>
                <w:rFonts w:ascii="Times New Roman" w:hAnsi="Times New Roman" w:cs="Times New Roman"/>
                <w:sz w:val="24"/>
                <w:szCs w:val="24"/>
                <w:lang w:val="uk-UA"/>
              </w:rPr>
            </w:pPr>
            <w:r w:rsidRPr="00EB3253">
              <w:rPr>
                <w:rFonts w:ascii="Times New Roman" w:hAnsi="Times New Roman" w:cs="Times New Roman"/>
                <w:sz w:val="24"/>
                <w:szCs w:val="24"/>
                <w:lang w:val="uk-UA"/>
              </w:rPr>
              <w:lastRenderedPageBreak/>
              <w:t xml:space="preserve">9.5. Гарантований покупець щомісячно, на наступний робочий день після підписання </w:t>
            </w:r>
            <w:proofErr w:type="spellStart"/>
            <w:r w:rsidRPr="00EB3253">
              <w:rPr>
                <w:rFonts w:ascii="Times New Roman" w:hAnsi="Times New Roman" w:cs="Times New Roman"/>
                <w:sz w:val="24"/>
                <w:szCs w:val="24"/>
                <w:lang w:val="uk-UA"/>
              </w:rPr>
              <w:t>акта</w:t>
            </w:r>
            <w:proofErr w:type="spellEnd"/>
            <w:r w:rsidRPr="00EB3253">
              <w:rPr>
                <w:rFonts w:ascii="Times New Roman" w:hAnsi="Times New Roman" w:cs="Times New Roman"/>
                <w:sz w:val="24"/>
                <w:szCs w:val="24"/>
                <w:lang w:val="uk-UA"/>
              </w:rPr>
              <w:t xml:space="preserve">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 ОСП за розрахунковий місяць, надає учасникам балансуючої групи гарантованого покупця інформацію, необхідну для розрахунку частки відшкодування вартості врегулювання небалансу електричної енергії гарантованого покупця.</w:t>
            </w:r>
          </w:p>
        </w:tc>
        <w:tc>
          <w:tcPr>
            <w:tcW w:w="2469" w:type="pct"/>
          </w:tcPr>
          <w:p w14:paraId="0A7A0750" w14:textId="6B0B3430" w:rsidR="00E35235" w:rsidRPr="00FC5C04" w:rsidRDefault="00EB3253" w:rsidP="00852541">
            <w:pPr>
              <w:ind w:firstLine="567"/>
              <w:jc w:val="both"/>
              <w:rPr>
                <w:rFonts w:ascii="Times New Roman" w:eastAsia="Times New Roman" w:hAnsi="Times New Roman" w:cs="Times New Roman"/>
                <w:bCs/>
                <w:strike/>
                <w:sz w:val="24"/>
                <w:szCs w:val="24"/>
                <w:lang w:val="uk-UA"/>
              </w:rPr>
            </w:pPr>
            <w:r w:rsidRPr="00EB3253">
              <w:rPr>
                <w:rFonts w:ascii="Times New Roman" w:hAnsi="Times New Roman" w:cs="Times New Roman"/>
                <w:sz w:val="24"/>
                <w:szCs w:val="24"/>
                <w:lang w:val="uk-UA"/>
              </w:rPr>
              <w:t xml:space="preserve">9.5. Гарантований покупець щомісячно, на наступний робочий день після підписання </w:t>
            </w:r>
            <w:proofErr w:type="spellStart"/>
            <w:r w:rsidRPr="00EB3253">
              <w:rPr>
                <w:rFonts w:ascii="Times New Roman" w:hAnsi="Times New Roman" w:cs="Times New Roman"/>
                <w:sz w:val="24"/>
                <w:szCs w:val="24"/>
                <w:lang w:val="uk-UA"/>
              </w:rPr>
              <w:t>акта</w:t>
            </w:r>
            <w:proofErr w:type="spellEnd"/>
            <w:r w:rsidRPr="00EB3253">
              <w:rPr>
                <w:rFonts w:ascii="Times New Roman" w:hAnsi="Times New Roman" w:cs="Times New Roman"/>
                <w:sz w:val="24"/>
                <w:szCs w:val="24"/>
                <w:lang w:val="uk-UA"/>
              </w:rPr>
              <w:t xml:space="preserve">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 ОСП за розрахунковий місяць, </w:t>
            </w:r>
            <w:r w:rsidRPr="00EB3253">
              <w:rPr>
                <w:rFonts w:ascii="Times New Roman" w:hAnsi="Times New Roman" w:cs="Times New Roman"/>
                <w:b/>
                <w:sz w:val="24"/>
                <w:szCs w:val="24"/>
                <w:lang w:val="uk-UA"/>
              </w:rPr>
              <w:t>але не раніше наступного робочого дня після виконання ОСП умов пункту 9.4 глави 9 цього Порядку,</w:t>
            </w:r>
            <w:r w:rsidRPr="00EB3253">
              <w:rPr>
                <w:rFonts w:ascii="Times New Roman" w:hAnsi="Times New Roman" w:cs="Times New Roman"/>
                <w:sz w:val="28"/>
                <w:szCs w:val="28"/>
                <w:lang w:val="uk-UA"/>
              </w:rPr>
              <w:t xml:space="preserve"> </w:t>
            </w:r>
            <w:r w:rsidRPr="00EB3253">
              <w:rPr>
                <w:rFonts w:ascii="Times New Roman" w:hAnsi="Times New Roman" w:cs="Times New Roman"/>
                <w:sz w:val="24"/>
                <w:szCs w:val="24"/>
                <w:lang w:val="uk-UA"/>
              </w:rPr>
              <w:t>надає учасникам балансуючої групи гарантованого покупця інформацію, необхідну для розрахунку частки відшкодування вартості врегулювання небалансу електричної енергії гарантованого покупця.</w:t>
            </w:r>
          </w:p>
        </w:tc>
      </w:tr>
      <w:tr w:rsidR="00FC5C04" w:rsidRPr="004029B5" w14:paraId="41EC28BA" w14:textId="77777777" w:rsidTr="00E35235">
        <w:tc>
          <w:tcPr>
            <w:tcW w:w="2531" w:type="pct"/>
          </w:tcPr>
          <w:p w14:paraId="1E0DEC85" w14:textId="298577A7" w:rsidR="00E35235" w:rsidRPr="00FC5C04" w:rsidRDefault="00EB3253" w:rsidP="00852541">
            <w:pPr>
              <w:ind w:firstLine="567"/>
              <w:jc w:val="both"/>
              <w:rPr>
                <w:rFonts w:ascii="Times New Roman" w:hAnsi="Times New Roman" w:cs="Times New Roman"/>
                <w:sz w:val="24"/>
                <w:szCs w:val="24"/>
                <w:lang w:val="uk-UA"/>
              </w:rPr>
            </w:pPr>
            <w:r w:rsidRPr="00EB3253">
              <w:rPr>
                <w:rFonts w:ascii="Times New Roman" w:hAnsi="Times New Roman" w:cs="Times New Roman"/>
                <w:sz w:val="24"/>
                <w:szCs w:val="24"/>
                <w:lang w:val="uk-UA"/>
              </w:rPr>
              <w:t xml:space="preserve">10.5. З урахуванням положень глави 9 цього Порядку гарантований покупець після підписання </w:t>
            </w:r>
            <w:proofErr w:type="spellStart"/>
            <w:r w:rsidRPr="00EB3253">
              <w:rPr>
                <w:rFonts w:ascii="Times New Roman" w:hAnsi="Times New Roman" w:cs="Times New Roman"/>
                <w:sz w:val="24"/>
                <w:szCs w:val="24"/>
                <w:lang w:val="uk-UA"/>
              </w:rPr>
              <w:t>акта</w:t>
            </w:r>
            <w:proofErr w:type="spellEnd"/>
            <w:r w:rsidRPr="00EB3253">
              <w:rPr>
                <w:rFonts w:ascii="Times New Roman" w:hAnsi="Times New Roman" w:cs="Times New Roman"/>
                <w:sz w:val="24"/>
                <w:szCs w:val="24"/>
                <w:lang w:val="uk-UA"/>
              </w:rPr>
              <w:t xml:space="preserve">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 ОСП за розрахунковий місяць здійснює продавцю розрахунок частки відшкодування вартості врегулювання небалансу електричної енергії гарантованого покупця та направляє продавцю акт приймання-передачі частки відшкодування вартості врегулювання небалансу електричної енергії гарантованого покупця в електронному вигляді, підписаний зі своєї сторони КЕП уповноваженої особи, на електронну адресу.</w:t>
            </w:r>
          </w:p>
        </w:tc>
        <w:tc>
          <w:tcPr>
            <w:tcW w:w="2469" w:type="pct"/>
          </w:tcPr>
          <w:p w14:paraId="5481BD2B" w14:textId="77777777" w:rsidR="00E35235" w:rsidRDefault="00EB3253" w:rsidP="00852541">
            <w:pPr>
              <w:ind w:firstLine="567"/>
              <w:jc w:val="both"/>
              <w:rPr>
                <w:rFonts w:ascii="Times New Roman" w:hAnsi="Times New Roman" w:cs="Times New Roman"/>
                <w:sz w:val="24"/>
                <w:szCs w:val="24"/>
                <w:lang w:val="uk-UA"/>
              </w:rPr>
            </w:pPr>
            <w:r w:rsidRPr="00EB3253">
              <w:rPr>
                <w:rFonts w:ascii="Times New Roman" w:hAnsi="Times New Roman" w:cs="Times New Roman"/>
                <w:sz w:val="24"/>
                <w:szCs w:val="24"/>
                <w:lang w:val="uk-UA"/>
              </w:rPr>
              <w:t xml:space="preserve">10.5. З урахуванням положень глави 9 цього Порядку гарантований покупець після підписання </w:t>
            </w:r>
            <w:proofErr w:type="spellStart"/>
            <w:r w:rsidRPr="00EB3253">
              <w:rPr>
                <w:rFonts w:ascii="Times New Roman" w:hAnsi="Times New Roman" w:cs="Times New Roman"/>
                <w:sz w:val="24"/>
                <w:szCs w:val="24"/>
                <w:lang w:val="uk-UA"/>
              </w:rPr>
              <w:t>акта</w:t>
            </w:r>
            <w:proofErr w:type="spellEnd"/>
            <w:r w:rsidRPr="00EB3253">
              <w:rPr>
                <w:rFonts w:ascii="Times New Roman" w:hAnsi="Times New Roman" w:cs="Times New Roman"/>
                <w:sz w:val="24"/>
                <w:szCs w:val="24"/>
                <w:lang w:val="uk-UA"/>
              </w:rPr>
              <w:t xml:space="preserve">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 ОСП за розрахунковий місяць здійснює продавцю розрахунок частки відшкодування вартості врегулювання небалансу електричної енергії гарантованого покупця та направляє продавцю акт приймання-передачі частки відшкодування вартості врегулювання небалансу електричної енергії гарантованого покупця в електронному вигляді, підписаний зі своєї сторони КЕП уповноваженої особи, на електронну адресу.</w:t>
            </w:r>
          </w:p>
          <w:p w14:paraId="3638BBD8" w14:textId="26ABF9FF" w:rsidR="00EB3253" w:rsidRPr="00EB3253" w:rsidRDefault="00EB3253" w:rsidP="00EB3253">
            <w:pPr>
              <w:ind w:firstLine="567"/>
              <w:jc w:val="both"/>
              <w:rPr>
                <w:rFonts w:ascii="Times New Roman" w:eastAsia="Times New Roman" w:hAnsi="Times New Roman" w:cs="Times New Roman"/>
                <w:b/>
                <w:sz w:val="24"/>
                <w:szCs w:val="24"/>
                <w:lang w:val="uk-UA"/>
              </w:rPr>
            </w:pPr>
            <w:r w:rsidRPr="00EB3253">
              <w:rPr>
                <w:rFonts w:ascii="Times New Roman" w:eastAsia="Times New Roman" w:hAnsi="Times New Roman" w:cs="Times New Roman"/>
                <w:b/>
                <w:sz w:val="24"/>
                <w:szCs w:val="24"/>
                <w:lang w:val="uk-UA"/>
              </w:rPr>
              <w:t>У випадку отримання оновлених даних комерційного обліку по генеруючих одиницях продавця або споживача за «зеленим» тарифом p, що входять до балансуючої групи гарантованого покупця, та/або у випадку отримання від ОСП оновлених даних щодо погодинних обсягів не</w:t>
            </w:r>
            <w:r w:rsidR="004029B5">
              <w:rPr>
                <w:rFonts w:ascii="Times New Roman" w:eastAsia="Times New Roman" w:hAnsi="Times New Roman" w:cs="Times New Roman"/>
                <w:b/>
                <w:sz w:val="24"/>
                <w:szCs w:val="24"/>
                <w:lang w:val="uk-UA"/>
              </w:rPr>
              <w:t xml:space="preserve"> </w:t>
            </w:r>
            <w:r w:rsidRPr="00EB3253">
              <w:rPr>
                <w:rFonts w:ascii="Times New Roman" w:eastAsia="Times New Roman" w:hAnsi="Times New Roman" w:cs="Times New Roman"/>
                <w:b/>
                <w:sz w:val="24"/>
                <w:szCs w:val="24"/>
                <w:lang w:val="uk-UA"/>
              </w:rPr>
              <w:t xml:space="preserve">відпущеної електричної енергії генеруючими одиницями продавців у результаті виконання команд ОСП на зменшення навантаження гарантований покупець здійснює продавцю перерахунок частки відшкодування вартості </w:t>
            </w:r>
            <w:r w:rsidRPr="00EB3253">
              <w:rPr>
                <w:rFonts w:ascii="Times New Roman" w:eastAsia="Times New Roman" w:hAnsi="Times New Roman" w:cs="Times New Roman"/>
                <w:b/>
                <w:sz w:val="24"/>
                <w:szCs w:val="24"/>
                <w:lang w:val="uk-UA"/>
              </w:rPr>
              <w:lastRenderedPageBreak/>
              <w:t xml:space="preserve">врегулювання небалансу електричної енергії гарантованого покупця та направляє продавцю акт коригування до </w:t>
            </w:r>
            <w:proofErr w:type="spellStart"/>
            <w:r w:rsidRPr="00EB3253">
              <w:rPr>
                <w:rFonts w:ascii="Times New Roman" w:eastAsia="Times New Roman" w:hAnsi="Times New Roman" w:cs="Times New Roman"/>
                <w:b/>
                <w:sz w:val="24"/>
                <w:szCs w:val="24"/>
                <w:lang w:val="uk-UA"/>
              </w:rPr>
              <w:t>акта</w:t>
            </w:r>
            <w:proofErr w:type="spellEnd"/>
            <w:r w:rsidRPr="00EB3253">
              <w:rPr>
                <w:rFonts w:ascii="Times New Roman" w:eastAsia="Times New Roman" w:hAnsi="Times New Roman" w:cs="Times New Roman"/>
                <w:b/>
                <w:sz w:val="24"/>
                <w:szCs w:val="24"/>
                <w:lang w:val="uk-UA"/>
              </w:rPr>
              <w:t xml:space="preserve"> приймання-передачі частки відшкодування вартості врегулювання небалансу електричної енергії гарантованого покупця в електронному вигляді, підписаний зі своєї сторони </w:t>
            </w:r>
            <w:r w:rsidR="004029B5">
              <w:rPr>
                <w:rFonts w:ascii="Times New Roman" w:eastAsia="Times New Roman" w:hAnsi="Times New Roman" w:cs="Times New Roman"/>
                <w:b/>
                <w:sz w:val="24"/>
                <w:szCs w:val="24"/>
                <w:lang w:val="uk-UA"/>
              </w:rPr>
              <w:t xml:space="preserve">з накладанням </w:t>
            </w:r>
            <w:bookmarkStart w:id="0" w:name="_GoBack"/>
            <w:r w:rsidRPr="00EB3253">
              <w:rPr>
                <w:rFonts w:ascii="Times New Roman" w:eastAsia="Times New Roman" w:hAnsi="Times New Roman" w:cs="Times New Roman"/>
                <w:b/>
                <w:sz w:val="24"/>
                <w:szCs w:val="24"/>
                <w:lang w:val="uk-UA"/>
              </w:rPr>
              <w:t>КЕП</w:t>
            </w:r>
            <w:bookmarkEnd w:id="0"/>
            <w:r w:rsidRPr="00EB3253">
              <w:rPr>
                <w:rFonts w:ascii="Times New Roman" w:eastAsia="Times New Roman" w:hAnsi="Times New Roman" w:cs="Times New Roman"/>
                <w:b/>
                <w:sz w:val="24"/>
                <w:szCs w:val="24"/>
                <w:lang w:val="uk-UA"/>
              </w:rPr>
              <w:t xml:space="preserve"> уповноваженої особи, на електронну адресу.</w:t>
            </w:r>
          </w:p>
          <w:p w14:paraId="7E3492AE" w14:textId="27A13603" w:rsidR="00EB3253" w:rsidRPr="00FC5C04" w:rsidRDefault="00EB3253" w:rsidP="00EB3253">
            <w:pPr>
              <w:ind w:firstLine="567"/>
              <w:jc w:val="both"/>
              <w:rPr>
                <w:rFonts w:ascii="Times New Roman" w:eastAsia="Times New Roman" w:hAnsi="Times New Roman" w:cs="Times New Roman"/>
                <w:sz w:val="24"/>
                <w:szCs w:val="24"/>
                <w:lang w:val="uk-UA"/>
              </w:rPr>
            </w:pPr>
            <w:r w:rsidRPr="00EB3253">
              <w:rPr>
                <w:rFonts w:ascii="Times New Roman" w:eastAsia="Times New Roman" w:hAnsi="Times New Roman" w:cs="Times New Roman"/>
                <w:b/>
                <w:sz w:val="24"/>
                <w:szCs w:val="24"/>
                <w:lang w:val="uk-UA"/>
              </w:rPr>
              <w:t xml:space="preserve">Остаточний акт коригування до </w:t>
            </w:r>
            <w:proofErr w:type="spellStart"/>
            <w:r w:rsidRPr="00EB3253">
              <w:rPr>
                <w:rFonts w:ascii="Times New Roman" w:eastAsia="Times New Roman" w:hAnsi="Times New Roman" w:cs="Times New Roman"/>
                <w:b/>
                <w:sz w:val="24"/>
                <w:szCs w:val="24"/>
                <w:lang w:val="uk-UA"/>
              </w:rPr>
              <w:t>акта</w:t>
            </w:r>
            <w:proofErr w:type="spellEnd"/>
            <w:r w:rsidRPr="00EB3253">
              <w:rPr>
                <w:rFonts w:ascii="Times New Roman" w:eastAsia="Times New Roman" w:hAnsi="Times New Roman" w:cs="Times New Roman"/>
                <w:b/>
                <w:sz w:val="24"/>
                <w:szCs w:val="24"/>
                <w:lang w:val="uk-UA"/>
              </w:rPr>
              <w:t xml:space="preserve"> приймання-передачі частки відшкодування вартості врегулювання небалансу електричної енергії гарантованого покупця оформлюється гарантованим покупцем з урахуванням положень пункту 9.4 глави 9 цього Порядку та після підписання </w:t>
            </w:r>
            <w:proofErr w:type="spellStart"/>
            <w:r w:rsidRPr="00EB3253">
              <w:rPr>
                <w:rFonts w:ascii="Times New Roman" w:eastAsia="Times New Roman" w:hAnsi="Times New Roman" w:cs="Times New Roman"/>
                <w:b/>
                <w:sz w:val="24"/>
                <w:szCs w:val="24"/>
                <w:lang w:val="uk-UA"/>
              </w:rPr>
              <w:t>акта</w:t>
            </w:r>
            <w:proofErr w:type="spellEnd"/>
            <w:r w:rsidRPr="00EB3253">
              <w:rPr>
                <w:rFonts w:ascii="Times New Roman" w:eastAsia="Times New Roman" w:hAnsi="Times New Roman" w:cs="Times New Roman"/>
                <w:b/>
                <w:sz w:val="24"/>
                <w:szCs w:val="24"/>
                <w:lang w:val="uk-UA"/>
              </w:rPr>
              <w:t xml:space="preserve">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 ОСП за розрахунковий місяць з урахуванням оновлених даних комерційного обліку.</w:t>
            </w:r>
          </w:p>
        </w:tc>
      </w:tr>
    </w:tbl>
    <w:p w14:paraId="1225868B" w14:textId="77777777" w:rsidR="00946BAD" w:rsidRPr="00FC5C04" w:rsidRDefault="00946BAD" w:rsidP="00C15AF4">
      <w:pPr>
        <w:spacing w:after="0"/>
        <w:ind w:firstLine="567"/>
        <w:jc w:val="both"/>
        <w:rPr>
          <w:rFonts w:ascii="Times New Roman" w:hAnsi="Times New Roman" w:cs="Times New Roman"/>
          <w:sz w:val="24"/>
          <w:szCs w:val="24"/>
          <w:lang w:val="uk-UA"/>
        </w:rPr>
      </w:pPr>
    </w:p>
    <w:sectPr w:rsidR="00946BAD" w:rsidRPr="00FC5C04" w:rsidSect="00B76E16">
      <w:footerReference w:type="default" r:id="rId12"/>
      <w:pgSz w:w="16838" w:h="11906" w:orient="landscape"/>
      <w:pgMar w:top="720" w:right="720" w:bottom="426"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7B7E56" w14:textId="77777777" w:rsidR="00875CC8" w:rsidRDefault="00875CC8" w:rsidP="00B76E16">
      <w:pPr>
        <w:spacing w:after="0" w:line="240" w:lineRule="auto"/>
      </w:pPr>
      <w:r>
        <w:separator/>
      </w:r>
    </w:p>
  </w:endnote>
  <w:endnote w:type="continuationSeparator" w:id="0">
    <w:p w14:paraId="5E9B7578" w14:textId="77777777" w:rsidR="00875CC8" w:rsidRDefault="00875CC8" w:rsidP="00B76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5485007"/>
      <w:docPartObj>
        <w:docPartGallery w:val="Page Numbers (Bottom of Page)"/>
        <w:docPartUnique/>
      </w:docPartObj>
    </w:sdtPr>
    <w:sdtEndPr/>
    <w:sdtContent>
      <w:p w14:paraId="13F1A468" w14:textId="77777777" w:rsidR="00C50D8E" w:rsidRDefault="00C50D8E">
        <w:pPr>
          <w:pStyle w:val="af2"/>
          <w:jc w:val="right"/>
        </w:pPr>
        <w:r>
          <w:fldChar w:fldCharType="begin"/>
        </w:r>
        <w:r>
          <w:instrText>PAGE   \* MERGEFORMAT</w:instrText>
        </w:r>
        <w:r>
          <w:fldChar w:fldCharType="separate"/>
        </w:r>
        <w:r w:rsidRPr="0096780E">
          <w:rPr>
            <w:noProof/>
            <w:lang w:val="uk-UA"/>
          </w:rPr>
          <w:t>16</w:t>
        </w:r>
        <w:r>
          <w:fldChar w:fldCharType="end"/>
        </w:r>
      </w:p>
    </w:sdtContent>
  </w:sdt>
  <w:p w14:paraId="383CEB7F" w14:textId="77777777" w:rsidR="00C50D8E" w:rsidRDefault="00C50D8E">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3A20D3" w14:textId="77777777" w:rsidR="00875CC8" w:rsidRDefault="00875CC8" w:rsidP="00B76E16">
      <w:pPr>
        <w:spacing w:after="0" w:line="240" w:lineRule="auto"/>
      </w:pPr>
      <w:r>
        <w:separator/>
      </w:r>
    </w:p>
  </w:footnote>
  <w:footnote w:type="continuationSeparator" w:id="0">
    <w:p w14:paraId="4E0A1A93" w14:textId="77777777" w:rsidR="00875CC8" w:rsidRDefault="00875CC8" w:rsidP="00B76E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140175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b/>
        <w:i w:val="0"/>
        <w:sz w:val="28"/>
        <w:vertAlign w:val="baseline"/>
      </w:rPr>
    </w:lvl>
    <w:lvl w:ilvl="1">
      <w:start w:val="1"/>
      <w:numFmt w:val="decimal"/>
      <w:pStyle w:val="Heading2application"/>
      <w:isLgl/>
      <w:lvlText w:val="%2. "/>
      <w:lvlJc w:val="left"/>
      <w:pPr>
        <w:tabs>
          <w:tab w:val="num" w:pos="851"/>
        </w:tabs>
        <w:ind w:left="0" w:firstLine="851"/>
      </w:pPr>
      <w:rPr>
        <w:rFonts w:cs="Times New Roman"/>
      </w:rPr>
    </w:lvl>
    <w:lvl w:ilvl="2">
      <w:start w:val="1"/>
      <w:numFmt w:val="decimal"/>
      <w:pStyle w:val="Normalapplication"/>
      <w:isLgl/>
      <w:lvlText w:val="%2.%3. "/>
      <w:lvlJc w:val="left"/>
      <w:pPr>
        <w:tabs>
          <w:tab w:val="num" w:pos="851"/>
        </w:tabs>
        <w:ind w:left="0" w:firstLine="851"/>
      </w:pPr>
      <w:rPr>
        <w:rFonts w:cs="Times New Roman"/>
      </w:rPr>
    </w:lvl>
    <w:lvl w:ilvl="3">
      <w:start w:val="1"/>
      <w:numFmt w:val="decimal"/>
      <w:pStyle w:val="Normalnumberingapplication"/>
      <w:lvlText w:val="%4) "/>
      <w:lvlJc w:val="left"/>
      <w:pPr>
        <w:ind w:left="0" w:firstLine="851"/>
      </w:pPr>
      <w:rPr>
        <w:rFonts w:cs="Times New Roman"/>
      </w:rPr>
    </w:lvl>
    <w:lvl w:ilvl="4">
      <w:start w:val="1"/>
      <w:numFmt w:val="russianLower"/>
      <w:lvlText w:val="%5) "/>
      <w:lvlJc w:val="left"/>
      <w:pPr>
        <w:ind w:left="-738" w:firstLine="851"/>
      </w:pPr>
      <w:rPr>
        <w:color w:val="auto"/>
      </w:rPr>
    </w:lvl>
    <w:lvl w:ilvl="5">
      <w:start w:val="1"/>
      <w:numFmt w:val="lowerRoman"/>
      <w:lvlText w:val="%6."/>
      <w:lvlJc w:val="right"/>
      <w:pPr>
        <w:tabs>
          <w:tab w:val="num" w:pos="-738"/>
        </w:tabs>
        <w:ind w:left="2097" w:firstLine="567"/>
      </w:pPr>
      <w:rPr>
        <w:rFonts w:cs="Times New Roman"/>
      </w:rPr>
    </w:lvl>
    <w:lvl w:ilvl="6">
      <w:start w:val="1"/>
      <w:numFmt w:val="decimal"/>
      <w:lvlText w:val="%7."/>
      <w:lvlJc w:val="left"/>
      <w:pPr>
        <w:tabs>
          <w:tab w:val="num" w:pos="-738"/>
        </w:tabs>
        <w:ind w:left="2664" w:firstLine="567"/>
      </w:pPr>
      <w:rPr>
        <w:rFonts w:cs="Times New Roman"/>
      </w:rPr>
    </w:lvl>
    <w:lvl w:ilvl="7">
      <w:start w:val="1"/>
      <w:numFmt w:val="lowerLetter"/>
      <w:lvlText w:val="%8."/>
      <w:lvlJc w:val="left"/>
      <w:pPr>
        <w:tabs>
          <w:tab w:val="num" w:pos="-738"/>
        </w:tabs>
        <w:ind w:left="3231" w:firstLine="567"/>
      </w:pPr>
      <w:rPr>
        <w:rFonts w:cs="Times New Roman"/>
      </w:rPr>
    </w:lvl>
    <w:lvl w:ilvl="8">
      <w:start w:val="1"/>
      <w:numFmt w:val="lowerRoman"/>
      <w:lvlText w:val="%9."/>
      <w:lvlJc w:val="right"/>
      <w:pPr>
        <w:tabs>
          <w:tab w:val="num" w:pos="-738"/>
        </w:tabs>
        <w:ind w:left="3798" w:firstLine="567"/>
      </w:pPr>
      <w:rPr>
        <w:rFonts w:cs="Times New Roman"/>
      </w:rPr>
    </w:lvl>
  </w:abstractNum>
  <w:abstractNum w:abstractNumId="2" w15:restartNumberingAfterBreak="0">
    <w:nsid w:val="740D5CD9"/>
    <w:multiLevelType w:val="multilevel"/>
    <w:tmpl w:val="D6FAE58C"/>
    <w:numStyleLink w:val="newnumberingapplications"/>
  </w:abstractNum>
  <w:num w:numId="1">
    <w:abstractNumId w:val="0"/>
  </w:num>
  <w:num w:numId="2">
    <w:abstractNumId w:val="1"/>
  </w:num>
  <w:num w:numId="3">
    <w:abstractNumId w:val="2"/>
    <w:lvlOverride w:ilvl="0">
      <w:lvl w:ilvl="0">
        <w:start w:val="1"/>
        <w:numFmt w:val="decimal"/>
        <w:pStyle w:val="Heading1application"/>
        <w:lvlText w:val=""/>
        <w:lvlJc w:val="left"/>
        <w:pPr>
          <w:tabs>
            <w:tab w:val="num" w:pos="851"/>
          </w:tabs>
          <w:ind w:left="0" w:firstLine="851"/>
        </w:pPr>
        <w:rPr>
          <w:rFonts w:cs="Times New Roman"/>
          <w:b/>
          <w:i w:val="0"/>
          <w:sz w:val="28"/>
          <w:vertAlign w:val="baseline"/>
        </w:rPr>
      </w:lvl>
    </w:lvlOverride>
    <w:lvlOverride w:ilvl="1">
      <w:lvl w:ilvl="1">
        <w:start w:val="1"/>
        <w:numFmt w:val="decimal"/>
        <w:pStyle w:val="Heading2application"/>
        <w:isLgl/>
        <w:lvlText w:val="%2. "/>
        <w:lvlJc w:val="left"/>
        <w:pPr>
          <w:tabs>
            <w:tab w:val="num" w:pos="851"/>
          </w:tabs>
          <w:ind w:left="0" w:firstLine="851"/>
        </w:pPr>
        <w:rPr>
          <w:rFonts w:cs="Times New Roman"/>
        </w:rPr>
      </w:lvl>
    </w:lvlOverride>
    <w:lvlOverride w:ilvl="2">
      <w:lvl w:ilvl="2">
        <w:start w:val="1"/>
        <w:numFmt w:val="decimal"/>
        <w:pStyle w:val="Normalapplication"/>
        <w:isLgl/>
        <w:lvlText w:val="%2.%3. "/>
        <w:lvlJc w:val="left"/>
        <w:pPr>
          <w:tabs>
            <w:tab w:val="num" w:pos="710"/>
          </w:tabs>
          <w:ind w:left="-141" w:firstLine="851"/>
        </w:pPr>
        <w:rPr>
          <w:rFonts w:cs="Times New Roman"/>
          <w:b w:val="0"/>
          <w:bCs/>
        </w:rPr>
      </w:lvl>
    </w:lvlOverride>
    <w:lvlOverride w:ilvl="3">
      <w:lvl w:ilvl="3">
        <w:start w:val="1"/>
        <w:numFmt w:val="decimal"/>
        <w:pStyle w:val="Normalnumberingapplication"/>
        <w:lvlText w:val="%4) "/>
        <w:lvlJc w:val="left"/>
        <w:pPr>
          <w:ind w:left="0" w:firstLine="851"/>
        </w:pPr>
        <w:rPr>
          <w:rFonts w:cs="Times New Roman"/>
        </w:rPr>
      </w:lvl>
    </w:lvlOverride>
    <w:lvlOverride w:ilvl="4">
      <w:lvl w:ilvl="4">
        <w:start w:val="1"/>
        <w:numFmt w:val="decimal"/>
        <w:lvlText w:val="%5) "/>
        <w:lvlJc w:val="left"/>
        <w:pPr>
          <w:ind w:left="-738" w:firstLine="851"/>
        </w:pPr>
        <w:rPr>
          <w:color w:val="auto"/>
        </w:rPr>
      </w:lvl>
    </w:lvlOverride>
    <w:lvlOverride w:ilvl="5">
      <w:lvl w:ilvl="5">
        <w:start w:val="1"/>
        <w:numFmt w:val="decimal"/>
        <w:lvlText w:val="%6."/>
        <w:lvlJc w:val="right"/>
        <w:pPr>
          <w:tabs>
            <w:tab w:val="num" w:pos="-738"/>
          </w:tabs>
          <w:ind w:left="2097" w:firstLine="567"/>
        </w:pPr>
        <w:rPr>
          <w:rFonts w:cs="Times New Roman"/>
        </w:rPr>
      </w:lvl>
    </w:lvlOverride>
    <w:lvlOverride w:ilvl="6">
      <w:lvl w:ilvl="6">
        <w:start w:val="1"/>
        <w:numFmt w:val="decimal"/>
        <w:lvlText w:val="%7."/>
        <w:lvlJc w:val="left"/>
        <w:pPr>
          <w:tabs>
            <w:tab w:val="num" w:pos="-738"/>
          </w:tabs>
          <w:ind w:left="2664" w:firstLine="567"/>
        </w:pPr>
        <w:rPr>
          <w:rFonts w:cs="Times New Roman"/>
        </w:rPr>
      </w:lvl>
    </w:lvlOverride>
    <w:lvlOverride w:ilvl="7">
      <w:lvl w:ilvl="7">
        <w:start w:val="1"/>
        <w:numFmt w:val="decimal"/>
        <w:lvlText w:val="%8."/>
        <w:lvlJc w:val="left"/>
        <w:pPr>
          <w:tabs>
            <w:tab w:val="num" w:pos="-738"/>
          </w:tabs>
          <w:ind w:left="3231" w:firstLine="567"/>
        </w:pPr>
        <w:rPr>
          <w:rFonts w:cs="Times New Roman"/>
        </w:rPr>
      </w:lvl>
    </w:lvlOverride>
    <w:lvlOverride w:ilvl="8">
      <w:lvl w:ilvl="8">
        <w:start w:val="1"/>
        <w:numFmt w:val="decimal"/>
        <w:lvlText w:val="%9."/>
        <w:lvlJc w:val="right"/>
        <w:pPr>
          <w:tabs>
            <w:tab w:val="num" w:pos="-738"/>
          </w:tabs>
          <w:ind w:left="3798" w:firstLine="567"/>
        </w:pPr>
        <w:rPr>
          <w:rFonts w:cs="Times New Roman"/>
        </w:rPr>
      </w:lvl>
    </w:lvlOverride>
  </w:num>
  <w:num w:numId="4">
    <w:abstractNumId w:val="2"/>
    <w:lvlOverride w:ilvl="0">
      <w:lvl w:ilvl="0">
        <w:start w:val="1"/>
        <w:numFmt w:val="decimal"/>
        <w:pStyle w:val="Heading1application"/>
        <w:lvlText w:val=""/>
        <w:lvlJc w:val="left"/>
        <w:pPr>
          <w:tabs>
            <w:tab w:val="num" w:pos="851"/>
          </w:tabs>
          <w:ind w:left="0" w:firstLine="851"/>
        </w:pPr>
        <w:rPr>
          <w:rFonts w:cs="Times New Roman"/>
          <w:b/>
          <w:i w:val="0"/>
          <w:sz w:val="28"/>
          <w:vertAlign w:val="baseline"/>
        </w:rPr>
      </w:lvl>
    </w:lvlOverride>
    <w:lvlOverride w:ilvl="1">
      <w:lvl w:ilvl="1">
        <w:start w:val="1"/>
        <w:numFmt w:val="decimal"/>
        <w:pStyle w:val="Heading2application"/>
        <w:isLgl/>
        <w:lvlText w:val="%2. "/>
        <w:lvlJc w:val="left"/>
        <w:pPr>
          <w:tabs>
            <w:tab w:val="num" w:pos="851"/>
          </w:tabs>
          <w:ind w:left="0" w:firstLine="851"/>
        </w:pPr>
        <w:rPr>
          <w:rFonts w:cs="Times New Roman"/>
        </w:rPr>
      </w:lvl>
    </w:lvlOverride>
    <w:lvlOverride w:ilvl="2">
      <w:lvl w:ilvl="2">
        <w:start w:val="1"/>
        <w:numFmt w:val="decimal"/>
        <w:pStyle w:val="Normalapplication"/>
        <w:isLgl/>
        <w:lvlText w:val="%2.%3. "/>
        <w:lvlJc w:val="left"/>
        <w:pPr>
          <w:tabs>
            <w:tab w:val="num" w:pos="851"/>
          </w:tabs>
          <w:ind w:left="0" w:firstLine="851"/>
        </w:pPr>
        <w:rPr>
          <w:rFonts w:cs="Times New Roman"/>
        </w:rPr>
      </w:lvl>
    </w:lvlOverride>
    <w:lvlOverride w:ilvl="3">
      <w:lvl w:ilvl="3">
        <w:start w:val="1"/>
        <w:numFmt w:val="decimal"/>
        <w:pStyle w:val="Normalnumberingapplication"/>
        <w:lvlText w:val="%4) "/>
        <w:lvlJc w:val="left"/>
        <w:pPr>
          <w:ind w:left="0" w:firstLine="851"/>
        </w:pPr>
        <w:rPr>
          <w:rFonts w:cs="Times New Roman"/>
        </w:rPr>
      </w:lvl>
    </w:lvlOverride>
    <w:lvlOverride w:ilvl="4">
      <w:lvl w:ilvl="4">
        <w:start w:val="1"/>
        <w:numFmt w:val="decimal"/>
        <w:lvlText w:val="%5) "/>
        <w:lvlJc w:val="left"/>
        <w:pPr>
          <w:ind w:left="-738" w:firstLine="851"/>
        </w:pPr>
        <w:rPr>
          <w:color w:val="auto"/>
        </w:rPr>
      </w:lvl>
    </w:lvlOverride>
    <w:lvlOverride w:ilvl="5">
      <w:lvl w:ilvl="5">
        <w:start w:val="1"/>
        <w:numFmt w:val="decimal"/>
        <w:lvlText w:val="%6."/>
        <w:lvlJc w:val="right"/>
        <w:pPr>
          <w:tabs>
            <w:tab w:val="num" w:pos="-738"/>
          </w:tabs>
          <w:ind w:left="2097" w:firstLine="567"/>
        </w:pPr>
        <w:rPr>
          <w:rFonts w:cs="Times New Roman"/>
        </w:rPr>
      </w:lvl>
    </w:lvlOverride>
    <w:lvlOverride w:ilvl="6">
      <w:lvl w:ilvl="6">
        <w:start w:val="1"/>
        <w:numFmt w:val="decimal"/>
        <w:lvlText w:val="%7."/>
        <w:lvlJc w:val="left"/>
        <w:pPr>
          <w:tabs>
            <w:tab w:val="num" w:pos="-738"/>
          </w:tabs>
          <w:ind w:left="2664" w:firstLine="567"/>
        </w:pPr>
        <w:rPr>
          <w:rFonts w:cs="Times New Roman"/>
        </w:rPr>
      </w:lvl>
    </w:lvlOverride>
    <w:lvlOverride w:ilvl="7">
      <w:lvl w:ilvl="7">
        <w:start w:val="1"/>
        <w:numFmt w:val="decimal"/>
        <w:lvlText w:val="%8."/>
        <w:lvlJc w:val="left"/>
        <w:pPr>
          <w:tabs>
            <w:tab w:val="num" w:pos="-738"/>
          </w:tabs>
          <w:ind w:left="3231" w:firstLine="567"/>
        </w:pPr>
        <w:rPr>
          <w:rFonts w:cs="Times New Roman"/>
        </w:rPr>
      </w:lvl>
    </w:lvlOverride>
    <w:lvlOverride w:ilvl="8">
      <w:lvl w:ilvl="8">
        <w:start w:val="1"/>
        <w:numFmt w:val="decimal"/>
        <w:lvlText w:val="%9."/>
        <w:lvlJc w:val="right"/>
        <w:pPr>
          <w:tabs>
            <w:tab w:val="num" w:pos="-738"/>
          </w:tabs>
          <w:ind w:left="3798" w:firstLine="567"/>
        </w:pPr>
        <w:rPr>
          <w:rFonts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BAD"/>
    <w:rsid w:val="000061D6"/>
    <w:rsid w:val="00007C00"/>
    <w:rsid w:val="00031BBA"/>
    <w:rsid w:val="0003447D"/>
    <w:rsid w:val="00037EDB"/>
    <w:rsid w:val="00040306"/>
    <w:rsid w:val="00044F5E"/>
    <w:rsid w:val="0005644B"/>
    <w:rsid w:val="00081BEB"/>
    <w:rsid w:val="00085361"/>
    <w:rsid w:val="000943B5"/>
    <w:rsid w:val="000B399E"/>
    <w:rsid w:val="000C6A18"/>
    <w:rsid w:val="000D2877"/>
    <w:rsid w:val="000D2916"/>
    <w:rsid w:val="000E0E27"/>
    <w:rsid w:val="000E7624"/>
    <w:rsid w:val="000E7F76"/>
    <w:rsid w:val="000F123D"/>
    <w:rsid w:val="000F558E"/>
    <w:rsid w:val="000F7EE7"/>
    <w:rsid w:val="0010009F"/>
    <w:rsid w:val="00100E63"/>
    <w:rsid w:val="001026FF"/>
    <w:rsid w:val="00113712"/>
    <w:rsid w:val="00113F2D"/>
    <w:rsid w:val="00135F86"/>
    <w:rsid w:val="0014353D"/>
    <w:rsid w:val="001500EF"/>
    <w:rsid w:val="00152096"/>
    <w:rsid w:val="00154938"/>
    <w:rsid w:val="00157B06"/>
    <w:rsid w:val="00163B1B"/>
    <w:rsid w:val="00193014"/>
    <w:rsid w:val="001A2BD7"/>
    <w:rsid w:val="001A764D"/>
    <w:rsid w:val="001B3C7D"/>
    <w:rsid w:val="001B79E7"/>
    <w:rsid w:val="001D0546"/>
    <w:rsid w:val="001D3D96"/>
    <w:rsid w:val="001E1ACA"/>
    <w:rsid w:val="001E3FB2"/>
    <w:rsid w:val="0020212E"/>
    <w:rsid w:val="00204E6E"/>
    <w:rsid w:val="00210FF7"/>
    <w:rsid w:val="002167D0"/>
    <w:rsid w:val="00216FB5"/>
    <w:rsid w:val="00226AA8"/>
    <w:rsid w:val="00227184"/>
    <w:rsid w:val="002553DE"/>
    <w:rsid w:val="0026473E"/>
    <w:rsid w:val="002755E9"/>
    <w:rsid w:val="00284CB2"/>
    <w:rsid w:val="00294CD9"/>
    <w:rsid w:val="002C4F9B"/>
    <w:rsid w:val="002F4539"/>
    <w:rsid w:val="003033D4"/>
    <w:rsid w:val="003033E8"/>
    <w:rsid w:val="00315134"/>
    <w:rsid w:val="0031647A"/>
    <w:rsid w:val="003317F1"/>
    <w:rsid w:val="003318B5"/>
    <w:rsid w:val="0033773B"/>
    <w:rsid w:val="0034169D"/>
    <w:rsid w:val="00342587"/>
    <w:rsid w:val="00343D4B"/>
    <w:rsid w:val="00356D6B"/>
    <w:rsid w:val="0035745F"/>
    <w:rsid w:val="00381006"/>
    <w:rsid w:val="00384BDE"/>
    <w:rsid w:val="003870E7"/>
    <w:rsid w:val="003A4027"/>
    <w:rsid w:val="003B073D"/>
    <w:rsid w:val="003C05BC"/>
    <w:rsid w:val="003C129F"/>
    <w:rsid w:val="003C1816"/>
    <w:rsid w:val="003C4F94"/>
    <w:rsid w:val="003C5B28"/>
    <w:rsid w:val="003D31C7"/>
    <w:rsid w:val="003D7CC2"/>
    <w:rsid w:val="003E0045"/>
    <w:rsid w:val="003E089D"/>
    <w:rsid w:val="003E13CD"/>
    <w:rsid w:val="003E269B"/>
    <w:rsid w:val="003E646E"/>
    <w:rsid w:val="003F3E27"/>
    <w:rsid w:val="003F706A"/>
    <w:rsid w:val="00400E5B"/>
    <w:rsid w:val="004029B5"/>
    <w:rsid w:val="00415814"/>
    <w:rsid w:val="004177B5"/>
    <w:rsid w:val="00422829"/>
    <w:rsid w:val="00424F04"/>
    <w:rsid w:val="00425C4A"/>
    <w:rsid w:val="00430613"/>
    <w:rsid w:val="0043379A"/>
    <w:rsid w:val="004366AC"/>
    <w:rsid w:val="00440E23"/>
    <w:rsid w:val="004432F0"/>
    <w:rsid w:val="00447B34"/>
    <w:rsid w:val="00447FCE"/>
    <w:rsid w:val="00452F07"/>
    <w:rsid w:val="00453011"/>
    <w:rsid w:val="00457664"/>
    <w:rsid w:val="00473674"/>
    <w:rsid w:val="00481D88"/>
    <w:rsid w:val="00487849"/>
    <w:rsid w:val="004B09C0"/>
    <w:rsid w:val="004B6A0E"/>
    <w:rsid w:val="004B74C6"/>
    <w:rsid w:val="004B78FA"/>
    <w:rsid w:val="004C2ABC"/>
    <w:rsid w:val="004C64CC"/>
    <w:rsid w:val="004D758F"/>
    <w:rsid w:val="004F608C"/>
    <w:rsid w:val="00503F76"/>
    <w:rsid w:val="00505473"/>
    <w:rsid w:val="00506D94"/>
    <w:rsid w:val="00512105"/>
    <w:rsid w:val="005127AB"/>
    <w:rsid w:val="00521227"/>
    <w:rsid w:val="00536E41"/>
    <w:rsid w:val="00536EFE"/>
    <w:rsid w:val="00544F33"/>
    <w:rsid w:val="00555DE1"/>
    <w:rsid w:val="005572DD"/>
    <w:rsid w:val="00557FDE"/>
    <w:rsid w:val="005820B2"/>
    <w:rsid w:val="00585BDC"/>
    <w:rsid w:val="00586E6F"/>
    <w:rsid w:val="005A4B1C"/>
    <w:rsid w:val="005C16C8"/>
    <w:rsid w:val="005C20D4"/>
    <w:rsid w:val="005D20B5"/>
    <w:rsid w:val="005E18DA"/>
    <w:rsid w:val="005F026D"/>
    <w:rsid w:val="005F0C43"/>
    <w:rsid w:val="006064F1"/>
    <w:rsid w:val="00613DB4"/>
    <w:rsid w:val="00616D6B"/>
    <w:rsid w:val="00620CA8"/>
    <w:rsid w:val="0062690B"/>
    <w:rsid w:val="00633FD4"/>
    <w:rsid w:val="006357BD"/>
    <w:rsid w:val="006406D6"/>
    <w:rsid w:val="00641E77"/>
    <w:rsid w:val="00643DC8"/>
    <w:rsid w:val="00643FFC"/>
    <w:rsid w:val="0064569F"/>
    <w:rsid w:val="00652089"/>
    <w:rsid w:val="00656F39"/>
    <w:rsid w:val="006622DF"/>
    <w:rsid w:val="00664962"/>
    <w:rsid w:val="00672EAF"/>
    <w:rsid w:val="00685AE9"/>
    <w:rsid w:val="006860E3"/>
    <w:rsid w:val="006A0FE1"/>
    <w:rsid w:val="006A3ECF"/>
    <w:rsid w:val="006A6769"/>
    <w:rsid w:val="006B2D18"/>
    <w:rsid w:val="006B4A94"/>
    <w:rsid w:val="006B6A12"/>
    <w:rsid w:val="006C1C16"/>
    <w:rsid w:val="006C2BC7"/>
    <w:rsid w:val="006C3C2B"/>
    <w:rsid w:val="006C4EA5"/>
    <w:rsid w:val="006C4FFA"/>
    <w:rsid w:val="006F0074"/>
    <w:rsid w:val="006F7704"/>
    <w:rsid w:val="00714218"/>
    <w:rsid w:val="00716F89"/>
    <w:rsid w:val="007242EC"/>
    <w:rsid w:val="00730ECF"/>
    <w:rsid w:val="00753FD5"/>
    <w:rsid w:val="0075545A"/>
    <w:rsid w:val="00772803"/>
    <w:rsid w:val="00773049"/>
    <w:rsid w:val="007763E6"/>
    <w:rsid w:val="007A1329"/>
    <w:rsid w:val="007A320D"/>
    <w:rsid w:val="007B32D1"/>
    <w:rsid w:val="007B673C"/>
    <w:rsid w:val="007C7A23"/>
    <w:rsid w:val="007E0B22"/>
    <w:rsid w:val="007E1B53"/>
    <w:rsid w:val="007E4DD5"/>
    <w:rsid w:val="007F642D"/>
    <w:rsid w:val="008062B4"/>
    <w:rsid w:val="00816C8E"/>
    <w:rsid w:val="00835EF6"/>
    <w:rsid w:val="00843D3B"/>
    <w:rsid w:val="00845997"/>
    <w:rsid w:val="00852541"/>
    <w:rsid w:val="008545DB"/>
    <w:rsid w:val="00857896"/>
    <w:rsid w:val="0086705C"/>
    <w:rsid w:val="00875CC8"/>
    <w:rsid w:val="00877D56"/>
    <w:rsid w:val="00887662"/>
    <w:rsid w:val="008967CD"/>
    <w:rsid w:val="008A1372"/>
    <w:rsid w:val="008A19C1"/>
    <w:rsid w:val="008A5462"/>
    <w:rsid w:val="008A78FA"/>
    <w:rsid w:val="008B2EF8"/>
    <w:rsid w:val="008B3C81"/>
    <w:rsid w:val="008B4BA2"/>
    <w:rsid w:val="008D5793"/>
    <w:rsid w:val="008D5AD3"/>
    <w:rsid w:val="008E5653"/>
    <w:rsid w:val="008F6B40"/>
    <w:rsid w:val="00911804"/>
    <w:rsid w:val="009151C1"/>
    <w:rsid w:val="009205DB"/>
    <w:rsid w:val="0092087E"/>
    <w:rsid w:val="00924FF1"/>
    <w:rsid w:val="00930174"/>
    <w:rsid w:val="00944E93"/>
    <w:rsid w:val="00945427"/>
    <w:rsid w:val="00946865"/>
    <w:rsid w:val="00946BAD"/>
    <w:rsid w:val="009542EC"/>
    <w:rsid w:val="0096000C"/>
    <w:rsid w:val="009627AD"/>
    <w:rsid w:val="0096780E"/>
    <w:rsid w:val="0098064D"/>
    <w:rsid w:val="009936B1"/>
    <w:rsid w:val="009943B5"/>
    <w:rsid w:val="00996EA9"/>
    <w:rsid w:val="009A49F5"/>
    <w:rsid w:val="009B2CA6"/>
    <w:rsid w:val="009C4414"/>
    <w:rsid w:val="009C62D4"/>
    <w:rsid w:val="009D78DC"/>
    <w:rsid w:val="009E34F6"/>
    <w:rsid w:val="009E615A"/>
    <w:rsid w:val="00A03DBC"/>
    <w:rsid w:val="00A04C99"/>
    <w:rsid w:val="00A06731"/>
    <w:rsid w:val="00A12835"/>
    <w:rsid w:val="00A33A08"/>
    <w:rsid w:val="00A33F42"/>
    <w:rsid w:val="00A366CC"/>
    <w:rsid w:val="00A47EB8"/>
    <w:rsid w:val="00A62205"/>
    <w:rsid w:val="00A62E9E"/>
    <w:rsid w:val="00A702B8"/>
    <w:rsid w:val="00A8221E"/>
    <w:rsid w:val="00A831BF"/>
    <w:rsid w:val="00A844FD"/>
    <w:rsid w:val="00A85484"/>
    <w:rsid w:val="00A858D9"/>
    <w:rsid w:val="00A86BA7"/>
    <w:rsid w:val="00A91F7B"/>
    <w:rsid w:val="00AA7F74"/>
    <w:rsid w:val="00AB06C6"/>
    <w:rsid w:val="00AB2F50"/>
    <w:rsid w:val="00AC0B66"/>
    <w:rsid w:val="00AC1466"/>
    <w:rsid w:val="00AC43F2"/>
    <w:rsid w:val="00AD3B26"/>
    <w:rsid w:val="00AD443F"/>
    <w:rsid w:val="00AD50DA"/>
    <w:rsid w:val="00AD556A"/>
    <w:rsid w:val="00AE477B"/>
    <w:rsid w:val="00AE6771"/>
    <w:rsid w:val="00AF2F4D"/>
    <w:rsid w:val="00B0250E"/>
    <w:rsid w:val="00B049A1"/>
    <w:rsid w:val="00B07C9A"/>
    <w:rsid w:val="00B10755"/>
    <w:rsid w:val="00B24288"/>
    <w:rsid w:val="00B252EE"/>
    <w:rsid w:val="00B3051D"/>
    <w:rsid w:val="00B36B53"/>
    <w:rsid w:val="00B5597F"/>
    <w:rsid w:val="00B60E0F"/>
    <w:rsid w:val="00B6485F"/>
    <w:rsid w:val="00B67A2E"/>
    <w:rsid w:val="00B71624"/>
    <w:rsid w:val="00B73002"/>
    <w:rsid w:val="00B76E16"/>
    <w:rsid w:val="00BA140E"/>
    <w:rsid w:val="00BA6CC8"/>
    <w:rsid w:val="00BC290B"/>
    <w:rsid w:val="00BC3E68"/>
    <w:rsid w:val="00BC6E82"/>
    <w:rsid w:val="00BD4BE2"/>
    <w:rsid w:val="00BD4E49"/>
    <w:rsid w:val="00BF023B"/>
    <w:rsid w:val="00C01155"/>
    <w:rsid w:val="00C0150F"/>
    <w:rsid w:val="00C12843"/>
    <w:rsid w:val="00C13C8C"/>
    <w:rsid w:val="00C15AF4"/>
    <w:rsid w:val="00C234B2"/>
    <w:rsid w:val="00C4151F"/>
    <w:rsid w:val="00C468C3"/>
    <w:rsid w:val="00C50865"/>
    <w:rsid w:val="00C50D8E"/>
    <w:rsid w:val="00C51578"/>
    <w:rsid w:val="00C560B3"/>
    <w:rsid w:val="00CB5E14"/>
    <w:rsid w:val="00CC0D41"/>
    <w:rsid w:val="00CE284E"/>
    <w:rsid w:val="00CF1A91"/>
    <w:rsid w:val="00CF24DF"/>
    <w:rsid w:val="00D07089"/>
    <w:rsid w:val="00D21B56"/>
    <w:rsid w:val="00D53F06"/>
    <w:rsid w:val="00D54F24"/>
    <w:rsid w:val="00D55F81"/>
    <w:rsid w:val="00D71D16"/>
    <w:rsid w:val="00D768C6"/>
    <w:rsid w:val="00D823AA"/>
    <w:rsid w:val="00D906B6"/>
    <w:rsid w:val="00D9322C"/>
    <w:rsid w:val="00D96D41"/>
    <w:rsid w:val="00DA155E"/>
    <w:rsid w:val="00DA34BF"/>
    <w:rsid w:val="00DA5A24"/>
    <w:rsid w:val="00DB214F"/>
    <w:rsid w:val="00DB58A8"/>
    <w:rsid w:val="00DC500B"/>
    <w:rsid w:val="00DD2466"/>
    <w:rsid w:val="00DD2761"/>
    <w:rsid w:val="00DD7979"/>
    <w:rsid w:val="00DF66FA"/>
    <w:rsid w:val="00DF73A2"/>
    <w:rsid w:val="00E064F2"/>
    <w:rsid w:val="00E07061"/>
    <w:rsid w:val="00E1301D"/>
    <w:rsid w:val="00E145B0"/>
    <w:rsid w:val="00E20258"/>
    <w:rsid w:val="00E22861"/>
    <w:rsid w:val="00E33897"/>
    <w:rsid w:val="00E35235"/>
    <w:rsid w:val="00E36ADA"/>
    <w:rsid w:val="00E40E98"/>
    <w:rsid w:val="00E4607D"/>
    <w:rsid w:val="00E647F5"/>
    <w:rsid w:val="00E761AC"/>
    <w:rsid w:val="00EA12BD"/>
    <w:rsid w:val="00EA2495"/>
    <w:rsid w:val="00EB3253"/>
    <w:rsid w:val="00EC0408"/>
    <w:rsid w:val="00EC2669"/>
    <w:rsid w:val="00ED366F"/>
    <w:rsid w:val="00EE1106"/>
    <w:rsid w:val="00EE1B07"/>
    <w:rsid w:val="00EE5129"/>
    <w:rsid w:val="00EE5A5B"/>
    <w:rsid w:val="00EF2342"/>
    <w:rsid w:val="00F13164"/>
    <w:rsid w:val="00F158FA"/>
    <w:rsid w:val="00F52381"/>
    <w:rsid w:val="00F63F67"/>
    <w:rsid w:val="00F738CB"/>
    <w:rsid w:val="00F75645"/>
    <w:rsid w:val="00F77B6A"/>
    <w:rsid w:val="00F92543"/>
    <w:rsid w:val="00F97D03"/>
    <w:rsid w:val="00FC1621"/>
    <w:rsid w:val="00FC3047"/>
    <w:rsid w:val="00FC5C04"/>
    <w:rsid w:val="00FD3B6D"/>
    <w:rsid w:val="00FD539F"/>
    <w:rsid w:val="00FE6A01"/>
    <w:rsid w:val="00FE7618"/>
    <w:rsid w:val="00FF1D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5050B"/>
  <w15:docId w15:val="{6B80683E-A39B-42C2-8B90-825846B2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03F76"/>
  </w:style>
  <w:style w:type="paragraph" w:styleId="1">
    <w:name w:val="heading 1"/>
    <w:basedOn w:val="a0"/>
    <w:next w:val="a0"/>
    <w:link w:val="10"/>
    <w:uiPriority w:val="9"/>
    <w:qFormat/>
    <w:rsid w:val="00A128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0"/>
    <w:next w:val="a0"/>
    <w:link w:val="20"/>
    <w:uiPriority w:val="9"/>
    <w:semiHidden/>
    <w:unhideWhenUsed/>
    <w:qFormat/>
    <w:rsid w:val="00A1283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946B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AF2F4D"/>
    <w:pPr>
      <w:ind w:left="720"/>
      <w:contextualSpacing/>
    </w:pPr>
  </w:style>
  <w:style w:type="character" w:styleId="a6">
    <w:name w:val="annotation reference"/>
    <w:basedOn w:val="a1"/>
    <w:uiPriority w:val="99"/>
    <w:semiHidden/>
    <w:unhideWhenUsed/>
    <w:rsid w:val="00BC6E82"/>
    <w:rPr>
      <w:sz w:val="16"/>
      <w:szCs w:val="16"/>
    </w:rPr>
  </w:style>
  <w:style w:type="paragraph" w:styleId="a7">
    <w:name w:val="annotation text"/>
    <w:basedOn w:val="a0"/>
    <w:link w:val="a8"/>
    <w:uiPriority w:val="99"/>
    <w:unhideWhenUsed/>
    <w:rsid w:val="00BC6E82"/>
    <w:pPr>
      <w:spacing w:line="240" w:lineRule="auto"/>
    </w:pPr>
    <w:rPr>
      <w:sz w:val="20"/>
      <w:szCs w:val="20"/>
    </w:rPr>
  </w:style>
  <w:style w:type="character" w:customStyle="1" w:styleId="a8">
    <w:name w:val="Текст примітки Знак"/>
    <w:basedOn w:val="a1"/>
    <w:link w:val="a7"/>
    <w:uiPriority w:val="99"/>
    <w:rsid w:val="00BC6E82"/>
    <w:rPr>
      <w:sz w:val="20"/>
      <w:szCs w:val="20"/>
    </w:rPr>
  </w:style>
  <w:style w:type="paragraph" w:styleId="a9">
    <w:name w:val="annotation subject"/>
    <w:basedOn w:val="a7"/>
    <w:next w:val="a7"/>
    <w:link w:val="aa"/>
    <w:uiPriority w:val="99"/>
    <w:semiHidden/>
    <w:unhideWhenUsed/>
    <w:rsid w:val="00BC6E82"/>
    <w:rPr>
      <w:b/>
      <w:bCs/>
    </w:rPr>
  </w:style>
  <w:style w:type="character" w:customStyle="1" w:styleId="aa">
    <w:name w:val="Тема примітки Знак"/>
    <w:basedOn w:val="a8"/>
    <w:link w:val="a9"/>
    <w:uiPriority w:val="99"/>
    <w:semiHidden/>
    <w:rsid w:val="00BC6E82"/>
    <w:rPr>
      <w:b/>
      <w:bCs/>
      <w:sz w:val="20"/>
      <w:szCs w:val="20"/>
    </w:rPr>
  </w:style>
  <w:style w:type="paragraph" w:styleId="ab">
    <w:name w:val="Balloon Text"/>
    <w:basedOn w:val="a0"/>
    <w:link w:val="ac"/>
    <w:uiPriority w:val="99"/>
    <w:semiHidden/>
    <w:unhideWhenUsed/>
    <w:rsid w:val="00422829"/>
    <w:pPr>
      <w:spacing w:after="0" w:line="240" w:lineRule="auto"/>
    </w:pPr>
    <w:rPr>
      <w:rFonts w:ascii="Segoe UI" w:hAnsi="Segoe UI" w:cs="Segoe UI"/>
      <w:sz w:val="18"/>
      <w:szCs w:val="18"/>
    </w:rPr>
  </w:style>
  <w:style w:type="character" w:customStyle="1" w:styleId="ac">
    <w:name w:val="Текст у виносці Знак"/>
    <w:basedOn w:val="a1"/>
    <w:link w:val="ab"/>
    <w:uiPriority w:val="99"/>
    <w:semiHidden/>
    <w:rsid w:val="00422829"/>
    <w:rPr>
      <w:rFonts w:ascii="Segoe UI" w:hAnsi="Segoe UI" w:cs="Segoe UI"/>
      <w:sz w:val="18"/>
      <w:szCs w:val="18"/>
    </w:rPr>
  </w:style>
  <w:style w:type="paragraph" w:styleId="ad">
    <w:name w:val="Revision"/>
    <w:hidden/>
    <w:uiPriority w:val="99"/>
    <w:semiHidden/>
    <w:rsid w:val="00E647F5"/>
    <w:pPr>
      <w:spacing w:after="0" w:line="240" w:lineRule="auto"/>
    </w:pPr>
  </w:style>
  <w:style w:type="paragraph" w:styleId="a">
    <w:name w:val="List Bullet"/>
    <w:basedOn w:val="a0"/>
    <w:uiPriority w:val="99"/>
    <w:unhideWhenUsed/>
    <w:rsid w:val="00430613"/>
    <w:pPr>
      <w:numPr>
        <w:numId w:val="1"/>
      </w:numPr>
      <w:contextualSpacing/>
    </w:pPr>
  </w:style>
  <w:style w:type="paragraph" w:customStyle="1" w:styleId="Normalwithoutnum">
    <w:name w:val="Normal without num"/>
    <w:basedOn w:val="a0"/>
    <w:qFormat/>
    <w:rsid w:val="00E20258"/>
    <w:pPr>
      <w:widowControl w:val="0"/>
      <w:spacing w:after="0" w:line="240" w:lineRule="auto"/>
      <w:ind w:firstLine="851"/>
      <w:jc w:val="both"/>
      <w:outlineLvl w:val="2"/>
    </w:pPr>
    <w:rPr>
      <w:rFonts w:ascii="Times New Roman" w:eastAsia="Calibri" w:hAnsi="Times New Roman" w:cs="Times New Roman"/>
      <w:sz w:val="28"/>
      <w:szCs w:val="28"/>
      <w:lang w:val="uk-UA"/>
    </w:rPr>
  </w:style>
  <w:style w:type="paragraph" w:customStyle="1" w:styleId="rvps2">
    <w:name w:val="rvps2"/>
    <w:basedOn w:val="a0"/>
    <w:rsid w:val="00A858D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1">
    <w:name w:val="rvts11"/>
    <w:basedOn w:val="a1"/>
    <w:rsid w:val="00A858D9"/>
  </w:style>
  <w:style w:type="character" w:styleId="ae">
    <w:name w:val="Hyperlink"/>
    <w:basedOn w:val="a1"/>
    <w:uiPriority w:val="99"/>
    <w:semiHidden/>
    <w:unhideWhenUsed/>
    <w:rsid w:val="00A858D9"/>
    <w:rPr>
      <w:color w:val="0000FF"/>
      <w:u w:val="single"/>
    </w:rPr>
  </w:style>
  <w:style w:type="paragraph" w:customStyle="1" w:styleId="af">
    <w:name w:val="Обычный формула"/>
    <w:basedOn w:val="a0"/>
    <w:uiPriority w:val="99"/>
    <w:rsid w:val="008B4BA2"/>
    <w:pPr>
      <w:widowControl w:val="0"/>
      <w:tabs>
        <w:tab w:val="left" w:pos="1701"/>
      </w:tabs>
      <w:spacing w:before="120" w:after="120" w:line="240" w:lineRule="auto"/>
      <w:jc w:val="center"/>
      <w:outlineLvl w:val="2"/>
    </w:pPr>
    <w:rPr>
      <w:rFonts w:ascii="Times New Roman" w:eastAsia="Times New Roman" w:hAnsi="Times New Roman" w:cs="Helvetica"/>
      <w:sz w:val="28"/>
      <w:szCs w:val="24"/>
      <w:lang w:val="ru-RU"/>
    </w:rPr>
  </w:style>
  <w:style w:type="paragraph" w:styleId="af0">
    <w:name w:val="header"/>
    <w:basedOn w:val="a0"/>
    <w:link w:val="af1"/>
    <w:uiPriority w:val="99"/>
    <w:unhideWhenUsed/>
    <w:rsid w:val="00B76E16"/>
    <w:pPr>
      <w:tabs>
        <w:tab w:val="center" w:pos="4819"/>
        <w:tab w:val="right" w:pos="9639"/>
      </w:tabs>
      <w:spacing w:after="0" w:line="240" w:lineRule="auto"/>
    </w:pPr>
  </w:style>
  <w:style w:type="character" w:customStyle="1" w:styleId="af1">
    <w:name w:val="Верхній колонтитул Знак"/>
    <w:basedOn w:val="a1"/>
    <w:link w:val="af0"/>
    <w:uiPriority w:val="99"/>
    <w:rsid w:val="00B76E16"/>
  </w:style>
  <w:style w:type="paragraph" w:styleId="af2">
    <w:name w:val="footer"/>
    <w:basedOn w:val="a0"/>
    <w:link w:val="af3"/>
    <w:uiPriority w:val="99"/>
    <w:unhideWhenUsed/>
    <w:rsid w:val="00B76E16"/>
    <w:pPr>
      <w:tabs>
        <w:tab w:val="center" w:pos="4819"/>
        <w:tab w:val="right" w:pos="9639"/>
      </w:tabs>
      <w:spacing w:after="0" w:line="240" w:lineRule="auto"/>
    </w:pPr>
  </w:style>
  <w:style w:type="character" w:customStyle="1" w:styleId="af3">
    <w:name w:val="Нижній колонтитул Знак"/>
    <w:basedOn w:val="a1"/>
    <w:link w:val="af2"/>
    <w:uiPriority w:val="99"/>
    <w:rsid w:val="00B76E16"/>
  </w:style>
  <w:style w:type="paragraph" w:customStyle="1" w:styleId="Normalnumberingapplication">
    <w:name w:val="Normal numbering application"/>
    <w:basedOn w:val="a0"/>
    <w:rsid w:val="00A12835"/>
    <w:pPr>
      <w:widowControl w:val="0"/>
      <w:numPr>
        <w:ilvl w:val="3"/>
        <w:numId w:val="3"/>
      </w:numPr>
      <w:spacing w:before="240" w:after="240" w:line="240" w:lineRule="auto"/>
      <w:jc w:val="both"/>
      <w:outlineLvl w:val="2"/>
    </w:pPr>
    <w:rPr>
      <w:rFonts w:ascii="Times New Roman" w:eastAsia="Calibri" w:hAnsi="Times New Roman" w:cs="Helvetica"/>
      <w:sz w:val="28"/>
      <w:szCs w:val="24"/>
      <w:lang w:val="uk-UA"/>
    </w:rPr>
  </w:style>
  <w:style w:type="paragraph" w:customStyle="1" w:styleId="Heading2application">
    <w:name w:val="Heading 2 application"/>
    <w:basedOn w:val="2"/>
    <w:qFormat/>
    <w:rsid w:val="00A12835"/>
    <w:pPr>
      <w:widowControl w:val="0"/>
      <w:numPr>
        <w:ilvl w:val="1"/>
        <w:numId w:val="3"/>
      </w:numPr>
      <w:tabs>
        <w:tab w:val="clear" w:pos="851"/>
        <w:tab w:val="num" w:pos="360"/>
        <w:tab w:val="left" w:pos="1418"/>
      </w:tabs>
      <w:spacing w:before="120" w:after="120" w:line="240" w:lineRule="auto"/>
      <w:ind w:firstLine="0"/>
      <w:jc w:val="center"/>
    </w:pPr>
    <w:rPr>
      <w:rFonts w:ascii="Times New Roman" w:eastAsia="Calibri" w:hAnsi="Times New Roman" w:cs="Times New Roman"/>
      <w:b/>
      <w:color w:val="000000"/>
      <w:sz w:val="28"/>
      <w:lang w:val="uk-UA"/>
    </w:rPr>
  </w:style>
  <w:style w:type="paragraph" w:customStyle="1" w:styleId="Heading1application">
    <w:name w:val="Heading 1 application"/>
    <w:basedOn w:val="1"/>
    <w:qFormat/>
    <w:rsid w:val="00A12835"/>
    <w:pPr>
      <w:widowControl w:val="0"/>
      <w:numPr>
        <w:numId w:val="3"/>
      </w:numPr>
      <w:tabs>
        <w:tab w:val="clear" w:pos="851"/>
        <w:tab w:val="num" w:pos="360"/>
      </w:tabs>
      <w:spacing w:before="120" w:after="120" w:line="240" w:lineRule="auto"/>
      <w:ind w:left="720" w:hanging="360"/>
      <w:jc w:val="center"/>
    </w:pPr>
    <w:rPr>
      <w:rFonts w:ascii="Times New Roman" w:eastAsia="Calibri" w:hAnsi="Times New Roman" w:cs="Helvetica"/>
      <w:b/>
      <w:color w:val="000000"/>
      <w:sz w:val="28"/>
      <w:lang w:val="uk-UA"/>
    </w:rPr>
  </w:style>
  <w:style w:type="paragraph" w:customStyle="1" w:styleId="Normalapplication">
    <w:name w:val="Normal application"/>
    <w:basedOn w:val="a0"/>
    <w:qFormat/>
    <w:rsid w:val="00A12835"/>
    <w:pPr>
      <w:widowControl w:val="0"/>
      <w:numPr>
        <w:ilvl w:val="2"/>
        <w:numId w:val="3"/>
      </w:numPr>
      <w:tabs>
        <w:tab w:val="clear" w:pos="710"/>
        <w:tab w:val="num" w:pos="851"/>
        <w:tab w:val="left" w:pos="1701"/>
      </w:tabs>
      <w:spacing w:before="120" w:after="120" w:line="240" w:lineRule="auto"/>
      <w:ind w:left="0"/>
      <w:jc w:val="both"/>
      <w:outlineLvl w:val="2"/>
    </w:pPr>
    <w:rPr>
      <w:rFonts w:ascii="Times New Roman" w:eastAsia="Calibri" w:hAnsi="Times New Roman" w:cs="Helvetica"/>
      <w:sz w:val="28"/>
      <w:szCs w:val="24"/>
      <w:lang w:val="uk-UA"/>
    </w:rPr>
  </w:style>
  <w:style w:type="numbering" w:customStyle="1" w:styleId="newnumberingapplications">
    <w:name w:val="new numbering applications"/>
    <w:rsid w:val="00A12835"/>
    <w:pPr>
      <w:numPr>
        <w:numId w:val="2"/>
      </w:numPr>
    </w:pPr>
  </w:style>
  <w:style w:type="character" w:customStyle="1" w:styleId="20">
    <w:name w:val="Заголовок 2 Знак"/>
    <w:basedOn w:val="a1"/>
    <w:link w:val="2"/>
    <w:uiPriority w:val="9"/>
    <w:semiHidden/>
    <w:rsid w:val="00A12835"/>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1"/>
    <w:link w:val="1"/>
    <w:uiPriority w:val="9"/>
    <w:rsid w:val="00A1283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860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CAF144024D0C4DA09B0B14A2E51BD7" ma:contentTypeVersion="14" ma:contentTypeDescription="Create a new document." ma:contentTypeScope="" ma:versionID="7b067b514de174e97f9d80ade2ce64db">
  <xsd:schema xmlns:xsd="http://www.w3.org/2001/XMLSchema" xmlns:xs="http://www.w3.org/2001/XMLSchema" xmlns:p="http://schemas.microsoft.com/office/2006/metadata/properties" xmlns:ns3="40a54370-db23-421a-b2aa-eabbcfe0d530" xmlns:ns4="d7552e16-6425-49bd-a7a1-0fb716db7d1d" targetNamespace="http://schemas.microsoft.com/office/2006/metadata/properties" ma:root="true" ma:fieldsID="8683ceea4458e20758ddd850a1ca649d" ns3:_="" ns4:_="">
    <xsd:import namespace="40a54370-db23-421a-b2aa-eabbcfe0d530"/>
    <xsd:import namespace="d7552e16-6425-49bd-a7a1-0fb716db7d1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a54370-db23-421a-b2aa-eabbcfe0d5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552e16-6425-49bd-a7a1-0fb716db7d1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5BCC1-DF12-4529-8C79-99ABFB91C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a54370-db23-421a-b2aa-eabbcfe0d530"/>
    <ds:schemaRef ds:uri="d7552e16-6425-49bd-a7a1-0fb716db7d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042DD9-3EE2-44AA-9F44-4A98821AD3C5}">
  <ds:schemaRefs>
    <ds:schemaRef ds:uri="http://schemas.microsoft.com/sharepoint/v3/contenttype/forms"/>
  </ds:schemaRefs>
</ds:datastoreItem>
</file>

<file path=customXml/itemProps3.xml><?xml version="1.0" encoding="utf-8"?>
<ds:datastoreItem xmlns:ds="http://schemas.openxmlformats.org/officeDocument/2006/customXml" ds:itemID="{0B31E71D-659C-4206-B3D9-69ED810F4D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88CCFB8-AAF2-43F5-957C-4A39A809B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5</Pages>
  <Words>7874</Words>
  <Characters>4489</Characters>
  <Application>Microsoft Office Word</Application>
  <DocSecurity>0</DocSecurity>
  <Lines>37</Lines>
  <Paragraphs>24</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Кондрашов Дмитро Олександрович</dc:creator>
  <cp:lastModifiedBy>Галина Пащенко</cp:lastModifiedBy>
  <cp:revision>9</cp:revision>
  <cp:lastPrinted>2022-06-15T09:19:00Z</cp:lastPrinted>
  <dcterms:created xsi:type="dcterms:W3CDTF">2022-06-13T07:16:00Z</dcterms:created>
  <dcterms:modified xsi:type="dcterms:W3CDTF">2022-06-22T08:12:00Z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0x010100E0CAF144024D0C4DA09B0B14A2E51BD7</vt:lpwstr>
  </property>
</Properties>
</file>