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82A5C" w14:textId="6C8D4788" w:rsidR="005973EE" w:rsidRPr="00683B48" w:rsidRDefault="00CB79B1" w:rsidP="005973EE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83B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683B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683B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НКРЕКП «Про внесення змін до </w:t>
      </w:r>
      <w:r w:rsidR="005973EE" w:rsidRPr="00683B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Порядку встановлення (формування) тарифу на послуги з передачі електричної енергії»</w:t>
      </w:r>
    </w:p>
    <w:p w14:paraId="7C51BFE7" w14:textId="77777777" w:rsidR="00C33F3D" w:rsidRPr="00ED4EF2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32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7655"/>
      </w:tblGrid>
      <w:tr w:rsidR="00C33F3D" w:rsidRPr="00ED4EF2" w14:paraId="609587DC" w14:textId="77777777" w:rsidTr="000527ED">
        <w:trPr>
          <w:trHeight w:val="706"/>
        </w:trPr>
        <w:tc>
          <w:tcPr>
            <w:tcW w:w="7513" w:type="dxa"/>
            <w:vAlign w:val="center"/>
          </w:tcPr>
          <w:p w14:paraId="673C0E61" w14:textId="77777777" w:rsidR="00C33F3D" w:rsidRPr="00ED4EF2" w:rsidRDefault="00C33F3D" w:rsidP="00DE35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Чинна редакція Порядку</w:t>
            </w:r>
          </w:p>
        </w:tc>
        <w:tc>
          <w:tcPr>
            <w:tcW w:w="7655" w:type="dxa"/>
            <w:vAlign w:val="center"/>
          </w:tcPr>
          <w:p w14:paraId="06009D0C" w14:textId="77777777" w:rsidR="00C33F3D" w:rsidRPr="00ED4EF2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D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Редакція, що пропонується</w:t>
            </w:r>
          </w:p>
        </w:tc>
      </w:tr>
      <w:tr w:rsidR="00E56BEE" w:rsidRPr="00DE3574" w14:paraId="74E2E83F" w14:textId="77777777" w:rsidTr="000527ED">
        <w:trPr>
          <w:trHeight w:val="706"/>
        </w:trPr>
        <w:tc>
          <w:tcPr>
            <w:tcW w:w="7513" w:type="dxa"/>
          </w:tcPr>
          <w:p w14:paraId="2869F2F5" w14:textId="063F21A4" w:rsidR="002B35A3" w:rsidRDefault="002B35A3" w:rsidP="002B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5A3">
              <w:rPr>
                <w:rFonts w:ascii="Times New Roman" w:hAnsi="Times New Roman" w:cs="Times New Roman"/>
                <w:b/>
                <w:sz w:val="24"/>
                <w:szCs w:val="24"/>
              </w:rPr>
              <w:t>5. Визначення необхідного доходу</w:t>
            </w:r>
          </w:p>
          <w:p w14:paraId="54BD887C" w14:textId="77777777" w:rsidR="00982C34" w:rsidRPr="002B35A3" w:rsidRDefault="00982C34" w:rsidP="002B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9F452" w14:textId="35209EE4" w:rsidR="00E56BEE" w:rsidRDefault="00E56BEE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5.3. Прогнозований необхідний дохід (прогнозовані витрати) від здійснення діяльності з передачі електричної енергії на рік t </w:t>
            </w:r>
            <w:r w:rsidRPr="00ED4EF2">
              <w:rPr>
                <w:i/>
                <w:sz w:val="24"/>
                <w:szCs w:val="24"/>
              </w:rPr>
              <w:t>(</w:t>
            </w:r>
            <w:r w:rsidR="008A7BD1" w:rsidRPr="00ED4EF2">
              <w:rPr>
                <w:position w:val="-18"/>
                <w:sz w:val="24"/>
                <w:szCs w:val="24"/>
              </w:rPr>
              <w:object w:dxaOrig="700" w:dyaOrig="499" w14:anchorId="5C8C49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18pt" o:ole="">
                  <v:imagedata r:id="rId9" o:title=""/>
                </v:shape>
                <o:OLEObject Type="Embed" ProgID="Equation.3" ShapeID="_x0000_i1025" DrawAspect="Content" ObjectID="_1717326777" r:id="rId10"/>
              </w:object>
            </w:r>
            <w:r w:rsidRPr="00ED4EF2">
              <w:rPr>
                <w:sz w:val="24"/>
                <w:szCs w:val="24"/>
              </w:rPr>
              <w:t>)</w:t>
            </w: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розраховується за формулою</w:t>
            </w:r>
          </w:p>
          <w:p w14:paraId="1EFDC1A0" w14:textId="77777777" w:rsidR="004A038C" w:rsidRPr="00ED4EF2" w:rsidRDefault="004A038C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EB0C6" w14:textId="596F3AE2" w:rsidR="00E56BEE" w:rsidRPr="004A038C" w:rsidRDefault="001B6FA4" w:rsidP="00ED4EF2">
            <w:pPr>
              <w:tabs>
                <w:tab w:val="left" w:pos="8100"/>
                <w:tab w:val="left" w:pos="9360"/>
              </w:tabs>
              <w:spacing w:after="0" w:line="240" w:lineRule="auto"/>
              <w:ind w:left="522" w:right="23" w:hanging="5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+ 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ОНВ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/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/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тис. грн</w:t>
            </w:r>
          </w:p>
          <w:p w14:paraId="1CA9374D" w14:textId="52363C70" w:rsidR="00E56BEE" w:rsidRPr="00ED4EF2" w:rsidRDefault="002B35A3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22BB5779" w14:textId="77777777" w:rsidR="00E56BEE" w:rsidRPr="00ED4EF2" w:rsidRDefault="00E56BEE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08176FE9" w14:textId="34D98EC9" w:rsidR="00E56BEE" w:rsidRPr="00ED4EF2" w:rsidRDefault="00E56BEE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F2">
              <w:rPr>
                <w:position w:val="-10"/>
                <w:sz w:val="24"/>
                <w:szCs w:val="24"/>
              </w:rPr>
              <w:object w:dxaOrig="420" w:dyaOrig="360" w14:anchorId="70F028AB">
                <v:shape id="_x0000_i1026" type="#_x0000_t75" style="width:28.5pt;height:24pt" o:ole="">
                  <v:imagedata r:id="rId11" o:title=""/>
                </v:shape>
                <o:OLEObject Type="Embed" ProgID="Equation.3" ShapeID="_x0000_i1026" DrawAspect="Content" ObjectID="_1717326778" r:id="rId12"/>
              </w:object>
            </w: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- прогнозовані витрати на виконання спеціальних обов'язків для забезпечення загальносуспільних інтересів на рік t, тис. грн;</w:t>
            </w:r>
          </w:p>
          <w:p w14:paraId="08FBDDC3" w14:textId="77777777" w:rsidR="00177250" w:rsidRPr="00ED4EF2" w:rsidRDefault="00177250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747D3" w14:textId="77777777" w:rsidR="00177250" w:rsidRPr="00ED4EF2" w:rsidRDefault="00177250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B3628" w14:textId="77777777" w:rsidR="00177250" w:rsidRPr="00ED4EF2" w:rsidRDefault="00177250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CF044" w14:textId="77777777" w:rsidR="00177250" w:rsidRPr="005446F6" w:rsidRDefault="00177250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76A48E37" w14:textId="77777777" w:rsidR="00E56BEE" w:rsidRDefault="00982C34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4C0CA915" w14:textId="3CF8D66D" w:rsidR="00260223" w:rsidRPr="00ED4EF2" w:rsidRDefault="00260223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176F276" w14:textId="77777777" w:rsidR="002B35A3" w:rsidRDefault="002B35A3" w:rsidP="002B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5A3">
              <w:rPr>
                <w:rFonts w:ascii="Times New Roman" w:hAnsi="Times New Roman" w:cs="Times New Roman"/>
                <w:b/>
                <w:sz w:val="24"/>
                <w:szCs w:val="24"/>
              </w:rPr>
              <w:t>5. Визначення необхідного доходу</w:t>
            </w:r>
          </w:p>
          <w:p w14:paraId="0629F277" w14:textId="77777777" w:rsidR="00982C34" w:rsidRPr="002B35A3" w:rsidRDefault="00982C34" w:rsidP="002B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F44F0D" w14:textId="244885F5" w:rsidR="00E56BEE" w:rsidRDefault="00E56BEE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5.3. Прогнозований необхідний дохід (прогнозовані витрати) від здійснення діяльності з передачі електричної енергії на рік t </w:t>
            </w:r>
            <w:r w:rsidRPr="00ED4EF2">
              <w:rPr>
                <w:i/>
                <w:sz w:val="24"/>
                <w:szCs w:val="24"/>
              </w:rPr>
              <w:t>(</w:t>
            </w:r>
            <w:r w:rsidR="008A7BD1" w:rsidRPr="00ED4EF2">
              <w:rPr>
                <w:position w:val="-18"/>
                <w:sz w:val="24"/>
                <w:szCs w:val="24"/>
              </w:rPr>
              <w:object w:dxaOrig="700" w:dyaOrig="499" w14:anchorId="74C95459">
                <v:shape id="_x0000_i1027" type="#_x0000_t75" style="width:27.75pt;height:18.75pt" o:ole="">
                  <v:imagedata r:id="rId9" o:title=""/>
                </v:shape>
                <o:OLEObject Type="Embed" ProgID="Equation.3" ShapeID="_x0000_i1027" DrawAspect="Content" ObjectID="_1717326779" r:id="rId13"/>
              </w:object>
            </w:r>
            <w:r w:rsidRPr="00ED4EF2">
              <w:rPr>
                <w:sz w:val="24"/>
                <w:szCs w:val="24"/>
              </w:rPr>
              <w:t>)</w:t>
            </w: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розраховується за формулою</w:t>
            </w:r>
          </w:p>
          <w:p w14:paraId="047887C8" w14:textId="77777777" w:rsidR="004A038C" w:rsidRPr="00ED4EF2" w:rsidRDefault="004A038C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0FF22" w14:textId="77777777" w:rsidR="004A038C" w:rsidRPr="004A038C" w:rsidRDefault="001B6FA4" w:rsidP="004A038C">
            <w:pPr>
              <w:tabs>
                <w:tab w:val="left" w:pos="8100"/>
                <w:tab w:val="left" w:pos="9360"/>
              </w:tabs>
              <w:spacing w:after="0" w:line="240" w:lineRule="auto"/>
              <w:ind w:left="522" w:right="23" w:hanging="5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+ 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ОНВ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/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  </m:t>
                  </m:r>
                </m:sub>
                <m:sup/>
              </m:sSubSup>
            </m:oMath>
            <w:r w:rsidR="004A038C" w:rsidRPr="004A03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тис. грн</w:t>
            </w:r>
          </w:p>
          <w:p w14:paraId="60D280EF" w14:textId="66C9FA8D" w:rsidR="00E56BEE" w:rsidRDefault="00982C34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6D9DF419" w14:textId="77777777" w:rsidR="00982C34" w:rsidRPr="00ED4EF2" w:rsidRDefault="00982C34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222C8" w14:textId="1A83830D" w:rsidR="00E56BEE" w:rsidRPr="001B6FA4" w:rsidRDefault="001B6FA4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ЗІ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</m:sSubSup>
            </m:oMath>
            <w:r w:rsidR="003D5892"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E56BEE"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прогнозовані витрати на виконання спеціальних обов'язків для забезпечення загальносуспільних </w:t>
            </w:r>
            <w:r w:rsidR="00E56BEE" w:rsidRPr="001B6FA4">
              <w:rPr>
                <w:rFonts w:ascii="Times New Roman" w:hAnsi="Times New Roman" w:cs="Times New Roman"/>
                <w:sz w:val="24"/>
                <w:szCs w:val="24"/>
              </w:rPr>
              <w:t>інтересів</w:t>
            </w:r>
            <w:r w:rsidR="00F53D5A" w:rsidRPr="001B6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6BEE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F22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які включають, зокрема, </w:t>
            </w:r>
            <w:r w:rsidR="005446F6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прогнозовані</w:t>
            </w:r>
            <w:r w:rsidR="00ED7A19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250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на виконання спеціальних обов’язків із забезпечення збільшення частки виробництва електричної енергії з альтернативних джерел енергії</w:t>
            </w:r>
            <w:r w:rsidR="003113D2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3"/>
                      <w:szCs w:val="23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>ЗІ</m:t>
                  </m:r>
                </m:e>
                <m:sub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 xml:space="preserve">зел </m:t>
                  </m:r>
                  <m:r>
                    <w:rPr>
                      <w:rFonts w:ascii="Cambria Math" w:hAnsi="Cambria Math" w:cs="Times New Roman"/>
                      <w:sz w:val="23"/>
                      <w:szCs w:val="23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3"/>
                      <w:szCs w:val="23"/>
                      <w:lang w:val="en-US"/>
                    </w:rPr>
                    <m:t>n</m:t>
                  </m:r>
                </m:sup>
              </m:sSubSup>
            </m:oMath>
            <w:r w:rsidR="003113D2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77250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D5A" w:rsidRPr="001B6FA4">
              <w:rPr>
                <w:rFonts w:ascii="Times New Roman" w:hAnsi="Times New Roman" w:cs="Times New Roman"/>
                <w:sz w:val="24"/>
                <w:szCs w:val="24"/>
              </w:rPr>
              <w:t>на рік t,</w:t>
            </w:r>
            <w:r w:rsidR="004A038C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BEE" w:rsidRPr="001B6FA4">
              <w:rPr>
                <w:rFonts w:ascii="Times New Roman" w:hAnsi="Times New Roman" w:cs="Times New Roman"/>
                <w:sz w:val="24"/>
                <w:szCs w:val="24"/>
              </w:rPr>
              <w:t>тис. грн;</w:t>
            </w:r>
          </w:p>
          <w:p w14:paraId="45CDCA49" w14:textId="77777777" w:rsidR="00ED4EF2" w:rsidRPr="001B6FA4" w:rsidRDefault="00ED4EF2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F606D" w14:textId="3146E1E6" w:rsidR="00E56BEE" w:rsidRPr="00ED4EF2" w:rsidRDefault="00982C34" w:rsidP="00ED4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BB7A45" w:rsidRPr="00DE3574" w14:paraId="3F170E9D" w14:textId="77777777" w:rsidTr="000527ED">
        <w:trPr>
          <w:trHeight w:val="706"/>
        </w:trPr>
        <w:tc>
          <w:tcPr>
            <w:tcW w:w="7513" w:type="dxa"/>
          </w:tcPr>
          <w:p w14:paraId="4E1A09AE" w14:textId="302B0E7C" w:rsidR="00982C34" w:rsidRPr="00982C34" w:rsidRDefault="00982C34" w:rsidP="0098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34">
              <w:rPr>
                <w:rFonts w:ascii="Times New Roman" w:hAnsi="Times New Roman" w:cs="Times New Roman"/>
                <w:b/>
                <w:sz w:val="24"/>
                <w:szCs w:val="24"/>
              </w:rPr>
              <w:t>6. Коригування необхідного доходу від здійснення діяльності з передачі електричної енергії</w:t>
            </w:r>
          </w:p>
          <w:p w14:paraId="57F23831" w14:textId="77777777" w:rsidR="00982C34" w:rsidRDefault="00982C34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EAF5B" w14:textId="2AFA86C3" w:rsidR="00BB7A45" w:rsidRDefault="00BB7A45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>6.2. Уточнений необхідний дохід від здійснення діяльності з передачі електричної енергії у році t-1 розраховується за формулою</w:t>
            </w:r>
          </w:p>
          <w:p w14:paraId="43B4AB64" w14:textId="77777777" w:rsidR="00E43061" w:rsidRPr="00E43061" w:rsidRDefault="00E43061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50F1BC0B" w14:textId="42831E95" w:rsidR="00071030" w:rsidRPr="00D0006D" w:rsidRDefault="001B6FA4" w:rsidP="00071030">
            <w:pPr>
              <w:tabs>
                <w:tab w:val="left" w:pos="8100"/>
                <w:tab w:val="left" w:pos="9360"/>
              </w:tabs>
              <w:spacing w:after="120" w:line="281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ОНВ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</m:oMath>
            <w:r w:rsidR="0007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+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 ПП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</m:oMath>
            <w:r w:rsidR="00071030" w:rsidRPr="0007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ПР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071030" w:rsidRPr="000710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КЯ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071030" w:rsidRPr="0007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 </m:t>
                  </m:r>
                </m:sub>
                <m:sup/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071030" w:rsidRPr="00E430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тис. грн</w:t>
            </w:r>
            <w:r w:rsidR="00071030" w:rsidRPr="00E430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071030" w:rsidRPr="00E430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(13)</w:t>
            </w:r>
          </w:p>
          <w:p w14:paraId="2735AB1A" w14:textId="77777777" w:rsidR="00071030" w:rsidRPr="00E43061" w:rsidRDefault="00071030" w:rsidP="00ED4EF2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sz w:val="2"/>
                <w:szCs w:val="24"/>
                <w:lang w:val="ru-RU"/>
              </w:rPr>
            </w:pPr>
          </w:p>
          <w:p w14:paraId="2E143D41" w14:textId="77B76EBA" w:rsidR="00BB7A45" w:rsidRPr="00ED4EF2" w:rsidRDefault="00071030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597EA780" w14:textId="27CA94CB" w:rsidR="00BB7A45" w:rsidRPr="00ED4EF2" w:rsidRDefault="001B6FA4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bCs/>
                <w:position w:val="-10"/>
                <w:sz w:val="28"/>
                <w:szCs w:val="28"/>
                <w:lang w:eastAsia="ru-RU"/>
              </w:rPr>
              <w:pict w14:anchorId="407BBC03">
                <v:shape id="_x0000_i1028" type="#_x0000_t75" style="width:30.75pt;height:21.75pt">
                  <v:imagedata r:id="rId14" o:title=""/>
                </v:shape>
              </w:pict>
            </w:r>
            <w:r w:rsidR="00BB7A45"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- фактичні витрати на виконання спеціальних обов'язків для забезпечення загальносуспільних інтересів у році t-1, тис. грн;</w:t>
            </w:r>
          </w:p>
          <w:p w14:paraId="6AECBEE0" w14:textId="77777777" w:rsidR="00BB7A45" w:rsidRDefault="00BB7A45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AC023" w14:textId="77777777" w:rsidR="00B00753" w:rsidRDefault="00B00753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1F383" w14:textId="77777777" w:rsidR="00071030" w:rsidRPr="005446F6" w:rsidRDefault="00071030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ECB5DCB" w14:textId="77777777" w:rsidR="00071030" w:rsidRPr="00ED4EF2" w:rsidRDefault="00071030" w:rsidP="00071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3FF4B0FF" w14:textId="4E091D35" w:rsidR="00BB7A45" w:rsidRPr="00B124E7" w:rsidRDefault="00BB7A45" w:rsidP="00177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5" w:type="dxa"/>
          </w:tcPr>
          <w:p w14:paraId="40068232" w14:textId="77777777" w:rsidR="00982C34" w:rsidRDefault="00982C34" w:rsidP="0098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C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Коригування необхідного доходу від здійснення діяльності з передачі електричної енергії</w:t>
            </w:r>
          </w:p>
          <w:p w14:paraId="1247648C" w14:textId="77777777" w:rsidR="00982C34" w:rsidRPr="00982C34" w:rsidRDefault="00982C34" w:rsidP="00982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4ABB23" w14:textId="77777777" w:rsidR="00071030" w:rsidRPr="00ED4EF2" w:rsidRDefault="00071030" w:rsidP="00071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>6.2. Уточнений необхідний дохід від здійснення діяльності з передачі електричної енергії у році t-1 розраховується за формулою</w:t>
            </w:r>
          </w:p>
          <w:p w14:paraId="5098EA85" w14:textId="77777777" w:rsidR="00E43061" w:rsidRPr="00E43061" w:rsidRDefault="00E43061" w:rsidP="00E43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1569CEE1" w14:textId="14FFA274" w:rsidR="00E43061" w:rsidRPr="00D0006D" w:rsidRDefault="001B6FA4" w:rsidP="00E43061">
            <w:pPr>
              <w:tabs>
                <w:tab w:val="left" w:pos="8100"/>
                <w:tab w:val="left" w:pos="9360"/>
              </w:tabs>
              <w:spacing w:after="120" w:line="281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ОНВ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ВТ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</m:oMath>
            <w:r w:rsidR="00E430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+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 ПП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у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</m:oMath>
            <w:r w:rsidR="00E43061" w:rsidRPr="0007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ПР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E43061" w:rsidRPr="000710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КЯ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E43061" w:rsidRPr="0007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 </m:t>
                  </m:r>
                </m:sub>
                <m:sup/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 КД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t-1  </m:t>
                  </m:r>
                </m:sub>
                <m:sup/>
              </m:sSubSup>
            </m:oMath>
            <w:r w:rsidR="00E43061" w:rsidRPr="00E430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тис. грн</w:t>
            </w:r>
            <w:r w:rsidR="00E43061" w:rsidRPr="00E430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</w:t>
            </w:r>
            <w:r w:rsidR="00E43061" w:rsidRPr="00E4306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(13)</w:t>
            </w:r>
          </w:p>
          <w:p w14:paraId="17324A0F" w14:textId="77777777" w:rsidR="00E43061" w:rsidRPr="00E43061" w:rsidRDefault="00E43061" w:rsidP="00E43061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sz w:val="2"/>
                <w:szCs w:val="24"/>
                <w:lang w:val="ru-RU"/>
              </w:rPr>
            </w:pPr>
          </w:p>
          <w:p w14:paraId="2336EAC8" w14:textId="77777777" w:rsidR="00071030" w:rsidRPr="00ED4EF2" w:rsidRDefault="00071030" w:rsidP="00071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2E8E5958" w14:textId="5ECD94AB" w:rsidR="003113D2" w:rsidRPr="001B6FA4" w:rsidRDefault="00071030" w:rsidP="00071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bCs/>
                <w:noProof/>
                <w:position w:val="-10"/>
                <w:sz w:val="28"/>
                <w:szCs w:val="28"/>
                <w:lang w:eastAsia="uk-UA"/>
              </w:rPr>
              <w:drawing>
                <wp:inline distT="0" distB="0" distL="0" distR="0" wp14:anchorId="41D4E37B" wp14:editId="035EDEE1">
                  <wp:extent cx="389890" cy="2705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A45" w:rsidRPr="00ED4EF2">
              <w:rPr>
                <w:rFonts w:ascii="Times New Roman" w:hAnsi="Times New Roman" w:cs="Times New Roman"/>
                <w:sz w:val="24"/>
                <w:szCs w:val="24"/>
              </w:rPr>
              <w:t xml:space="preserve">- фактичні </w:t>
            </w:r>
            <w:r w:rsidR="00BB7A45" w:rsidRPr="001B6FA4">
              <w:rPr>
                <w:rFonts w:ascii="Times New Roman" w:hAnsi="Times New Roman" w:cs="Times New Roman"/>
                <w:sz w:val="24"/>
                <w:szCs w:val="24"/>
              </w:rPr>
              <w:t>витрати на виконання спеціальних обов'язків для забезпечення загальносуспільних інтересів</w:t>
            </w:r>
            <w:r w:rsidR="003113D2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6F22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які включають, зокрема, 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фактичні</w:t>
            </w:r>
            <w:r w:rsidR="00ED7A19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6F6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на виконання спеціальних обов’язків із забезпечення збільшення частки виробництва електричної енергії з альтернативних джерел енергії</w:t>
            </w:r>
            <w:r w:rsidR="008E1118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3"/>
                      <w:szCs w:val="23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>ЗІ</m:t>
                  </m:r>
                </m:e>
                <m:sub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 xml:space="preserve">зел </m:t>
                  </m:r>
                  <m:r>
                    <w:rPr>
                      <w:rFonts w:ascii="Cambria Math" w:hAnsi="Cambria Math" w:cs="Times New Roman"/>
                      <w:sz w:val="23"/>
                      <w:szCs w:val="23"/>
                      <w:lang w:val="en-US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>-1</m:t>
                  </m:r>
                </m:sub>
                <m:sup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>ф</m:t>
                  </m:r>
                </m:sup>
              </m:sSubSup>
            </m:oMath>
            <w:r w:rsidR="008E1118" w:rsidRPr="001B6F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13D2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D5A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у році t-1, </w:t>
            </w:r>
            <w:r w:rsidR="003113D2" w:rsidRPr="001B6FA4">
              <w:rPr>
                <w:rFonts w:ascii="Times New Roman" w:hAnsi="Times New Roman" w:cs="Times New Roman"/>
                <w:sz w:val="24"/>
                <w:szCs w:val="24"/>
              </w:rPr>
              <w:t>тис. грн;</w:t>
            </w:r>
          </w:p>
          <w:p w14:paraId="4ADA091D" w14:textId="77777777" w:rsidR="00071030" w:rsidRPr="00ED4EF2" w:rsidRDefault="00071030" w:rsidP="00071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29370712" w14:textId="77777777" w:rsidR="00BB7A45" w:rsidRPr="00E43061" w:rsidRDefault="00BB7A45" w:rsidP="00DE3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2CF" w:rsidRPr="00DE3574" w14:paraId="5E9D0E00" w14:textId="77777777" w:rsidTr="000527ED">
        <w:trPr>
          <w:trHeight w:val="706"/>
        </w:trPr>
        <w:tc>
          <w:tcPr>
            <w:tcW w:w="7513" w:type="dxa"/>
          </w:tcPr>
          <w:p w14:paraId="4D8A0C36" w14:textId="193DC68A" w:rsidR="00E43061" w:rsidRPr="00E43061" w:rsidRDefault="00E43061" w:rsidP="00E4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0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</w:p>
          <w:p w14:paraId="71F65201" w14:textId="77777777" w:rsidR="00E43061" w:rsidRDefault="00E43061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77DD8" w14:textId="2CDE07CE" w:rsidR="007722CF" w:rsidRDefault="007722CF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118">
              <w:rPr>
                <w:rFonts w:ascii="Times New Roman" w:hAnsi="Times New Roman" w:cs="Times New Roman"/>
                <w:sz w:val="24"/>
                <w:szCs w:val="24"/>
              </w:rPr>
              <w:t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</w:p>
          <w:p w14:paraId="762CFB80" w14:textId="77777777" w:rsidR="00683B48" w:rsidRPr="008E1118" w:rsidRDefault="00683B48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0CE74" w14:textId="3DBF96EB" w:rsidR="00683B48" w:rsidRPr="007538BA" w:rsidRDefault="001B6FA4" w:rsidP="00683B4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ОВ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+ 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ФВ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ВП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 РЗ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+ ПР</m:t>
              </m:r>
            </m:oMath>
            <w:r w:rsidR="00683B48" w:rsidRPr="007538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грн, (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20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14:paraId="12C38D74" w14:textId="77777777" w:rsidR="007722CF" w:rsidRPr="008E1118" w:rsidRDefault="007722CF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05AA9570" w14:textId="77777777" w:rsidR="00E43061" w:rsidRPr="00ED4EF2" w:rsidRDefault="00E43061" w:rsidP="00E43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155839BD" w14:textId="77777777" w:rsidR="007722CF" w:rsidRPr="008E1118" w:rsidRDefault="007722CF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BC253" w14:textId="015FEFD9" w:rsidR="007722CF" w:rsidRPr="008E1118" w:rsidRDefault="007722CF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21A">
              <w:rPr>
                <w:position w:val="-10"/>
              </w:rPr>
              <w:object w:dxaOrig="380" w:dyaOrig="360" w14:anchorId="78CD91D1">
                <v:shape id="_x0000_i1029" type="#_x0000_t75" style="width:18.75pt;height:18pt" o:ole="">
                  <v:imagedata r:id="rId16" o:title=""/>
                </v:shape>
                <o:OLEObject Type="Embed" ProgID="Equation.3" ShapeID="_x0000_i1029" DrawAspect="Content" ObjectID="_1717326780" r:id="rId17"/>
              </w:object>
            </w:r>
            <w:r w:rsidRPr="008E1118">
              <w:rPr>
                <w:rFonts w:ascii="Times New Roman" w:hAnsi="Times New Roman" w:cs="Times New Roman"/>
                <w:sz w:val="24"/>
                <w:szCs w:val="24"/>
              </w:rPr>
              <w:t xml:space="preserve"> - прогнозовані витрати на виконання спеціальних обов'язків для забезпечення загальносуспільних інтересів на прогнозний рік, тис. грн;</w:t>
            </w:r>
          </w:p>
          <w:p w14:paraId="7C4AF2F8" w14:textId="77777777" w:rsidR="007722CF" w:rsidRDefault="007722CF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DC1B5" w14:textId="77777777" w:rsidR="007A292D" w:rsidRDefault="007A292D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CF600" w14:textId="77777777" w:rsidR="007A292D" w:rsidRDefault="007A292D" w:rsidP="008E1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6B05B" w14:textId="77777777" w:rsidR="00EF6456" w:rsidRPr="00ED4EF2" w:rsidRDefault="004A038C" w:rsidP="00EF6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45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2ED483A2" w14:textId="0D6B057E" w:rsidR="003A5567" w:rsidRPr="008E1118" w:rsidRDefault="003A5567" w:rsidP="00EF645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554CB022" w14:textId="77777777" w:rsidR="00E43061" w:rsidRPr="00E43061" w:rsidRDefault="00E43061" w:rsidP="00E4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061">
              <w:rPr>
                <w:rFonts w:ascii="Times New Roman" w:hAnsi="Times New Roman" w:cs="Times New Roman"/>
                <w:b/>
                <w:sz w:val="24"/>
                <w:szCs w:val="24"/>
              </w:rPr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</w:p>
          <w:p w14:paraId="44035F10" w14:textId="77777777" w:rsidR="00E43061" w:rsidRDefault="00E43061" w:rsidP="00545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6CF51" w14:textId="77777777" w:rsidR="007722CF" w:rsidRPr="008E1118" w:rsidRDefault="007722CF" w:rsidP="00545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118">
              <w:rPr>
                <w:rFonts w:ascii="Times New Roman" w:hAnsi="Times New Roman" w:cs="Times New Roman"/>
                <w:sz w:val="24"/>
                <w:szCs w:val="24"/>
              </w:rPr>
              <w:t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</w:p>
          <w:p w14:paraId="328BCF60" w14:textId="77777777" w:rsidR="00683B48" w:rsidRPr="008E1118" w:rsidRDefault="00683B48" w:rsidP="00683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F580A" w14:textId="77777777" w:rsidR="00683B48" w:rsidRPr="007538BA" w:rsidRDefault="001B6FA4" w:rsidP="00683B4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=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ОВ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+ 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ФВ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ВП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 ЗІ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sSubSup>
                <m:sSubSup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 РЗ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t 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+ ПР</m:t>
              </m:r>
            </m:oMath>
            <w:r w:rsidR="00683B48" w:rsidRPr="007538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 грн, (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20</w:t>
            </w:r>
            <w:r w:rsidR="00683B48" w:rsidRPr="00683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14:paraId="54013A05" w14:textId="77777777" w:rsidR="00683B48" w:rsidRPr="008E1118" w:rsidRDefault="00683B48" w:rsidP="00683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14:paraId="7C33936B" w14:textId="77777777" w:rsidR="00E43061" w:rsidRPr="00ED4EF2" w:rsidRDefault="00E43061" w:rsidP="00E43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574EA8AC" w14:textId="77777777" w:rsidR="007722CF" w:rsidRPr="008E1118" w:rsidRDefault="007722CF" w:rsidP="00545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1552E" w14:textId="545B03A9" w:rsidR="007A292D" w:rsidRPr="001B6FA4" w:rsidRDefault="007722CF" w:rsidP="007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21A">
              <w:rPr>
                <w:position w:val="-10"/>
              </w:rPr>
              <w:object w:dxaOrig="380" w:dyaOrig="360" w14:anchorId="454612BC">
                <v:shape id="_x0000_i1030" type="#_x0000_t75" style="width:18.75pt;height:18pt" o:ole="">
                  <v:imagedata r:id="rId16" o:title=""/>
                </v:shape>
                <o:OLEObject Type="Embed" ProgID="Equation.3" ShapeID="_x0000_i1030" DrawAspect="Content" ObjectID="_1717326781" r:id="rId18"/>
              </w:object>
            </w:r>
            <w:r w:rsidRPr="008E1118">
              <w:rPr>
                <w:rFonts w:ascii="Times New Roman" w:hAnsi="Times New Roman" w:cs="Times New Roman"/>
                <w:sz w:val="24"/>
                <w:szCs w:val="24"/>
              </w:rPr>
              <w:t xml:space="preserve"> - прогнозовані витрати </w:t>
            </w:r>
            <w:r w:rsidRPr="001B6FA4">
              <w:rPr>
                <w:rFonts w:ascii="Times New Roman" w:hAnsi="Times New Roman" w:cs="Times New Roman"/>
                <w:sz w:val="24"/>
                <w:szCs w:val="24"/>
              </w:rPr>
              <w:t>на виконання спеціальних обов'язків для забезпечення загальносуспільних інтересів</w:t>
            </w:r>
            <w:r w:rsidR="00F53D5A" w:rsidRPr="001B6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F22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які включають, зокрема, </w:t>
            </w:r>
            <w:r w:rsidR="005446F6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прогнозовані</w:t>
            </w:r>
            <w:r w:rsidR="00ED7A19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6F6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на виконання спеціальних обов’язків із забезпечення збільшення частки виробництва електричної енергії з альтернативних джерел енергії</w:t>
            </w:r>
            <w:r w:rsidR="007A292D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3"/>
                      <w:szCs w:val="23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>ЗІ</m:t>
                  </m:r>
                </m:e>
                <m:sub>
                  <m:r>
                    <w:rPr>
                      <w:rFonts w:ascii="Cambria Math" w:hAnsi="Cambria Math" w:cs="Times New Roman"/>
                      <w:sz w:val="23"/>
                      <w:szCs w:val="23"/>
                    </w:rPr>
                    <m:t xml:space="preserve">зел </m:t>
                  </m:r>
                  <m:r>
                    <w:rPr>
                      <w:rFonts w:ascii="Cambria Math" w:hAnsi="Cambria Math" w:cs="Times New Roman"/>
                      <w:sz w:val="23"/>
                      <w:szCs w:val="23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3"/>
                      <w:szCs w:val="23"/>
                      <w:lang w:val="en-US"/>
                    </w:rPr>
                    <m:t>n</m:t>
                  </m:r>
                </m:sup>
              </m:sSubSup>
            </m:oMath>
            <w:r w:rsidR="007A292D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53D5A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на прогнозний рік, </w:t>
            </w:r>
            <w:r w:rsidR="007A292D" w:rsidRPr="001B6FA4">
              <w:rPr>
                <w:rFonts w:ascii="Times New Roman" w:hAnsi="Times New Roman" w:cs="Times New Roman"/>
                <w:sz w:val="24"/>
                <w:szCs w:val="24"/>
              </w:rPr>
              <w:t>тис. грн;</w:t>
            </w:r>
          </w:p>
          <w:p w14:paraId="6AD5630F" w14:textId="77777777" w:rsidR="00E43061" w:rsidRPr="001B6FA4" w:rsidRDefault="00E43061" w:rsidP="007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72F11" w14:textId="77777777" w:rsidR="00E43061" w:rsidRPr="00ED4EF2" w:rsidRDefault="00E43061" w:rsidP="00E43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29CAA808" w14:textId="17462605" w:rsidR="007722CF" w:rsidRPr="00B124E7" w:rsidRDefault="007722CF" w:rsidP="008A7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D33" w:rsidRPr="00DE3574" w14:paraId="755E473A" w14:textId="77777777" w:rsidTr="000527ED">
        <w:trPr>
          <w:trHeight w:val="706"/>
        </w:trPr>
        <w:tc>
          <w:tcPr>
            <w:tcW w:w="7513" w:type="dxa"/>
          </w:tcPr>
          <w:p w14:paraId="2101A07E" w14:textId="77777777" w:rsidR="00F53D5A" w:rsidRPr="00E43061" w:rsidRDefault="00F53D5A" w:rsidP="00E4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061">
              <w:rPr>
                <w:rFonts w:ascii="Times New Roman" w:hAnsi="Times New Roman" w:cs="Times New Roman"/>
                <w:b/>
                <w:sz w:val="24"/>
                <w:szCs w:val="24"/>
              </w:rPr>
              <w:t>8. Розрахунок тарифу (у тому числі на перехідний період)</w:t>
            </w:r>
          </w:p>
          <w:p w14:paraId="5676C2BC" w14:textId="77777777" w:rsidR="00F53D5A" w:rsidRPr="00F53D5A" w:rsidRDefault="00F53D5A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992A5" w14:textId="1925F086" w:rsidR="00F53D5A" w:rsidRDefault="00F53D5A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послуги з передачі електричної енергії для користувачів системи (крім підприємств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>зеленої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електрометалургії) на прогнозний рік </w:t>
            </w:r>
            <w:r w:rsidR="003A55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</m:sSubSup>
            </m:oMath>
            <w:r w:rsidR="003A55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розраховується за формулою</w:t>
            </w:r>
          </w:p>
          <w:p w14:paraId="5F89105B" w14:textId="77777777" w:rsidR="003A5567" w:rsidRDefault="003A5567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55E6F" w14:textId="28B3206C" w:rsidR="003A5567" w:rsidRPr="003A5567" w:rsidRDefault="001B6FA4" w:rsidP="00683B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</m:t>
                  </m:r>
                </m:sup>
              </m:sSubSup>
            </m:oMath>
            <w:r w:rsidR="003A5567" w:rsidRPr="00683B48">
              <w:rPr>
                <w:rFonts w:ascii="Times New Roman" w:hAnsi="Times New Roman" w:cs="Times New Roman"/>
                <w:sz w:val="32"/>
                <w:szCs w:val="32"/>
              </w:rPr>
              <w:t>=(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ЗІ 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box>
                <m:box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ЗІ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_м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)</m:t>
                      </m:r>
                    </m:den>
                  </m:f>
                </m:e>
              </m:box>
            </m:oMath>
            <w:r w:rsidR="003A5567" w:rsidRPr="00683B48">
              <w:rPr>
                <w:rFonts w:ascii="Times New Roman" w:hAnsi="Times New Roman" w:cs="Times New Roman"/>
                <w:sz w:val="32"/>
                <w:szCs w:val="32"/>
              </w:rPr>
              <w:t>)×1000</w:t>
            </w:r>
            <w:r w:rsidR="003A55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5567"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5567" w:rsidRPr="003A5567">
              <w:rPr>
                <w:rFonts w:ascii="Times New Roman" w:hAnsi="Times New Roman" w:cs="Times New Roman"/>
              </w:rPr>
              <w:t>грн</w:t>
            </w:r>
            <w:proofErr w:type="spellEnd"/>
            <w:r w:rsidR="003A5567" w:rsidRPr="003A5567">
              <w:rPr>
                <w:rFonts w:ascii="Times New Roman" w:hAnsi="Times New Roman" w:cs="Times New Roman"/>
              </w:rPr>
              <w:t>/</w:t>
            </w:r>
            <w:proofErr w:type="spellStart"/>
            <w:r w:rsidR="003A5567" w:rsidRPr="003A5567">
              <w:rPr>
                <w:rFonts w:ascii="Times New Roman" w:hAnsi="Times New Roman" w:cs="Times New Roman"/>
              </w:rPr>
              <w:t>МВт·год</w:t>
            </w:r>
            <w:proofErr w:type="spellEnd"/>
            <w:r w:rsidR="003A5567" w:rsidRPr="003A5567">
              <w:rPr>
                <w:rFonts w:ascii="Times New Roman" w:hAnsi="Times New Roman" w:cs="Times New Roman"/>
              </w:rPr>
              <w:t>, (26)</w:t>
            </w:r>
          </w:p>
          <w:p w14:paraId="30B0CB4C" w14:textId="77777777" w:rsidR="004A038C" w:rsidRPr="00ED4EF2" w:rsidRDefault="004A038C" w:rsidP="004A03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1F7F5984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9B5F2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5EFD5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EC64C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A3E7B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96499" w14:textId="77777777" w:rsidR="002009D6" w:rsidRDefault="002009D6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BCBAD" w14:textId="77777777" w:rsidR="00ED7A19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18145" w14:textId="77777777" w:rsidR="00ED7A19" w:rsidRPr="002009D6" w:rsidRDefault="00ED7A19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  <w:p w14:paraId="41CD61AC" w14:textId="0933A5C7" w:rsidR="00F53D5A" w:rsidRPr="00F53D5A" w:rsidRDefault="00F53D5A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послуги з передачі електричної енергії для підприємств </w:t>
            </w:r>
            <w:r w:rsidR="00EE52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>зеленої</w:t>
            </w:r>
            <w:r w:rsidR="00EE52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елект</w:t>
            </w:r>
            <w:r w:rsidR="00EE52FC">
              <w:rPr>
                <w:rFonts w:ascii="Times New Roman" w:hAnsi="Times New Roman" w:cs="Times New Roman"/>
                <w:sz w:val="24"/>
                <w:szCs w:val="24"/>
              </w:rPr>
              <w:t>рометалургії на прогнозний рік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oMath>
            <w:r w:rsidR="00EE52FC">
              <w:rPr>
                <w:rFonts w:ascii="Times New Roman" w:hAnsi="Times New Roman" w:cs="Times New Roman"/>
                <w:sz w:val="24"/>
                <w:szCs w:val="24"/>
              </w:rPr>
              <w:t>) ро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>зраховується за формулою</w:t>
            </w:r>
          </w:p>
          <w:p w14:paraId="7F28CD23" w14:textId="77777777" w:rsidR="00F53D5A" w:rsidRPr="00F53D5A" w:rsidRDefault="00F53D5A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441A9" w14:textId="3837AA93" w:rsidR="00F53D5A" w:rsidRPr="00F53D5A" w:rsidRDefault="001B6FA4" w:rsidP="00683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sup>
              </m:sSubSup>
            </m:oMath>
            <w:r w:rsidR="00300EA2" w:rsidRPr="00683B48">
              <w:rPr>
                <w:rFonts w:ascii="Times New Roman" w:hAnsi="Times New Roman" w:cs="Times New Roman"/>
                <w:sz w:val="32"/>
                <w:szCs w:val="32"/>
              </w:rPr>
              <w:t>=</w:t>
            </w:r>
            <m:oMath>
              <m:box>
                <m:box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НД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ЗІ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den>
                  </m:f>
                </m:e>
              </m:box>
            </m:oMath>
            <w:r w:rsidR="00300EA2" w:rsidRPr="00683B48">
              <w:rPr>
                <w:rFonts w:ascii="Times New Roman" w:hAnsi="Times New Roman" w:cs="Times New Roman"/>
                <w:i/>
                <w:sz w:val="32"/>
                <w:szCs w:val="32"/>
              </w:rPr>
              <w:t>×</w:t>
            </w:r>
            <w:r w:rsidR="00300EA2" w:rsidRPr="00683B48">
              <w:rPr>
                <w:rFonts w:ascii="Times New Roman" w:hAnsi="Times New Roman" w:cs="Times New Roman"/>
                <w:sz w:val="32"/>
                <w:szCs w:val="32"/>
              </w:rPr>
              <w:t>1000</w:t>
            </w:r>
            <w:r w:rsidR="00300E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53D5A" w:rsidRPr="00F53D5A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="00F53D5A" w:rsidRPr="00F53D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F53D5A" w:rsidRPr="00F53D5A">
              <w:rPr>
                <w:rFonts w:ascii="Times New Roman" w:hAnsi="Times New Roman" w:cs="Times New Roman"/>
                <w:sz w:val="24"/>
                <w:szCs w:val="24"/>
              </w:rPr>
              <w:t>МВт·год</w:t>
            </w:r>
            <w:proofErr w:type="spellEnd"/>
            <w:r w:rsidR="00F53D5A" w:rsidRPr="00F53D5A">
              <w:rPr>
                <w:rFonts w:ascii="Times New Roman" w:hAnsi="Times New Roman" w:cs="Times New Roman"/>
                <w:sz w:val="24"/>
                <w:szCs w:val="24"/>
              </w:rPr>
              <w:t>, (27)</w:t>
            </w:r>
          </w:p>
          <w:p w14:paraId="3CF9EF61" w14:textId="77777777" w:rsidR="004A038C" w:rsidRPr="00ED4EF2" w:rsidRDefault="004A038C" w:rsidP="004A03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5A0648E2" w14:textId="0973DD35" w:rsidR="004E4D33" w:rsidRPr="00F53D5A" w:rsidRDefault="004E4D33" w:rsidP="00F53D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51C563A4" w14:textId="77777777" w:rsidR="003A5567" w:rsidRPr="00E43061" w:rsidRDefault="003A5567" w:rsidP="00E4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0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 Розрахунок тарифу (у тому числі на перехідний період)</w:t>
            </w:r>
          </w:p>
          <w:p w14:paraId="1C8C72CE" w14:textId="77777777" w:rsidR="003A5567" w:rsidRPr="00F53D5A" w:rsidRDefault="003A5567" w:rsidP="003A5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D15B6" w14:textId="77777777" w:rsidR="003A5567" w:rsidRDefault="003A5567" w:rsidP="003A5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послуги з передачі електричної енергії для користувачів системи (крім підприємств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>зеленої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електрометалургії) на прогнозний рік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</m:sSubSup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53D5A">
              <w:rPr>
                <w:rFonts w:ascii="Times New Roman" w:hAnsi="Times New Roman" w:cs="Times New Roman"/>
                <w:sz w:val="24"/>
                <w:szCs w:val="24"/>
              </w:rPr>
              <w:t xml:space="preserve"> розраховується за формулою</w:t>
            </w:r>
          </w:p>
          <w:p w14:paraId="1DD6CEE5" w14:textId="77777777" w:rsidR="003A5567" w:rsidRDefault="003A5567" w:rsidP="003A5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BF09F" w14:textId="30F0FBE2" w:rsidR="003A5567" w:rsidRPr="001B6FA4" w:rsidRDefault="001B6FA4" w:rsidP="00683B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</m:t>
                  </m:r>
                </m:sup>
              </m:sSubSup>
            </m:oMath>
            <w:r w:rsidR="003A5567" w:rsidRPr="001B6FA4">
              <w:rPr>
                <w:rFonts w:ascii="Times New Roman" w:hAnsi="Times New Roman" w:cs="Times New Roman"/>
                <w:sz w:val="32"/>
                <w:szCs w:val="32"/>
              </w:rPr>
              <w:t>=(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ЗІ 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зел 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n</m:t>
                      </m:r>
                    </m:sup>
                  </m:sSubSup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box>
                <m:box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 xml:space="preserve">ЗІ 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 xml:space="preserve">зел </m:t>
                          </m:r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_м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)</m:t>
                      </m:r>
                    </m:den>
                  </m:f>
                </m:e>
              </m:box>
            </m:oMath>
            <w:r w:rsidR="003A5567" w:rsidRPr="001B6FA4">
              <w:rPr>
                <w:rFonts w:ascii="Times New Roman" w:hAnsi="Times New Roman" w:cs="Times New Roman"/>
                <w:sz w:val="32"/>
                <w:szCs w:val="32"/>
              </w:rPr>
              <w:t>)×1000,</w:t>
            </w:r>
            <w:r w:rsidR="003A5567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5567" w:rsidRPr="001B6FA4">
              <w:rPr>
                <w:rFonts w:ascii="Times New Roman" w:hAnsi="Times New Roman" w:cs="Times New Roman"/>
              </w:rPr>
              <w:t>грн</w:t>
            </w:r>
            <w:proofErr w:type="spellEnd"/>
            <w:r w:rsidR="003A5567" w:rsidRPr="001B6FA4">
              <w:rPr>
                <w:rFonts w:ascii="Times New Roman" w:hAnsi="Times New Roman" w:cs="Times New Roman"/>
              </w:rPr>
              <w:t>/</w:t>
            </w:r>
            <w:proofErr w:type="spellStart"/>
            <w:r w:rsidR="003A5567" w:rsidRPr="001B6FA4">
              <w:rPr>
                <w:rFonts w:ascii="Times New Roman" w:hAnsi="Times New Roman" w:cs="Times New Roman"/>
              </w:rPr>
              <w:t>МВт·год</w:t>
            </w:r>
            <w:proofErr w:type="spellEnd"/>
            <w:r w:rsidR="003A5567" w:rsidRPr="001B6FA4">
              <w:rPr>
                <w:rFonts w:ascii="Times New Roman" w:hAnsi="Times New Roman" w:cs="Times New Roman"/>
              </w:rPr>
              <w:t>, (26)</w:t>
            </w:r>
          </w:p>
          <w:p w14:paraId="4F96B5EF" w14:textId="77777777" w:rsidR="00ED7A19" w:rsidRPr="001B6FA4" w:rsidRDefault="00ED7A19" w:rsidP="00ED7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FA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14D87895" w14:textId="77777777" w:rsidR="00ED7A19" w:rsidRPr="001B6FA4" w:rsidRDefault="00ED7A19" w:rsidP="00683B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7B1F6CA" w14:textId="3C5C9109" w:rsidR="00ED7A19" w:rsidRPr="001B6FA4" w:rsidRDefault="001B6FA4" w:rsidP="00ED7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 xml:space="preserve">ЗІ 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 xml:space="preserve">зел 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n</m:t>
                  </m:r>
                </m:sup>
              </m:sSubSup>
            </m:oMath>
            <w:r w:rsidR="00ED7A19" w:rsidRPr="001B6FA4">
              <w:rPr>
                <w:rFonts w:ascii="Times New Roman" w:hAnsi="Times New Roman" w:cs="Times New Roman"/>
              </w:rPr>
              <w:t xml:space="preserve"> –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прогнозовані</w:t>
            </w:r>
            <w:r w:rsidR="00ED7A19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витрати на виконання спеціальних обов’язків із забезпечення збільшення частки виробництва електричної енергії з альтернативних джерел енергії </w:t>
            </w:r>
            <w:r w:rsidR="002009D6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(для приватних домогосподарств та крім приватних домогосподарств</w:t>
            </w:r>
            <w:r w:rsidR="00052345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="00ED7A19" w:rsidRPr="001B6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A19" w:rsidRPr="001B6FA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прогнозний рік, тис. грн.</w:t>
            </w:r>
          </w:p>
          <w:p w14:paraId="3A255D4B" w14:textId="77777777" w:rsidR="004A038C" w:rsidRPr="001B6FA4" w:rsidRDefault="004A038C" w:rsidP="00300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6EF19" w14:textId="77777777" w:rsidR="00300EA2" w:rsidRPr="001B6FA4" w:rsidRDefault="00300EA2" w:rsidP="00300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FA4">
              <w:rPr>
                <w:rFonts w:ascii="Times New Roman" w:hAnsi="Times New Roman" w:cs="Times New Roman"/>
                <w:sz w:val="24"/>
                <w:szCs w:val="24"/>
              </w:rPr>
              <w:t>Тариф на послуги з передачі електричної енергії для підприємств «зеленої» електрометалургії на прогнозний рік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oMath>
            <w:r w:rsidRPr="001B6FA4">
              <w:rPr>
                <w:rFonts w:ascii="Times New Roman" w:hAnsi="Times New Roman" w:cs="Times New Roman"/>
                <w:sz w:val="24"/>
                <w:szCs w:val="24"/>
              </w:rPr>
              <w:t>) розраховується за формулою</w:t>
            </w:r>
          </w:p>
          <w:p w14:paraId="4A8F72BD" w14:textId="77777777" w:rsidR="00300EA2" w:rsidRPr="001B6FA4" w:rsidRDefault="00300EA2" w:rsidP="00300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1A2A2" w14:textId="32FFF9FF" w:rsidR="00300EA2" w:rsidRPr="001B6FA4" w:rsidRDefault="001B6FA4" w:rsidP="00683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sup>
              </m:sSubSup>
            </m:oMath>
            <w:r w:rsidR="00300EA2" w:rsidRPr="001B6FA4">
              <w:rPr>
                <w:rFonts w:ascii="Times New Roman" w:hAnsi="Times New Roman" w:cs="Times New Roman"/>
                <w:sz w:val="32"/>
                <w:szCs w:val="32"/>
              </w:rPr>
              <w:t>=</w:t>
            </w:r>
            <m:oMath>
              <m:box>
                <m:box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НД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ЗІ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 xml:space="preserve">зел </m:t>
                          </m:r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lang w:val="en-US"/>
                            </w:rPr>
                            <m:t>n</m:t>
                          </m:r>
                        </m:sup>
                      </m:sSubSup>
                    </m:den>
                  </m:f>
                </m:e>
              </m:box>
            </m:oMath>
            <w:r w:rsidR="00300EA2" w:rsidRPr="001B6FA4">
              <w:rPr>
                <w:rFonts w:ascii="Times New Roman" w:hAnsi="Times New Roman" w:cs="Times New Roman"/>
                <w:i/>
                <w:sz w:val="32"/>
                <w:szCs w:val="32"/>
              </w:rPr>
              <w:t>×</w:t>
            </w:r>
            <w:r w:rsidR="00300EA2" w:rsidRPr="001B6FA4">
              <w:rPr>
                <w:rFonts w:ascii="Times New Roman" w:hAnsi="Times New Roman" w:cs="Times New Roman"/>
                <w:sz w:val="32"/>
                <w:szCs w:val="32"/>
              </w:rPr>
              <w:t xml:space="preserve">1000, </w:t>
            </w:r>
            <w:proofErr w:type="spellStart"/>
            <w:r w:rsidR="00300EA2" w:rsidRPr="001B6FA4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="00300EA2" w:rsidRPr="001B6F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00EA2" w:rsidRPr="001B6FA4">
              <w:rPr>
                <w:rFonts w:ascii="Times New Roman" w:hAnsi="Times New Roman" w:cs="Times New Roman"/>
                <w:sz w:val="24"/>
                <w:szCs w:val="24"/>
              </w:rPr>
              <w:t>МВт·год</w:t>
            </w:r>
            <w:proofErr w:type="spellEnd"/>
            <w:r w:rsidR="00300EA2" w:rsidRPr="001B6FA4">
              <w:rPr>
                <w:rFonts w:ascii="Times New Roman" w:hAnsi="Times New Roman" w:cs="Times New Roman"/>
                <w:sz w:val="24"/>
                <w:szCs w:val="24"/>
              </w:rPr>
              <w:t>, (27)</w:t>
            </w:r>
            <w:bookmarkStart w:id="0" w:name="_GoBack"/>
            <w:bookmarkEnd w:id="0"/>
          </w:p>
          <w:p w14:paraId="25B8237C" w14:textId="77777777" w:rsidR="004A038C" w:rsidRPr="00ED4EF2" w:rsidRDefault="004A038C" w:rsidP="004A03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14:paraId="3E26E64F" w14:textId="4678DCB7" w:rsidR="004E4D33" w:rsidRPr="00DE3574" w:rsidRDefault="004E4D33" w:rsidP="00300E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65CA2A1D" w14:textId="61557E1F" w:rsidR="00E64C6A" w:rsidRPr="00C541FA" w:rsidRDefault="00E64C6A" w:rsidP="00DE3574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E64C6A" w:rsidRPr="00C541FA" w:rsidSect="002B35A3">
      <w:headerReference w:type="default" r:id="rId19"/>
      <w:pgSz w:w="16838" w:h="11906" w:orient="landscape"/>
      <w:pgMar w:top="851" w:right="851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264D8" w14:textId="77777777" w:rsidR="00ED7A19" w:rsidRDefault="00ED7A19" w:rsidP="00DD454E">
      <w:pPr>
        <w:spacing w:after="0" w:line="240" w:lineRule="auto"/>
      </w:pPr>
      <w:r>
        <w:separator/>
      </w:r>
    </w:p>
  </w:endnote>
  <w:endnote w:type="continuationSeparator" w:id="0">
    <w:p w14:paraId="3868F888" w14:textId="77777777" w:rsidR="00ED7A19" w:rsidRDefault="00ED7A19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E364B" w14:textId="77777777" w:rsidR="00ED7A19" w:rsidRDefault="00ED7A19" w:rsidP="00DD454E">
      <w:pPr>
        <w:spacing w:after="0" w:line="240" w:lineRule="auto"/>
      </w:pPr>
      <w:r>
        <w:separator/>
      </w:r>
    </w:p>
  </w:footnote>
  <w:footnote w:type="continuationSeparator" w:id="0">
    <w:p w14:paraId="6BF4BD71" w14:textId="77777777" w:rsidR="00ED7A19" w:rsidRDefault="00ED7A19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164859"/>
      <w:docPartObj>
        <w:docPartGallery w:val="Page Numbers (Top of Page)"/>
        <w:docPartUnique/>
      </w:docPartObj>
    </w:sdtPr>
    <w:sdtEndPr/>
    <w:sdtContent>
      <w:p w14:paraId="4C3C33E8" w14:textId="7DB1C21B" w:rsidR="00ED7A19" w:rsidRDefault="00ED7A19" w:rsidP="00C541F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FA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73"/>
    <w:rsid w:val="00000FC0"/>
    <w:rsid w:val="0001563C"/>
    <w:rsid w:val="00020D5C"/>
    <w:rsid w:val="00034E10"/>
    <w:rsid w:val="0003645B"/>
    <w:rsid w:val="00044043"/>
    <w:rsid w:val="00050773"/>
    <w:rsid w:val="00050D0E"/>
    <w:rsid w:val="00052345"/>
    <w:rsid w:val="000527ED"/>
    <w:rsid w:val="00060CC3"/>
    <w:rsid w:val="00071030"/>
    <w:rsid w:val="00073EE5"/>
    <w:rsid w:val="00075481"/>
    <w:rsid w:val="000850EA"/>
    <w:rsid w:val="000876CC"/>
    <w:rsid w:val="000B2D4D"/>
    <w:rsid w:val="000B3338"/>
    <w:rsid w:val="000B74D5"/>
    <w:rsid w:val="000D09CC"/>
    <w:rsid w:val="000E0F6B"/>
    <w:rsid w:val="000E4F6E"/>
    <w:rsid w:val="000E7657"/>
    <w:rsid w:val="000F1884"/>
    <w:rsid w:val="001200B2"/>
    <w:rsid w:val="00127BB1"/>
    <w:rsid w:val="00131A6E"/>
    <w:rsid w:val="00133E44"/>
    <w:rsid w:val="00163356"/>
    <w:rsid w:val="0016409E"/>
    <w:rsid w:val="00166124"/>
    <w:rsid w:val="00177250"/>
    <w:rsid w:val="00181DDE"/>
    <w:rsid w:val="0018533D"/>
    <w:rsid w:val="00185E8C"/>
    <w:rsid w:val="001A71CA"/>
    <w:rsid w:val="001A7F43"/>
    <w:rsid w:val="001B6FA4"/>
    <w:rsid w:val="001C21E2"/>
    <w:rsid w:val="001C6A07"/>
    <w:rsid w:val="001D5D0A"/>
    <w:rsid w:val="001E08D9"/>
    <w:rsid w:val="001F54C9"/>
    <w:rsid w:val="001F6E58"/>
    <w:rsid w:val="002009D6"/>
    <w:rsid w:val="00200BC9"/>
    <w:rsid w:val="00202E5F"/>
    <w:rsid w:val="002135C0"/>
    <w:rsid w:val="00260223"/>
    <w:rsid w:val="002617DC"/>
    <w:rsid w:val="00275CE5"/>
    <w:rsid w:val="00284D0F"/>
    <w:rsid w:val="00286E56"/>
    <w:rsid w:val="002878AA"/>
    <w:rsid w:val="002947BA"/>
    <w:rsid w:val="002A40F5"/>
    <w:rsid w:val="002A7A45"/>
    <w:rsid w:val="002B35A3"/>
    <w:rsid w:val="002B7AE7"/>
    <w:rsid w:val="002C5F15"/>
    <w:rsid w:val="002D652A"/>
    <w:rsid w:val="00300EA2"/>
    <w:rsid w:val="00307DC3"/>
    <w:rsid w:val="003113D2"/>
    <w:rsid w:val="00314CCE"/>
    <w:rsid w:val="003167A6"/>
    <w:rsid w:val="0033581A"/>
    <w:rsid w:val="00342FAE"/>
    <w:rsid w:val="00343343"/>
    <w:rsid w:val="003521A0"/>
    <w:rsid w:val="0036583A"/>
    <w:rsid w:val="003677B1"/>
    <w:rsid w:val="00373599"/>
    <w:rsid w:val="00374CAE"/>
    <w:rsid w:val="00377236"/>
    <w:rsid w:val="003A5567"/>
    <w:rsid w:val="003A771B"/>
    <w:rsid w:val="003C7E44"/>
    <w:rsid w:val="003D2ED8"/>
    <w:rsid w:val="003D5892"/>
    <w:rsid w:val="003D7B26"/>
    <w:rsid w:val="0040782C"/>
    <w:rsid w:val="00407AE5"/>
    <w:rsid w:val="00416B75"/>
    <w:rsid w:val="00417FCE"/>
    <w:rsid w:val="00424916"/>
    <w:rsid w:val="00424E65"/>
    <w:rsid w:val="004262DD"/>
    <w:rsid w:val="00440764"/>
    <w:rsid w:val="00440A95"/>
    <w:rsid w:val="00443937"/>
    <w:rsid w:val="004626B3"/>
    <w:rsid w:val="00480DD1"/>
    <w:rsid w:val="004A038C"/>
    <w:rsid w:val="004A12F1"/>
    <w:rsid w:val="004B01F5"/>
    <w:rsid w:val="004B3776"/>
    <w:rsid w:val="004C20B5"/>
    <w:rsid w:val="004C6460"/>
    <w:rsid w:val="004D3A6A"/>
    <w:rsid w:val="004D613F"/>
    <w:rsid w:val="004D61FF"/>
    <w:rsid w:val="004E4BDA"/>
    <w:rsid w:val="004E4D33"/>
    <w:rsid w:val="004F0F4F"/>
    <w:rsid w:val="004F2F59"/>
    <w:rsid w:val="005446F6"/>
    <w:rsid w:val="00545A2D"/>
    <w:rsid w:val="00560462"/>
    <w:rsid w:val="00571FA3"/>
    <w:rsid w:val="00576D9B"/>
    <w:rsid w:val="005973EE"/>
    <w:rsid w:val="005D5117"/>
    <w:rsid w:val="005D5FD0"/>
    <w:rsid w:val="005E32B0"/>
    <w:rsid w:val="006271E4"/>
    <w:rsid w:val="00641370"/>
    <w:rsid w:val="0065017E"/>
    <w:rsid w:val="00655960"/>
    <w:rsid w:val="00664D47"/>
    <w:rsid w:val="00683B48"/>
    <w:rsid w:val="00684AA2"/>
    <w:rsid w:val="00690CCB"/>
    <w:rsid w:val="006A20CF"/>
    <w:rsid w:val="006A4482"/>
    <w:rsid w:val="006B6E7E"/>
    <w:rsid w:val="006D76AF"/>
    <w:rsid w:val="006E0C6B"/>
    <w:rsid w:val="006F3953"/>
    <w:rsid w:val="006F794B"/>
    <w:rsid w:val="00701CA9"/>
    <w:rsid w:val="00703C5D"/>
    <w:rsid w:val="0072041B"/>
    <w:rsid w:val="00721285"/>
    <w:rsid w:val="00723228"/>
    <w:rsid w:val="007233D8"/>
    <w:rsid w:val="00736DE5"/>
    <w:rsid w:val="00744C52"/>
    <w:rsid w:val="00760445"/>
    <w:rsid w:val="007722CF"/>
    <w:rsid w:val="00772C46"/>
    <w:rsid w:val="00776226"/>
    <w:rsid w:val="00783246"/>
    <w:rsid w:val="00787E24"/>
    <w:rsid w:val="0079538E"/>
    <w:rsid w:val="007A292D"/>
    <w:rsid w:val="007A397B"/>
    <w:rsid w:val="007B4B53"/>
    <w:rsid w:val="007C6050"/>
    <w:rsid w:val="007F44D5"/>
    <w:rsid w:val="00801FA7"/>
    <w:rsid w:val="008101D3"/>
    <w:rsid w:val="00820B5A"/>
    <w:rsid w:val="00841E92"/>
    <w:rsid w:val="008551B1"/>
    <w:rsid w:val="00865EB0"/>
    <w:rsid w:val="00866915"/>
    <w:rsid w:val="008878A8"/>
    <w:rsid w:val="00893982"/>
    <w:rsid w:val="008A7BD1"/>
    <w:rsid w:val="008B3012"/>
    <w:rsid w:val="008B6910"/>
    <w:rsid w:val="008C5854"/>
    <w:rsid w:val="008D54F3"/>
    <w:rsid w:val="008D741E"/>
    <w:rsid w:val="008E1118"/>
    <w:rsid w:val="008E3F5C"/>
    <w:rsid w:val="0090122D"/>
    <w:rsid w:val="0090193D"/>
    <w:rsid w:val="00904508"/>
    <w:rsid w:val="00933D32"/>
    <w:rsid w:val="009641EC"/>
    <w:rsid w:val="00970B8C"/>
    <w:rsid w:val="00982C34"/>
    <w:rsid w:val="009865BD"/>
    <w:rsid w:val="009A3437"/>
    <w:rsid w:val="009C231D"/>
    <w:rsid w:val="009C5393"/>
    <w:rsid w:val="009E261A"/>
    <w:rsid w:val="009E75FA"/>
    <w:rsid w:val="00A11EEB"/>
    <w:rsid w:val="00A14DAA"/>
    <w:rsid w:val="00A260D2"/>
    <w:rsid w:val="00A338A3"/>
    <w:rsid w:val="00A40C87"/>
    <w:rsid w:val="00A5766A"/>
    <w:rsid w:val="00A64FC6"/>
    <w:rsid w:val="00A65ACC"/>
    <w:rsid w:val="00A6676F"/>
    <w:rsid w:val="00A91363"/>
    <w:rsid w:val="00A92595"/>
    <w:rsid w:val="00A959DF"/>
    <w:rsid w:val="00AB6A20"/>
    <w:rsid w:val="00AC171E"/>
    <w:rsid w:val="00AD52E4"/>
    <w:rsid w:val="00AE51E0"/>
    <w:rsid w:val="00B00753"/>
    <w:rsid w:val="00B05FCE"/>
    <w:rsid w:val="00B078B4"/>
    <w:rsid w:val="00B124E7"/>
    <w:rsid w:val="00B24914"/>
    <w:rsid w:val="00B40457"/>
    <w:rsid w:val="00B51EF4"/>
    <w:rsid w:val="00B521C1"/>
    <w:rsid w:val="00B60552"/>
    <w:rsid w:val="00B755F8"/>
    <w:rsid w:val="00B77071"/>
    <w:rsid w:val="00B93DDA"/>
    <w:rsid w:val="00B949A1"/>
    <w:rsid w:val="00BB677A"/>
    <w:rsid w:val="00BB7A45"/>
    <w:rsid w:val="00BC66BC"/>
    <w:rsid w:val="00BD1D7E"/>
    <w:rsid w:val="00BD71B6"/>
    <w:rsid w:val="00BE469F"/>
    <w:rsid w:val="00BF3EAA"/>
    <w:rsid w:val="00C24D71"/>
    <w:rsid w:val="00C33F3D"/>
    <w:rsid w:val="00C35E23"/>
    <w:rsid w:val="00C541FA"/>
    <w:rsid w:val="00C55162"/>
    <w:rsid w:val="00C55520"/>
    <w:rsid w:val="00C60D54"/>
    <w:rsid w:val="00C749FE"/>
    <w:rsid w:val="00C93268"/>
    <w:rsid w:val="00CA1804"/>
    <w:rsid w:val="00CB4289"/>
    <w:rsid w:val="00CB79B1"/>
    <w:rsid w:val="00CC056C"/>
    <w:rsid w:val="00CC4475"/>
    <w:rsid w:val="00CC605D"/>
    <w:rsid w:val="00CE6E7C"/>
    <w:rsid w:val="00CF5462"/>
    <w:rsid w:val="00D02272"/>
    <w:rsid w:val="00D25FE9"/>
    <w:rsid w:val="00D2664E"/>
    <w:rsid w:val="00D3683E"/>
    <w:rsid w:val="00D468BB"/>
    <w:rsid w:val="00D501B6"/>
    <w:rsid w:val="00D62E7D"/>
    <w:rsid w:val="00D8501E"/>
    <w:rsid w:val="00D9487B"/>
    <w:rsid w:val="00D96C93"/>
    <w:rsid w:val="00D97336"/>
    <w:rsid w:val="00DA1638"/>
    <w:rsid w:val="00DA473D"/>
    <w:rsid w:val="00DB0A3E"/>
    <w:rsid w:val="00DB1E6A"/>
    <w:rsid w:val="00DB293C"/>
    <w:rsid w:val="00DD454E"/>
    <w:rsid w:val="00DE3574"/>
    <w:rsid w:val="00E26473"/>
    <w:rsid w:val="00E26EDA"/>
    <w:rsid w:val="00E41725"/>
    <w:rsid w:val="00E43061"/>
    <w:rsid w:val="00E56BEE"/>
    <w:rsid w:val="00E63B41"/>
    <w:rsid w:val="00E64C6A"/>
    <w:rsid w:val="00E81433"/>
    <w:rsid w:val="00E83F0A"/>
    <w:rsid w:val="00E84A72"/>
    <w:rsid w:val="00EB033A"/>
    <w:rsid w:val="00ED00EB"/>
    <w:rsid w:val="00ED4EF2"/>
    <w:rsid w:val="00ED6A2F"/>
    <w:rsid w:val="00ED6E20"/>
    <w:rsid w:val="00ED7A19"/>
    <w:rsid w:val="00EE06CB"/>
    <w:rsid w:val="00EE52FC"/>
    <w:rsid w:val="00EE6F22"/>
    <w:rsid w:val="00EF6456"/>
    <w:rsid w:val="00F02255"/>
    <w:rsid w:val="00F0654A"/>
    <w:rsid w:val="00F177A4"/>
    <w:rsid w:val="00F254C5"/>
    <w:rsid w:val="00F3570F"/>
    <w:rsid w:val="00F4480E"/>
    <w:rsid w:val="00F53D5A"/>
    <w:rsid w:val="00F57C54"/>
    <w:rsid w:val="00F7117B"/>
    <w:rsid w:val="00F771C0"/>
    <w:rsid w:val="00F96E68"/>
    <w:rsid w:val="00FA6DB6"/>
    <w:rsid w:val="00FB6793"/>
    <w:rsid w:val="00FC0A8A"/>
    <w:rsid w:val="00FC75E7"/>
    <w:rsid w:val="00FD37B6"/>
    <w:rsid w:val="00FD66E9"/>
    <w:rsid w:val="00FD6D31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6A66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3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18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91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20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0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6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953E7-6DA1-4639-8660-C600AA98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4179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Тетяна Модна</cp:lastModifiedBy>
  <cp:revision>17</cp:revision>
  <cp:lastPrinted>2022-06-14T13:57:00Z</cp:lastPrinted>
  <dcterms:created xsi:type="dcterms:W3CDTF">2022-06-07T13:00:00Z</dcterms:created>
  <dcterms:modified xsi:type="dcterms:W3CDTF">2022-06-21T11:22:00Z</dcterms:modified>
</cp:coreProperties>
</file>