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0E2" w:rsidRDefault="002120E2" w:rsidP="002120E2">
      <w:pPr>
        <w:pStyle w:val="3"/>
        <w:spacing w:before="0" w:beforeAutospacing="0" w:after="0" w:afterAutospacing="0"/>
        <w:jc w:val="center"/>
        <w:rPr>
          <w:sz w:val="28"/>
          <w:szCs w:val="28"/>
          <w:lang w:eastAsia="ru-RU"/>
        </w:rPr>
      </w:pPr>
      <w:r w:rsidRPr="00B82466">
        <w:rPr>
          <w:sz w:val="28"/>
          <w:szCs w:val="28"/>
          <w:lang w:eastAsia="ru-RU"/>
        </w:rPr>
        <w:t xml:space="preserve">Порівняльна таблиця до  проєкту, що має ознаки регуляторного </w:t>
      </w:r>
      <w:proofErr w:type="spellStart"/>
      <w:r w:rsidRPr="00B82466">
        <w:rPr>
          <w:sz w:val="28"/>
          <w:szCs w:val="28"/>
          <w:lang w:eastAsia="ru-RU"/>
        </w:rPr>
        <w:t>акта</w:t>
      </w:r>
      <w:proofErr w:type="spellEnd"/>
      <w:r w:rsidRPr="00B82466">
        <w:rPr>
          <w:sz w:val="28"/>
          <w:szCs w:val="28"/>
          <w:lang w:eastAsia="ru-RU"/>
        </w:rPr>
        <w:t xml:space="preserve">, – постанови НКРЕКП </w:t>
      </w:r>
    </w:p>
    <w:p w:rsidR="002120E2" w:rsidRPr="00B82466" w:rsidRDefault="002120E2" w:rsidP="002120E2">
      <w:pPr>
        <w:pStyle w:val="3"/>
        <w:spacing w:before="0" w:beforeAutospacing="0" w:after="0" w:afterAutospacing="0"/>
        <w:jc w:val="center"/>
        <w:rPr>
          <w:sz w:val="28"/>
          <w:szCs w:val="28"/>
          <w:lang w:eastAsia="ru-RU"/>
        </w:rPr>
      </w:pPr>
      <w:r w:rsidRPr="002120E2">
        <w:rPr>
          <w:sz w:val="28"/>
          <w:szCs w:val="28"/>
          <w:lang w:eastAsia="ru-RU"/>
        </w:rPr>
        <w:t>«Про затвердження Зм</w:t>
      </w:r>
      <w:r w:rsidRPr="00B82466">
        <w:rPr>
          <w:sz w:val="28"/>
          <w:szCs w:val="28"/>
          <w:lang w:eastAsia="ru-RU"/>
        </w:rPr>
        <w:t>і</w:t>
      </w:r>
      <w:r w:rsidRPr="002120E2">
        <w:rPr>
          <w:sz w:val="28"/>
          <w:szCs w:val="28"/>
          <w:lang w:eastAsia="ru-RU"/>
        </w:rPr>
        <w:t xml:space="preserve">н до </w:t>
      </w:r>
      <w:r w:rsidRPr="00B82466">
        <w:rPr>
          <w:sz w:val="28"/>
          <w:szCs w:val="28"/>
          <w:lang w:eastAsia="ru-RU"/>
        </w:rPr>
        <w:t>Ліцензійних умов</w:t>
      </w:r>
      <w:r>
        <w:rPr>
          <w:sz w:val="28"/>
          <w:szCs w:val="28"/>
          <w:lang w:eastAsia="ru-RU"/>
        </w:rPr>
        <w:t xml:space="preserve"> </w:t>
      </w:r>
      <w:r w:rsidRPr="00B82466">
        <w:rPr>
          <w:sz w:val="28"/>
          <w:szCs w:val="28"/>
          <w:lang w:eastAsia="ru-RU"/>
        </w:rPr>
        <w:t xml:space="preserve">провадження господарської діяльності зі здійснення функцій </w:t>
      </w:r>
      <w:r>
        <w:rPr>
          <w:sz w:val="28"/>
          <w:szCs w:val="28"/>
          <w:lang w:eastAsia="ru-RU"/>
        </w:rPr>
        <w:t>гарантованого покупця</w:t>
      </w:r>
      <w:r w:rsidRPr="00B82466">
        <w:rPr>
          <w:sz w:val="28"/>
          <w:szCs w:val="28"/>
          <w:lang w:eastAsia="ru-RU"/>
        </w:rPr>
        <w:t>»</w:t>
      </w:r>
    </w:p>
    <w:p w:rsidR="009324B8" w:rsidRPr="00D62C2E" w:rsidRDefault="009324B8">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7564"/>
        <w:gridCol w:w="7564"/>
      </w:tblGrid>
      <w:tr w:rsidR="002120E2" w:rsidRPr="00B75C96" w:rsidTr="009324B8">
        <w:tc>
          <w:tcPr>
            <w:tcW w:w="7564" w:type="dxa"/>
          </w:tcPr>
          <w:p w:rsidR="002120E2" w:rsidRPr="002120E2" w:rsidRDefault="002120E2" w:rsidP="002120E2">
            <w:pPr>
              <w:jc w:val="center"/>
              <w:outlineLvl w:val="2"/>
              <w:rPr>
                <w:rFonts w:ascii="Times New Roman" w:eastAsiaTheme="minorEastAsia" w:hAnsi="Times New Roman" w:cs="Times New Roman"/>
                <w:b/>
                <w:bCs/>
                <w:sz w:val="28"/>
                <w:szCs w:val="28"/>
                <w:lang w:eastAsia="ru-RU"/>
              </w:rPr>
            </w:pPr>
            <w:r w:rsidRPr="002120E2">
              <w:rPr>
                <w:rFonts w:ascii="Times New Roman" w:eastAsiaTheme="minorEastAsia" w:hAnsi="Times New Roman" w:cs="Times New Roman"/>
                <w:b/>
                <w:bCs/>
                <w:sz w:val="28"/>
                <w:szCs w:val="28"/>
                <w:lang w:eastAsia="ru-RU"/>
              </w:rPr>
              <w:t>Постанова НКРЕКП від 27.12.2017 №14</w:t>
            </w:r>
            <w:r>
              <w:rPr>
                <w:rFonts w:ascii="Times New Roman" w:eastAsiaTheme="minorEastAsia" w:hAnsi="Times New Roman" w:cs="Times New Roman"/>
                <w:b/>
                <w:bCs/>
                <w:sz w:val="28"/>
                <w:szCs w:val="28"/>
                <w:lang w:eastAsia="ru-RU"/>
              </w:rPr>
              <w:t>71</w:t>
            </w:r>
          </w:p>
        </w:tc>
        <w:tc>
          <w:tcPr>
            <w:tcW w:w="7564" w:type="dxa"/>
          </w:tcPr>
          <w:p w:rsidR="002120E2" w:rsidRPr="002120E2" w:rsidRDefault="002120E2" w:rsidP="002120E2">
            <w:pPr>
              <w:pStyle w:val="a5"/>
              <w:spacing w:before="0" w:beforeAutospacing="0" w:after="0" w:afterAutospacing="0"/>
              <w:jc w:val="center"/>
              <w:rPr>
                <w:b/>
                <w:bCs/>
                <w:sz w:val="28"/>
                <w:szCs w:val="28"/>
                <w:lang w:eastAsia="ru-RU"/>
              </w:rPr>
            </w:pPr>
            <w:r w:rsidRPr="002120E2">
              <w:rPr>
                <w:b/>
                <w:bCs/>
                <w:sz w:val="28"/>
                <w:szCs w:val="28"/>
                <w:lang w:eastAsia="ru-RU"/>
              </w:rPr>
              <w:t xml:space="preserve">Редакція проєкту постанови НКРЕКП «Про затвердження Змін до Ліцензійних умов провадження господарської діяльності зі здійснення функцій </w:t>
            </w:r>
            <w:r>
              <w:rPr>
                <w:b/>
                <w:bCs/>
                <w:sz w:val="28"/>
                <w:szCs w:val="28"/>
                <w:lang w:eastAsia="ru-RU"/>
              </w:rPr>
              <w:t>гарантованого покупця</w:t>
            </w:r>
            <w:bookmarkStart w:id="0" w:name="_GoBack"/>
            <w:bookmarkEnd w:id="0"/>
            <w:r w:rsidRPr="002120E2">
              <w:rPr>
                <w:b/>
                <w:bCs/>
                <w:sz w:val="28"/>
                <w:szCs w:val="28"/>
                <w:lang w:eastAsia="ru-RU"/>
              </w:rPr>
              <w:t>»</w:t>
            </w:r>
          </w:p>
        </w:tc>
      </w:tr>
      <w:tr w:rsidR="002120E2" w:rsidRPr="00B75C96" w:rsidTr="009324B8">
        <w:tc>
          <w:tcPr>
            <w:tcW w:w="7564" w:type="dxa"/>
          </w:tcPr>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 Загальні положення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1.1. 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зі здійснення функцій гарантованого покупця (далі - ліцензована діяльність), а також визначають вичерпний перелік вимог, умов і правил, обов'язкових для виконання під час провадження ліцензованої діяльності.</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1.2. Суб'єкт господарювання, який має намір отримати ліцензію на провадження господарської діяльності зі здійснення функцій гарантованого покупця (далі - здобувач ліцензії), має відповідати цим Ліцензійним умовам, а суб'єкт господарювання, який має ліцензію на провадження господарської діяльності зі здійснення функцій гарантованого покупця (далі - ліцензіат), зобов'язаний виконувати вимоги цих Ліцензійних умов.</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1.3. У цих Ліцензійних умовах терміни вживаються в таких значеннях:</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засоби провадження господарської діяльності - будівлі (приміщення) та обладнання, у тому числі програмне та апаратно-технічне забезпечення, що знаходиться у власності та/або користуванні ліцензіата, призначене для організації та забезпечення роботи з ліцензованого виду діяльності, а також власний веб-сайт ліцензіата в мережі Інтернет, засоби комунікації (телефон, факс, E-</w:t>
            </w:r>
            <w:proofErr w:type="spellStart"/>
            <w:r w:rsidRPr="00D62C2E">
              <w:rPr>
                <w:rFonts w:ascii="Times New Roman" w:hAnsi="Times New Roman" w:cs="Times New Roman"/>
                <w:sz w:val="24"/>
                <w:szCs w:val="24"/>
              </w:rPr>
              <w:t>mail</w:t>
            </w:r>
            <w:proofErr w:type="spellEnd"/>
            <w:r w:rsidRPr="00D62C2E">
              <w:rPr>
                <w:rFonts w:ascii="Times New Roman" w:hAnsi="Times New Roman" w:cs="Times New Roman"/>
                <w:sz w:val="24"/>
                <w:szCs w:val="24"/>
              </w:rPr>
              <w:t>);</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термін відсутній</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місце провадження господарської діяльності - територія України;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перехресне субсидіювання - переміщення коштів, отриманих від провадження господарської діяльності зі здійснення функцій гарантованого покупця, для фінансової підтримки іншого виду господарської діяльності в межах одного або декількох суб'єктів господарювання, крім переміщення коштів на господарську діяльність, що здійснюється в рамках виконання спеціальних обов'язків для забезпечення загальносуспільного інтересу у випадку їх покладення Кабінетом Міністрів України.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Інші терміни вживаються у значеннях, наведених у Господарському кодексі України, Цивільному кодексі України, законах України "Про ліцензування видів господарської діяльності", "Про ринок електричної енергії", "Про захист економічної конкуренції", "Про публічні закупівлі", "Про альтернативні джерела енергії", інших нормативно-правових актах, що регулюють функціонування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1.4. Здобувач ліцензії, який має намір провадити господарську діяльність зі здійснення функцій гарантованого покупця, подає до НКРЕКП заяву про отримання ліцензії за формою згідно з додатком 1.</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1.5. До заяви про отримання ліцензії здобувачем ліцензії додаються документи згідно з переліком, який є вичерпним: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lastRenderedPageBreak/>
              <w:t>1) відомість про засоби провадження господарської діяльності зі здійснення функцій гарантованого покупця (додаток 2);</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 проект кошторису гарантованого покупця, складений відповідно до методики (порядку) формування кошторису гарантованого покупця, що затверджується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1.6. Документи до заяви про отримання ліцензії здобувачем ліцензії додаються відповідно до опису, складеного у двох екземплярах за формою згідно з додатком 3.</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 Вимоги до провадження ліцензіатом господарської діяльності зі здійснення функцій гарантованого покупця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2.1. При провадженні ліцензованої діяльності ліцензіат повинен забезпечити дотримання таких кадрових вимог:</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Вимога відсутня</w:t>
            </w:r>
          </w:p>
          <w:p w:rsidR="002120E2" w:rsidRPr="00D62C2E" w:rsidRDefault="002120E2" w:rsidP="002120E2">
            <w:pPr>
              <w:jc w:val="both"/>
              <w:rPr>
                <w:rFonts w:ascii="Times New Roman" w:hAnsi="Times New Roman" w:cs="Times New Roman"/>
                <w:sz w:val="24"/>
                <w:szCs w:val="24"/>
              </w:rPr>
            </w:pPr>
          </w:p>
          <w:p w:rsidR="002120E2"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1) посадові особи, відповідальні за управління ліцензіатом, не є власниками корпоративних прав суб'єктів господарювання, які мають ліцензії на виробництво, передачу, розподіл, постачання електричної енергії, </w:t>
            </w:r>
            <w:proofErr w:type="spellStart"/>
            <w:r w:rsidRPr="00D62C2E">
              <w:rPr>
                <w:rFonts w:ascii="Times New Roman" w:hAnsi="Times New Roman" w:cs="Times New Roman"/>
                <w:sz w:val="24"/>
                <w:szCs w:val="24"/>
              </w:rPr>
              <w:t>трейдерську</w:t>
            </w:r>
            <w:proofErr w:type="spellEnd"/>
            <w:r w:rsidRPr="00D62C2E">
              <w:rPr>
                <w:rFonts w:ascii="Times New Roman" w:hAnsi="Times New Roman" w:cs="Times New Roman"/>
                <w:sz w:val="24"/>
                <w:szCs w:val="24"/>
              </w:rPr>
              <w:t xml:space="preserve"> діяльність та на виконання функцій оператора ринку;</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2) посадові особи, відповідальні за управління ліцензіатом, не входять до складу правління, інших виконавчих чи контрольних органів, чи наглядової ради підприємства або організації, що має ліцензії на виробництво, передачу, розподіл, постачання електричної енергії, </w:t>
            </w:r>
            <w:proofErr w:type="spellStart"/>
            <w:r w:rsidRPr="00D62C2E">
              <w:rPr>
                <w:rFonts w:ascii="Times New Roman" w:hAnsi="Times New Roman" w:cs="Times New Roman"/>
                <w:sz w:val="24"/>
                <w:szCs w:val="24"/>
              </w:rPr>
              <w:t>трейдерську</w:t>
            </w:r>
            <w:proofErr w:type="spellEnd"/>
            <w:r w:rsidRPr="00D62C2E">
              <w:rPr>
                <w:rFonts w:ascii="Times New Roman" w:hAnsi="Times New Roman" w:cs="Times New Roman"/>
                <w:sz w:val="24"/>
                <w:szCs w:val="24"/>
              </w:rPr>
              <w:t xml:space="preserve"> діяльність, виконання функцій оператора ринку;</w:t>
            </w:r>
          </w:p>
          <w:p w:rsidR="002120E2" w:rsidRPr="00D62C2E" w:rsidRDefault="002120E2" w:rsidP="002120E2">
            <w:pPr>
              <w:jc w:val="both"/>
              <w:rPr>
                <w:rFonts w:ascii="Times New Roman" w:hAnsi="Times New Roman" w:cs="Times New Roman"/>
                <w:sz w:val="24"/>
                <w:szCs w:val="24"/>
              </w:rPr>
            </w:pPr>
          </w:p>
          <w:p w:rsidR="002120E2"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lastRenderedPageBreak/>
              <w:t>3) оформлення трудових відносин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2.2. При провадженні ліцензованої діяльності ліцензіат повинен дотримуватися таких організаційних вимог:</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 зберігати протягом дії ліцензії документи, копії яких подавалися до НКРЕКП відповідно до вимог цих Ліцензійних умов;</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 повідомляти НКРЕКП про всі зміни даних, які були зазначені в його заяві та документах, що додавалися до заяви про отримання ліцензії, не пізніше одного місяця з дня настання таких змін;</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 провадити ліцензовану діяльність виключно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4) провадити ліцензовану діяльність у приміщенні, повністю відокремленому від приміщень інших учасників ринку, що провадять діяльність на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У цьому підпункті "повністю відокремлене приміщення" означає частину внутрішнього об'єму будівлі, обмежену будівельними елементами, з можливістю окремого входу і виходу. Вхід у приміщення ліцензіата повинен бути обладнаний системою контролю доступу до приміщення;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5) забезпечити присутність керівника ліцензіата, його заступника або іншої уповноваженої особи під час проведення НКРЕКП в </w:t>
            </w:r>
            <w:r w:rsidRPr="00D62C2E">
              <w:rPr>
                <w:rFonts w:ascii="Times New Roman" w:hAnsi="Times New Roman" w:cs="Times New Roman"/>
                <w:sz w:val="24"/>
                <w:szCs w:val="24"/>
              </w:rPr>
              <w:lastRenderedPageBreak/>
              <w:t>установленому законом порядку перевірки дотримання ліцензіатом вимог цих Ліцензійних умов;</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6) виконувати рішення НКРЕКП у строки, встановлені відповідним рішенням та чинним законодавством;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7) сплачувати щоквартально, протягом перших 30 днів кварталу, наступного за звітним, внески на регулювання, що визначаються рішенням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8) забезпечити функціонування власного веб-сайту в мережі Інтернет, в якому, зокрема, вказати засоби комунікації (поштову адресу, номер телефону для звернення, електронну пошту для прийому електронних повідомлень), розмістити нормативно-правові акти, що регулюють функціонування ринку електричної енергії, згідно з якими ліцензіат здійснює ліцензовану діяльність;</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9) укладати договори, обов'язкові для провадження діяльності на ринку електричної енергії, та виконувати умови цих договорів;</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10) повідомляти НКРЕКП письмово про намір вчинення по відношенню до засобів провадження господарської діяльності таких дій, як продаж, передача, переуступка, дарування, надання в оренду, кредит, іпотеку, поручительство, на збереження, обмеження або припинення використання тощо, якщо такі дії призведуть до неспроможності виконувати функції та обов'язки, визначені цими Ліцензійними умовами, або якщо вартість відновлення (вартість заміщення) відповідного засобу становитиме понад 200 (двісті) тис. грн;</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11) не передавати ліцензію, отриману для провадження діяльності зі здійснення функцій гарантованого покупця, або будь-які права та обов'язки гарантованого покупця відповідно до такої ліцензії третім особам;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lastRenderedPageBreak/>
              <w:t>12) купувати у суб'єктів господарювання, яким встановлено "зелений" тариф, усю відпущену електричну енергію, вироблену на об'єктах електроенергетики з альтернативних джерел енергії (а з використанням гідроенергії - вироблену лише мікро-, міні- та малими гідроелектростанціями), за встановленим їм "зеленим" тарифом з урахуванням надбавки до нього протягом усього строку застосування "зеленого" тарифу, якщо такі суб'єкти господарювання входять до складу балансуючої групи виробників за "зеленим" тарифом;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13) стати стороною, відповідальною за баланс балансуючої групи для виробників за "зеленим" тарифом, з якими ліцензіат уклав двосторонні договори;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14) надавати повідомлення про договірні обсяги купівлі-продажу електричної енергії за двосторонніми договорами у порядку, визначеному правилами ринку;</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15) здійснювати купівлю електричної енергії за "зеленим" тарифом з урахуванням надбавки до нього на підставі типового договору купівлі-продажу електричної енергії за "зеленим" тарифом, форма якого затверджена НКРЕКП, з виробником, якому встановлено "зелений" тариф, у порядку та відповідно до правил, визначених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16) здійснювати оплату електричної енергії, купленої у виробників за "зеленим" тарифом, за фактичний обсяг відпущеної електричної енергії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на підставі даних комерційного обліку, отриманих від адміністратора комерційного обліку, у порядку та строки, визначені відповідними договорами;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17) одночасно з виконанням зобов'язань з купівлі електричної енергії за "зеленим" тарифом надавати оператору системи передачі послугу із забезпечення збільшення частки виробництва електричної енергії з альтернативних джерел енергії відповідно до типового договору про </w:t>
            </w:r>
            <w:r w:rsidRPr="00D62C2E">
              <w:rPr>
                <w:rFonts w:ascii="Times New Roman" w:hAnsi="Times New Roman" w:cs="Times New Roman"/>
                <w:sz w:val="24"/>
                <w:szCs w:val="24"/>
              </w:rPr>
              <w:lastRenderedPageBreak/>
              <w:t>надання послуг із забезпечення збільшення частки виробництва електричної енергії з альтернативних джерел, форма якого затверджена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18) сплачувати своєчасно та в повному обсязі за електричну енергію, куплену у виробників за "зеленим" тарифом;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19) надавати учасникам ринку інформацію, необхідну для виконання ними функцій на ринку електричної енергії, в обсягах та порядку, визначених нормативно-правовими актами, що регулюють функціонування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20) надавати до НКРЕКП документи (їх копії), інформацію (дані, відомості, звітність), необхідні для виконання НКРЕКП своїх повноважень та функцій, в обсягах та у строки (не менше десяти робочих днів для надання копій документів, пояснень тощо), встановлені НКРЕКП.</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При наданні інформації до НКРЕКП ліцензіат повинен вказувати, яка конкретна частина інформації вважається конфіденційною інформацією;</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21) готувати щорічний звіт про результати своєї діяльності та оприлюднювати його на власному веб-сайті;</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22) розмістити на власному веб-сайті чинну редакцію порядку купівлі електричної енергії за "зеленим" тарифом, у тому числі правила функціонування балансуючої групи виробників за "зеленим" тарифом;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23) забезпечувати конфіденційність інформації, отриманої від учасників ринку електричної енергії, що використовується ним для виконання своїх функцій на ринку електричної енергії та становить комерційну таємницю, відповідно до вимог законодавства;</w:t>
            </w:r>
          </w:p>
          <w:p w:rsidR="002120E2"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24) забезпечувати конфіденційність інформації стосовно своєї діяльності, розкриття якої може надавати комерційні переваги учасникам ринку;</w:t>
            </w:r>
          </w:p>
          <w:p w:rsidR="002120E2"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25) надавати до НКРЕКП на її вимогу фінансову звітність разом з аудиторським висновком, зокрема в частині перевірки дотримання </w:t>
            </w:r>
            <w:r w:rsidRPr="00D62C2E">
              <w:rPr>
                <w:rFonts w:ascii="Times New Roman" w:hAnsi="Times New Roman" w:cs="Times New Roman"/>
                <w:sz w:val="24"/>
                <w:szCs w:val="24"/>
              </w:rPr>
              <w:lastRenderedPageBreak/>
              <w:t>вимог щодо уникнення дискримінаційної поведінки та перехресного субсидіювання;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26) зберігати всі відомості про укладені двосторонні договори та договори купівлі-продажу електричної енергії на організованих сегментах ринку протягом п'яти років;</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27) не надавати перевагу окремим виробникам електричної енергії, яким встановлено "зелений" тариф, та/або не перешкоджати їм у здійсненні своєї діяльності в рамках функціонування балансуючої групи виробників за "зеленим" тарифом;</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28) провадити ліцензовану діяльність на ринку електричної енергії з моменту укладення договору про врегулювання небалансів з оператором системи передачі в порядку, визначеному правилами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29) виконувати свої обов'язки, які визначені в порядку купівлі електричної енергії за "зеленим" тарифом, правилах ринку електричної енергії, правилах ринку "на добу наперед" та внутрішньодобового ринку, інших нормативно-правових документах, що регулюють функціонування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30) провадити ліцензовану діяльність на засадах економічної ефективності та мінімізації витрат, пов'язаних із виконанням спеціальних обов'язків для забезпечення загальносуспільного інтересу;</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Вимога відсутня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31) вести реєстр виробників, які входять до складу балансуючої групи виробників за "зеленим" тарифом. Ліцензіат повинен опубліковувати такий реєстр на власному веб-сайті та оновлювати його у випадку внесення змін;</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32) дотримуватися вимог щодо надання, захисту, розкриття та оприлюднення інформації на ринку електричної енергії відповідно до нормативно-правових актів, що регулюють функціонування ринку електричної енергії;</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33) здійснювати закупівлю товарів та послуг, використовувати кошти, отримані за рахунок ліцензованої діяльності, за цільовим призначенням та з дотриманням принципів здійснення </w:t>
            </w:r>
            <w:proofErr w:type="spellStart"/>
            <w:r w:rsidRPr="00D62C2E">
              <w:rPr>
                <w:rFonts w:ascii="Times New Roman" w:hAnsi="Times New Roman" w:cs="Times New Roman"/>
                <w:sz w:val="24"/>
                <w:szCs w:val="24"/>
              </w:rPr>
              <w:t>закупівель</w:t>
            </w:r>
            <w:proofErr w:type="spellEnd"/>
            <w:r w:rsidRPr="00D62C2E">
              <w:rPr>
                <w:rFonts w:ascii="Times New Roman" w:hAnsi="Times New Roman" w:cs="Times New Roman"/>
                <w:sz w:val="24"/>
                <w:szCs w:val="24"/>
              </w:rPr>
              <w:t xml:space="preserve"> відповідно до вимог Закону України "Про публічні закупівлі";</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34) урегульовувати спори, що виникають між ліцензіатом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Ліцензіат повинен виконувати рішення НКРЕКП, прийняті за результатами розгляду спору, учасником якого є ліцензіат;</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Вимога відсутня</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35) річна фінансова звітність ліцензіата підлягає обов'язковій перевірці незалежним аудитором та має бути розміщена на веб-сайті ліцензіата </w:t>
            </w:r>
            <w:r w:rsidRPr="00D62C2E">
              <w:rPr>
                <w:rFonts w:ascii="Times New Roman" w:hAnsi="Times New Roman" w:cs="Times New Roman"/>
                <w:sz w:val="24"/>
                <w:szCs w:val="24"/>
              </w:rPr>
              <w:lastRenderedPageBreak/>
              <w:t>протягом чотирьох місяців після закінчення фінансового року, до якого стосується така звітність. Критерії, за якими залучаються аудиторські фірми до проведення аудиту фінансової звітності або консолідованої фінансової звітності ліцензіата, мають відповідати критеріям, визначеним постановою Кабінету Міністрів України від 04 червня 2015 року N 390 "Деякі питання проведення аудиту суб'єктів господарювання державного сектору економіки".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2.3. При провадженні ліцензованої діяльності ліцензіат повинен дотримуватися таких технологічних вимог:</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 мати програмно-апаратне забезпечення, операційні можливості якого дозволяють виконувати належним чином функції гарантованого покупця, у тому числі сторони, відповідальної за баланс балансуючої групи виробників за "зеленим" тарифом, та яке відповідає вимогам правил ринку електричної енергії, правил функціонування балансуючої групи виробників за "зеленим" тарифом, зокрема щодо надійності, захисту та обміну інформацією тощо;</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 забезпечувати надійне та безперебійне функціонування програмного та апаратно-технічного забезпечення для виконання функцій гарантованого покупця;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3) забезпечувати та здійснювати постійне дотримання інформаційної безпеки та </w:t>
            </w:r>
            <w:proofErr w:type="spellStart"/>
            <w:r w:rsidRPr="00D62C2E">
              <w:rPr>
                <w:rFonts w:ascii="Times New Roman" w:hAnsi="Times New Roman" w:cs="Times New Roman"/>
                <w:sz w:val="24"/>
                <w:szCs w:val="24"/>
              </w:rPr>
              <w:t>кібербезпеки</w:t>
            </w:r>
            <w:proofErr w:type="spellEnd"/>
            <w:r w:rsidRPr="00D62C2E">
              <w:rPr>
                <w:rFonts w:ascii="Times New Roman" w:hAnsi="Times New Roman" w:cs="Times New Roman"/>
                <w:sz w:val="24"/>
                <w:szCs w:val="24"/>
              </w:rPr>
              <w:t xml:space="preserve"> засобів провадження ліцензованої діяльності (інформаційно-телекомунікаційних систем, автоматизованих систем управління тощо) з урахуванням визначених законодавством вимог, а також інформації, яка використовується ліцензіатом під час провадження ліцензованої діяльності.</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1) організаційно-правовою формою ліцензіата є державне підприємство, визначене Кабінетом Міністрів України;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 повідомляти НКРЕКП про зміни в управлінні не пізніше п'яти робочих днів з дати такої зміни;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3) повідомляти НКРЕКП про будь-які зміни у структурі/складі органів управління та/або організаційній структурі ліцензіата не пізніше п'яти робочих днів з дати такої зміни;</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4) не здійснювати діяльність з виробництва, передачі, розподілу електричної енергії, постачання електричної енергії споживачу, виконання функцій оператора ринку;</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5) вести бухгалтерський облік і готувати фінансові звіти з ліцензованої діяльності окремо від обліку та звітів з інших видів діяльності;</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6) не здійснювати перехресне субсидіювання;</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7) не допускати здійснення над ліцензіатом (здобувачем ліцензії)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7564" w:type="dxa"/>
          </w:tcPr>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засоби провадження господарської діяльності - будівлі (приміщення) та обладнання, у тому числі програмне та апаратно-технічне забезпечення, що знаходиться у власності та/або користуванні ліцензіата, призначене для організації та забезпечення роботи з ліцензованого виду діяльності, а також власний веб-сайт ліцензіата в мережі Інтернет, засоби комунікації (телефон, факс </w:t>
            </w:r>
            <w:r w:rsidRPr="00D62C2E">
              <w:rPr>
                <w:rFonts w:ascii="Times New Roman" w:hAnsi="Times New Roman" w:cs="Times New Roman"/>
                <w:b/>
                <w:sz w:val="24"/>
                <w:szCs w:val="24"/>
              </w:rPr>
              <w:t>(у разі наявності)</w:t>
            </w:r>
            <w:r w:rsidRPr="00D62C2E">
              <w:rPr>
                <w:rFonts w:ascii="Times New Roman" w:hAnsi="Times New Roman" w:cs="Times New Roman"/>
                <w:sz w:val="24"/>
                <w:szCs w:val="24"/>
              </w:rPr>
              <w:t>, E-</w:t>
            </w:r>
            <w:proofErr w:type="spellStart"/>
            <w:r w:rsidRPr="00D62C2E">
              <w:rPr>
                <w:rFonts w:ascii="Times New Roman" w:hAnsi="Times New Roman" w:cs="Times New Roman"/>
                <w:sz w:val="24"/>
                <w:szCs w:val="24"/>
              </w:rPr>
              <w:t>mail</w:t>
            </w:r>
            <w:proofErr w:type="spellEnd"/>
            <w:r w:rsidRPr="00D62C2E">
              <w:rPr>
                <w:rFonts w:ascii="Times New Roman" w:hAnsi="Times New Roman" w:cs="Times New Roman"/>
                <w:sz w:val="24"/>
                <w:szCs w:val="24"/>
              </w:rPr>
              <w:t>);</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b/>
                <w:sz w:val="24"/>
                <w:szCs w:val="24"/>
              </w:rPr>
            </w:pPr>
            <w:proofErr w:type="spellStart"/>
            <w:r w:rsidRPr="00D62C2E">
              <w:rPr>
                <w:rFonts w:ascii="Times New Roman" w:hAnsi="Times New Roman" w:cs="Times New Roman"/>
                <w:b/>
                <w:sz w:val="24"/>
                <w:szCs w:val="24"/>
              </w:rPr>
              <w:t>комплаєнс</w:t>
            </w:r>
            <w:proofErr w:type="spellEnd"/>
            <w:r w:rsidRPr="00D62C2E">
              <w:rPr>
                <w:rFonts w:ascii="Times New Roman" w:hAnsi="Times New Roman" w:cs="Times New Roman"/>
                <w:b/>
                <w:sz w:val="24"/>
                <w:szCs w:val="24"/>
              </w:rPr>
              <w:t xml:space="preserve"> </w:t>
            </w:r>
            <w:r>
              <w:rPr>
                <w:rFonts w:ascii="Times New Roman" w:hAnsi="Times New Roman" w:cs="Times New Roman"/>
                <w:b/>
                <w:sz w:val="24"/>
                <w:szCs w:val="24"/>
              </w:rPr>
              <w:t xml:space="preserve">(відповідність) </w:t>
            </w:r>
            <w:r w:rsidRPr="00D62C2E">
              <w:rPr>
                <w:rFonts w:ascii="Times New Roman" w:hAnsi="Times New Roman" w:cs="Times New Roman"/>
                <w:b/>
                <w:sz w:val="24"/>
                <w:szCs w:val="24"/>
              </w:rPr>
              <w:t>– регламентований внутрішніми документами суб’єкта господарювання безперервний процес, спрямований на забезпечення здійснення та покращення господарської діяльності відповідно до ліцензійних умов, нормативно-правових актів, що регулюють функціонування ринку електричної енергії, рішень НКРЕКП, відповідних державних стандартів (ДСТУ ISO).</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eastAsia="Calibri" w:hAnsi="Times New Roman" w:cs="Times New Roman"/>
                <w:b/>
                <w:color w:val="000000"/>
                <w:sz w:val="24"/>
                <w:szCs w:val="24"/>
              </w:rPr>
            </w:pPr>
            <w:r w:rsidRPr="00D62C2E">
              <w:rPr>
                <w:rFonts w:ascii="Times New Roman" w:hAnsi="Times New Roman" w:cs="Times New Roman"/>
                <w:b/>
                <w:sz w:val="24"/>
                <w:szCs w:val="24"/>
              </w:rPr>
              <w:t xml:space="preserve">1) </w:t>
            </w:r>
            <w:r w:rsidRPr="009E4A15">
              <w:rPr>
                <w:rFonts w:ascii="Times New Roman" w:hAnsi="Times New Roman" w:cs="Times New Roman"/>
                <w:b/>
                <w:sz w:val="24"/>
                <w:szCs w:val="24"/>
              </w:rPr>
              <w:t>посадові особи органів управління, визначені у статуті ліцензіата, повинні мати бездоганну ділову репутацію у значенні, наведеному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62C2E">
              <w:rPr>
                <w:rFonts w:ascii="Times New Roman" w:eastAsia="Calibri" w:hAnsi="Times New Roman" w:cs="Times New Roman"/>
                <w:b/>
                <w:color w:val="000000"/>
                <w:sz w:val="24"/>
                <w:szCs w:val="24"/>
              </w:rPr>
              <w:t>»;</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b/>
                <w:sz w:val="24"/>
                <w:szCs w:val="24"/>
              </w:rPr>
              <w:t>2)</w:t>
            </w:r>
            <w:r w:rsidRPr="00D62C2E">
              <w:rPr>
                <w:rFonts w:ascii="Times New Roman" w:hAnsi="Times New Roman" w:cs="Times New Roman"/>
                <w:sz w:val="24"/>
                <w:szCs w:val="24"/>
              </w:rPr>
              <w:t xml:space="preserve"> посадові особи, відповідальні за управління ліцензіатом, не є власниками корпоративних прав суб'єктів господарювання, які мають ліцензії на виробництво, передачу, розподіл, постачання електричної енергії, </w:t>
            </w:r>
            <w:proofErr w:type="spellStart"/>
            <w:r w:rsidRPr="00D62C2E">
              <w:rPr>
                <w:rFonts w:ascii="Times New Roman" w:hAnsi="Times New Roman" w:cs="Times New Roman"/>
                <w:sz w:val="24"/>
                <w:szCs w:val="24"/>
              </w:rPr>
              <w:t>трейдерську</w:t>
            </w:r>
            <w:proofErr w:type="spellEnd"/>
            <w:r w:rsidRPr="00D62C2E">
              <w:rPr>
                <w:rFonts w:ascii="Times New Roman" w:hAnsi="Times New Roman" w:cs="Times New Roman"/>
                <w:sz w:val="24"/>
                <w:szCs w:val="24"/>
              </w:rPr>
              <w:t xml:space="preserve"> діяльність та на виконання функцій оператора ринку;</w:t>
            </w:r>
          </w:p>
          <w:p w:rsidR="002120E2" w:rsidRPr="00D62C2E" w:rsidRDefault="002120E2" w:rsidP="002120E2">
            <w:pPr>
              <w:jc w:val="both"/>
              <w:rPr>
                <w:rFonts w:ascii="Times New Roman" w:hAnsi="Times New Roman" w:cs="Times New Roman"/>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b/>
                <w:sz w:val="24"/>
                <w:szCs w:val="24"/>
              </w:rPr>
              <w:t>3)</w:t>
            </w:r>
            <w:r w:rsidRPr="00D62C2E">
              <w:rPr>
                <w:rFonts w:ascii="Times New Roman" w:hAnsi="Times New Roman" w:cs="Times New Roman"/>
                <w:sz w:val="24"/>
                <w:szCs w:val="24"/>
              </w:rPr>
              <w:t xml:space="preserve"> посадові особи, відповідальні за управління ліцензіатом, не входять до складу правління, інших виконавчих чи контрольних органів, чи наглядової ради підприємства або організації, що має ліцензії на виробництво, передачу, розподіл, постачання електричної енергії, </w:t>
            </w:r>
            <w:proofErr w:type="spellStart"/>
            <w:r w:rsidRPr="00D62C2E">
              <w:rPr>
                <w:rFonts w:ascii="Times New Roman" w:hAnsi="Times New Roman" w:cs="Times New Roman"/>
                <w:sz w:val="24"/>
                <w:szCs w:val="24"/>
              </w:rPr>
              <w:t>трейдерську</w:t>
            </w:r>
            <w:proofErr w:type="spellEnd"/>
            <w:r w:rsidRPr="00D62C2E">
              <w:rPr>
                <w:rFonts w:ascii="Times New Roman" w:hAnsi="Times New Roman" w:cs="Times New Roman"/>
                <w:sz w:val="24"/>
                <w:szCs w:val="24"/>
              </w:rPr>
              <w:t xml:space="preserve"> діяльність, виконання функцій оператора ринку;</w:t>
            </w:r>
          </w:p>
          <w:p w:rsidR="002120E2" w:rsidRPr="00D62C2E" w:rsidRDefault="002120E2" w:rsidP="002120E2">
            <w:pPr>
              <w:jc w:val="both"/>
              <w:rPr>
                <w:rFonts w:ascii="Times New Roman" w:hAnsi="Times New Roman" w:cs="Times New Roman"/>
                <w:sz w:val="24"/>
                <w:szCs w:val="24"/>
              </w:rPr>
            </w:pPr>
          </w:p>
          <w:p w:rsidR="002120E2" w:rsidRPr="00651192" w:rsidRDefault="002120E2" w:rsidP="002120E2">
            <w:pPr>
              <w:jc w:val="both"/>
              <w:rPr>
                <w:rFonts w:ascii="Times New Roman" w:hAnsi="Times New Roman" w:cs="Times New Roman"/>
                <w:sz w:val="24"/>
                <w:szCs w:val="24"/>
                <w:lang w:val="ru-RU"/>
              </w:rPr>
            </w:pPr>
            <w:r w:rsidRPr="00D62C2E">
              <w:rPr>
                <w:rFonts w:ascii="Times New Roman" w:hAnsi="Times New Roman" w:cs="Times New Roman"/>
                <w:b/>
                <w:sz w:val="24"/>
                <w:szCs w:val="24"/>
              </w:rPr>
              <w:lastRenderedPageBreak/>
              <w:t>4)</w:t>
            </w:r>
            <w:r w:rsidRPr="00D62C2E">
              <w:rPr>
                <w:rFonts w:ascii="Times New Roman" w:hAnsi="Times New Roman" w:cs="Times New Roman"/>
                <w:sz w:val="24"/>
                <w:szCs w:val="24"/>
              </w:rPr>
              <w:t xml:space="preserve"> оформлення трудових відносин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r>
              <w:rPr>
                <w:rFonts w:ascii="Times New Roman" w:hAnsi="Times New Roman" w:cs="Times New Roman"/>
                <w:sz w:val="24"/>
                <w:szCs w:val="24"/>
                <w:lang w:val="ru-RU"/>
              </w:rPr>
              <w:t>%</w:t>
            </w:r>
          </w:p>
          <w:p w:rsidR="002120E2" w:rsidRDefault="002120E2" w:rsidP="002120E2">
            <w:pPr>
              <w:jc w:val="both"/>
              <w:rPr>
                <w:rFonts w:ascii="Times New Roman" w:hAnsi="Times New Roman" w:cs="Times New Roman"/>
                <w:sz w:val="24"/>
                <w:szCs w:val="24"/>
              </w:rPr>
            </w:pPr>
          </w:p>
          <w:p w:rsidR="002120E2" w:rsidRPr="00943F68" w:rsidRDefault="002120E2" w:rsidP="002120E2">
            <w:pPr>
              <w:jc w:val="both"/>
              <w:rPr>
                <w:rFonts w:ascii="Times New Roman" w:hAnsi="Times New Roman" w:cs="Times New Roman"/>
                <w:b/>
                <w:sz w:val="24"/>
                <w:szCs w:val="24"/>
              </w:rPr>
            </w:pPr>
            <w:r w:rsidRPr="006558E8">
              <w:rPr>
                <w:rFonts w:ascii="Times New Roman" w:hAnsi="Times New Roman" w:cs="Times New Roman"/>
                <w:b/>
                <w:sz w:val="24"/>
                <w:szCs w:val="24"/>
              </w:rPr>
              <w:t>5) призначити особу, відповідальну за обробку персональних даних.</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Default="002120E2" w:rsidP="002120E2">
            <w:pPr>
              <w:jc w:val="both"/>
              <w:rPr>
                <w:rFonts w:ascii="Times New Roman" w:hAnsi="Times New Roman" w:cs="Times New Roman"/>
                <w:b/>
                <w:sz w:val="24"/>
                <w:szCs w:val="24"/>
              </w:rPr>
            </w:pPr>
          </w:p>
          <w:p w:rsidR="002120E2"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 xml:space="preserve">8) забезпечити функціонування власного веб-сайту в мережі Інтернет, в якому, зокрема, вказати засоби комунікації (поштову адресу, номер телефону для звернення, електронну пошту для прийому електронних повідомлень), </w:t>
            </w:r>
            <w:r w:rsidRPr="008A34A4">
              <w:rPr>
                <w:rFonts w:ascii="Times New Roman" w:hAnsi="Times New Roman" w:cs="Times New Roman"/>
                <w:b/>
                <w:strike/>
                <w:sz w:val="24"/>
                <w:szCs w:val="24"/>
              </w:rPr>
              <w:t>розмістити нормативно-правові акти, що регулюють функціонування ринку електричної енергії, згідно з якими ліцензіат здійснює ліцензовану діяльність;</w:t>
            </w:r>
            <w:r>
              <w:rPr>
                <w:rFonts w:ascii="Times New Roman" w:hAnsi="Times New Roman" w:cs="Times New Roman"/>
                <w:b/>
                <w:strike/>
                <w:sz w:val="24"/>
                <w:szCs w:val="24"/>
              </w:rPr>
              <w:t xml:space="preserve"> </w:t>
            </w:r>
            <w:r w:rsidRPr="008A34A4">
              <w:rPr>
                <w:rFonts w:ascii="Times New Roman" w:hAnsi="Times New Roman" w:cs="Times New Roman"/>
                <w:sz w:val="24"/>
                <w:szCs w:val="24"/>
              </w:rPr>
              <w:t>перенесено в підпункт 22</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sz w:val="24"/>
                <w:szCs w:val="24"/>
              </w:rPr>
            </w:pPr>
            <w:r w:rsidRPr="00D62C2E">
              <w:rPr>
                <w:rFonts w:ascii="Times New Roman" w:hAnsi="Times New Roman" w:cs="Times New Roman"/>
                <w:sz w:val="24"/>
                <w:szCs w:val="24"/>
              </w:rPr>
              <w:t>22) розмістити на власному веб-сайті:</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sz w:val="24"/>
                <w:szCs w:val="24"/>
              </w:rPr>
              <w:t xml:space="preserve">- </w:t>
            </w:r>
            <w:r w:rsidRPr="00D62C2E">
              <w:rPr>
                <w:rFonts w:ascii="Times New Roman" w:hAnsi="Times New Roman" w:cs="Times New Roman"/>
                <w:b/>
                <w:sz w:val="24"/>
                <w:szCs w:val="24"/>
              </w:rPr>
              <w:t>нормативно-правові акти, що регулюють функціонування ринку електричної енергії, згідно з якими ліцензіат здійснює ліцензовану діяльність, у тому числі</w:t>
            </w:r>
            <w:r w:rsidRPr="00D62C2E">
              <w:rPr>
                <w:rFonts w:ascii="Times New Roman" w:hAnsi="Times New Roman" w:cs="Times New Roman"/>
                <w:sz w:val="24"/>
                <w:szCs w:val="24"/>
              </w:rPr>
              <w:t xml:space="preserve"> чинну редакцію порядку купівлі електричної енергії за "зеленим" тарифом, </w:t>
            </w:r>
            <w:r w:rsidRPr="00D62C2E">
              <w:rPr>
                <w:rFonts w:ascii="Times New Roman" w:hAnsi="Times New Roman" w:cs="Times New Roman"/>
                <w:b/>
                <w:strike/>
                <w:sz w:val="24"/>
                <w:szCs w:val="24"/>
              </w:rPr>
              <w:t>у тому числі</w:t>
            </w:r>
            <w:r w:rsidRPr="00D62C2E">
              <w:rPr>
                <w:rFonts w:ascii="Times New Roman" w:hAnsi="Times New Roman" w:cs="Times New Roman"/>
                <w:sz w:val="24"/>
                <w:szCs w:val="24"/>
              </w:rPr>
              <w:t xml:space="preserve"> правила функціонування балансуючої групи виробників за "зеленим" тарифом, </w:t>
            </w:r>
            <w:r w:rsidRPr="00D62C2E">
              <w:rPr>
                <w:rFonts w:ascii="Times New Roman" w:hAnsi="Times New Roman" w:cs="Times New Roman"/>
                <w:b/>
                <w:sz w:val="24"/>
                <w:szCs w:val="24"/>
              </w:rPr>
              <w:t>у доступному для завантаження та копіювання форматі;</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-програму комплаєнсу</w:t>
            </w:r>
            <w:r>
              <w:rPr>
                <w:rFonts w:ascii="Times New Roman" w:hAnsi="Times New Roman" w:cs="Times New Roman"/>
                <w:b/>
                <w:sz w:val="24"/>
                <w:szCs w:val="24"/>
              </w:rPr>
              <w:t xml:space="preserve"> (відповідності)</w:t>
            </w:r>
            <w:r w:rsidRPr="00D62C2E">
              <w:rPr>
                <w:rFonts w:ascii="Times New Roman" w:hAnsi="Times New Roman" w:cs="Times New Roman"/>
                <w:b/>
                <w:sz w:val="24"/>
                <w:szCs w:val="24"/>
              </w:rPr>
              <w:t xml:space="preserve"> зі здійснення функцій гарантованого покупця;</w:t>
            </w:r>
          </w:p>
          <w:p w:rsidR="002120E2"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lastRenderedPageBreak/>
              <w:t xml:space="preserve">-звіти за результатами оцінки істотних ризиків, що можуть вплинути на результати ліцензованої діяльності зі здійснення функцій гарантованого покупця та заходи щодо управління такими ризиками; </w:t>
            </w:r>
          </w:p>
          <w:p w:rsidR="002120E2" w:rsidRPr="00D62C2E" w:rsidRDefault="002120E2" w:rsidP="002120E2">
            <w:pPr>
              <w:jc w:val="both"/>
              <w:rPr>
                <w:rFonts w:ascii="Times New Roman" w:hAnsi="Times New Roman" w:cs="Times New Roman"/>
                <w:b/>
                <w:sz w:val="24"/>
                <w:szCs w:val="24"/>
              </w:rPr>
            </w:pPr>
            <w:r>
              <w:rPr>
                <w:rFonts w:ascii="Times New Roman" w:hAnsi="Times New Roman" w:cs="Times New Roman"/>
                <w:b/>
                <w:sz w:val="24"/>
                <w:szCs w:val="24"/>
              </w:rPr>
              <w:t>-звіти (квартальний, річний та за кожні два роки) про виконання спеціальних обов’язків для забезпечення загальносуспільного інтересу (у випадку їх покладання);</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 xml:space="preserve">- набори відкритих даних із можливістю експорту у форматах, які підтримують автоматизоване оброблення електронними засобами, або надання доступу до наборів відкритих даних через публічне API: </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 xml:space="preserve">     інформацію щодо обсягів та вартості купленої електричної енергії у виробників за “зеленим” тарифом, з деталізацією за видами генерації (щомісячно);</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 xml:space="preserve">     інформацію про стан розрахунків за електричну енергію з виробниками за “зеленим тарифом”</w:t>
            </w:r>
            <w:r>
              <w:rPr>
                <w:rFonts w:ascii="Times New Roman" w:hAnsi="Times New Roman" w:cs="Times New Roman"/>
                <w:b/>
                <w:sz w:val="24"/>
                <w:szCs w:val="24"/>
              </w:rPr>
              <w:t xml:space="preserve"> в агрегованому вигляді</w:t>
            </w:r>
            <w:r w:rsidRPr="00D62C2E">
              <w:rPr>
                <w:rFonts w:ascii="Times New Roman" w:hAnsi="Times New Roman" w:cs="Times New Roman"/>
                <w:b/>
                <w:sz w:val="24"/>
                <w:szCs w:val="24"/>
              </w:rPr>
              <w:t>(щомісячно);</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 xml:space="preserve">     інформацію щодо операцій ліцензіата на всіх сегментах ринку, зокрема про ціни та обсяги купівлі-продажу електричної енергії </w:t>
            </w:r>
            <w:r>
              <w:rPr>
                <w:rFonts w:ascii="Times New Roman" w:hAnsi="Times New Roman" w:cs="Times New Roman"/>
                <w:b/>
                <w:sz w:val="24"/>
                <w:szCs w:val="24"/>
              </w:rPr>
              <w:t xml:space="preserve"> в агрегованому вигляді</w:t>
            </w:r>
            <w:r w:rsidRPr="00D62C2E">
              <w:rPr>
                <w:rFonts w:ascii="Times New Roman" w:hAnsi="Times New Roman" w:cs="Times New Roman"/>
                <w:b/>
                <w:sz w:val="24"/>
                <w:szCs w:val="24"/>
              </w:rPr>
              <w:t>(щодекадно);</w:t>
            </w: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 xml:space="preserve"> - іншу інформацію в обсягах та у строки, визначені нормативними документами;</w:t>
            </w:r>
          </w:p>
          <w:p w:rsidR="002120E2" w:rsidRDefault="002120E2" w:rsidP="002120E2">
            <w:pPr>
              <w:jc w:val="both"/>
              <w:rPr>
                <w:rFonts w:ascii="Times New Roman" w:hAnsi="Times New Roman" w:cs="Times New Roman"/>
                <w:b/>
                <w:sz w:val="24"/>
                <w:szCs w:val="24"/>
              </w:rPr>
            </w:pPr>
          </w:p>
          <w:p w:rsidR="002120E2" w:rsidRPr="008A34A4" w:rsidRDefault="002120E2" w:rsidP="002120E2">
            <w:pPr>
              <w:jc w:val="both"/>
              <w:rPr>
                <w:rFonts w:ascii="Times New Roman" w:hAnsi="Times New Roman" w:cs="Times New Roman"/>
                <w:b/>
                <w:strike/>
                <w:sz w:val="24"/>
                <w:szCs w:val="24"/>
              </w:rPr>
            </w:pPr>
            <w:r w:rsidRPr="008A34A4">
              <w:rPr>
                <w:rFonts w:ascii="Times New Roman" w:hAnsi="Times New Roman" w:cs="Times New Roman"/>
                <w:b/>
                <w:strike/>
                <w:sz w:val="24"/>
                <w:szCs w:val="24"/>
              </w:rPr>
              <w:t xml:space="preserve">23) забезпечувати конфіденційність інформації, отриманої від учасників ринку електричної енергії, що використовується ним для виконання своїх функцій на ринку електричної енергії та становить комерційну таємницю, відповідно до вимог законодавства,  </w:t>
            </w:r>
            <w:r w:rsidRPr="008A34A4">
              <w:rPr>
                <w:rFonts w:ascii="Times New Roman" w:hAnsi="Times New Roman" w:cs="Times New Roman"/>
                <w:sz w:val="24"/>
                <w:szCs w:val="24"/>
              </w:rPr>
              <w:t>об’єднується з п. 24</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r w:rsidRPr="00D62C2E">
              <w:rPr>
                <w:rFonts w:ascii="Times New Roman" w:hAnsi="Times New Roman" w:cs="Times New Roman"/>
                <w:b/>
                <w:sz w:val="24"/>
                <w:szCs w:val="24"/>
              </w:rPr>
              <w:t>2</w:t>
            </w:r>
            <w:r>
              <w:rPr>
                <w:rFonts w:ascii="Times New Roman" w:hAnsi="Times New Roman" w:cs="Times New Roman"/>
                <w:b/>
                <w:sz w:val="24"/>
                <w:szCs w:val="24"/>
              </w:rPr>
              <w:t>3</w:t>
            </w:r>
            <w:r w:rsidRPr="00D62C2E">
              <w:rPr>
                <w:rFonts w:ascii="Times New Roman" w:hAnsi="Times New Roman" w:cs="Times New Roman"/>
                <w:b/>
                <w:sz w:val="24"/>
                <w:szCs w:val="24"/>
              </w:rPr>
              <w:t xml:space="preserve">) </w:t>
            </w:r>
            <w:bookmarkStart w:id="1" w:name="_Hlk95926184"/>
            <w:r w:rsidRPr="00D62C2E">
              <w:rPr>
                <w:rFonts w:ascii="Times New Roman" w:hAnsi="Times New Roman" w:cs="Times New Roman"/>
                <w:b/>
                <w:sz w:val="24"/>
                <w:szCs w:val="24"/>
              </w:rPr>
              <w:t>забезпечувати конфіденційність  інформації щодо своєї діяльності, діяльності інших учасників на ринку, розкриття або оприлюднення якої може надавати комерційні переваги учасникам ринку або вплинути на зміну ціни або поведінки учасників ринку на будь-якому сегменті ринку електричної енергії;</w:t>
            </w:r>
            <w:bookmarkEnd w:id="1"/>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r>
              <w:rPr>
                <w:rFonts w:ascii="Times New Roman" w:hAnsi="Times New Roman" w:cs="Times New Roman"/>
                <w:b/>
                <w:sz w:val="24"/>
                <w:szCs w:val="24"/>
              </w:rPr>
              <w:t>31</w:t>
            </w:r>
            <w:r w:rsidRPr="00D62C2E">
              <w:rPr>
                <w:rFonts w:ascii="Times New Roman" w:hAnsi="Times New Roman" w:cs="Times New Roman"/>
                <w:b/>
                <w:sz w:val="24"/>
                <w:szCs w:val="24"/>
              </w:rPr>
              <w:t xml:space="preserve">) </w:t>
            </w:r>
            <w:bookmarkStart w:id="2" w:name="_Hlk95926245"/>
            <w:r w:rsidRPr="00D62C2E">
              <w:rPr>
                <w:rFonts w:ascii="Times New Roman" w:hAnsi="Times New Roman" w:cs="Times New Roman"/>
                <w:b/>
                <w:sz w:val="24"/>
                <w:szCs w:val="24"/>
              </w:rPr>
              <w:t xml:space="preserve">затвердити кодекс поведінки, </w:t>
            </w:r>
            <w:r w:rsidRPr="00D62C2E">
              <w:rPr>
                <w:rFonts w:ascii="Times New Roman" w:eastAsia="Times New Roman" w:hAnsi="Times New Roman" w:cs="Times New Roman"/>
                <w:b/>
                <w:sz w:val="24"/>
                <w:szCs w:val="24"/>
              </w:rPr>
              <w:t xml:space="preserve">політику і щорічну програму заходів з </w:t>
            </w:r>
            <w:r w:rsidRPr="008A34A4">
              <w:rPr>
                <w:rFonts w:ascii="Times New Roman" w:eastAsia="Times New Roman" w:hAnsi="Times New Roman" w:cs="Times New Roman"/>
                <w:b/>
                <w:sz w:val="24"/>
                <w:szCs w:val="24"/>
              </w:rPr>
              <w:t>комплаєнсу</w:t>
            </w:r>
            <w:r w:rsidRPr="008A34A4">
              <w:rPr>
                <w:rFonts w:ascii="Times New Roman" w:hAnsi="Times New Roman" w:cs="Times New Roman"/>
                <w:b/>
                <w:sz w:val="24"/>
                <w:szCs w:val="24"/>
              </w:rPr>
              <w:t xml:space="preserve"> (відповідності)</w:t>
            </w:r>
            <w:r>
              <w:rPr>
                <w:rFonts w:ascii="Times New Roman" w:hAnsi="Times New Roman" w:cs="Times New Roman"/>
                <w:sz w:val="24"/>
                <w:szCs w:val="24"/>
              </w:rPr>
              <w:t xml:space="preserve"> </w:t>
            </w:r>
            <w:r w:rsidRPr="00D62C2E">
              <w:rPr>
                <w:rFonts w:ascii="Times New Roman" w:hAnsi="Times New Roman" w:cs="Times New Roman"/>
                <w:b/>
                <w:sz w:val="24"/>
                <w:szCs w:val="24"/>
              </w:rPr>
              <w:t>та забезпечити його дотримання всіма своїми працівниками</w:t>
            </w:r>
            <w:bookmarkEnd w:id="2"/>
            <w:r w:rsidRPr="00D62C2E">
              <w:rPr>
                <w:rFonts w:ascii="Times New Roman" w:hAnsi="Times New Roman" w:cs="Times New Roman"/>
                <w:b/>
                <w:sz w:val="24"/>
                <w:szCs w:val="24"/>
              </w:rPr>
              <w:t>.</w:t>
            </w: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jc w:val="both"/>
              <w:rPr>
                <w:rFonts w:ascii="Times New Roman" w:hAnsi="Times New Roman" w:cs="Times New Roman"/>
                <w:b/>
                <w:sz w:val="24"/>
                <w:szCs w:val="24"/>
              </w:rPr>
            </w:pPr>
          </w:p>
          <w:p w:rsidR="002120E2" w:rsidRPr="00D62C2E" w:rsidRDefault="002120E2" w:rsidP="002120E2">
            <w:pPr>
              <w:pStyle w:val="a5"/>
              <w:spacing w:before="0" w:beforeAutospacing="0" w:after="0" w:afterAutospacing="0"/>
              <w:jc w:val="both"/>
              <w:rPr>
                <w:rFonts w:eastAsia="Times New Roman"/>
                <w:b/>
              </w:rPr>
            </w:pPr>
            <w:r w:rsidRPr="00D62C2E">
              <w:rPr>
                <w:rFonts w:eastAsia="Times New Roman"/>
                <w:b/>
              </w:rPr>
              <w:t>3</w:t>
            </w:r>
            <w:r>
              <w:rPr>
                <w:rFonts w:eastAsia="Times New Roman"/>
                <w:b/>
              </w:rPr>
              <w:t>5</w:t>
            </w:r>
            <w:r w:rsidRPr="00D62C2E">
              <w:rPr>
                <w:rFonts w:eastAsia="Times New Roman"/>
                <w:b/>
              </w:rPr>
              <w:t xml:space="preserve">) </w:t>
            </w:r>
            <w:bookmarkStart w:id="3" w:name="_Hlk95926367"/>
            <w:r w:rsidRPr="00D62C2E">
              <w:rPr>
                <w:rFonts w:eastAsia="Times New Roman"/>
                <w:b/>
              </w:rPr>
              <w:t>Впровадити в</w:t>
            </w:r>
            <w:r>
              <w:rPr>
                <w:rFonts w:eastAsia="Times New Roman"/>
                <w:b/>
              </w:rPr>
              <w:t xml:space="preserve"> свою діяльність </w:t>
            </w:r>
            <w:r w:rsidRPr="00D62C2E">
              <w:rPr>
                <w:rFonts w:eastAsia="Times New Roman"/>
                <w:b/>
              </w:rPr>
              <w:t xml:space="preserve"> та сертифікувати до 01 січня 2024 року системи управління якістю,  безпекою праці та протидії корупції відповідно до:</w:t>
            </w:r>
          </w:p>
          <w:p w:rsidR="002120E2" w:rsidRPr="00D62C2E" w:rsidRDefault="002120E2" w:rsidP="002120E2">
            <w:pPr>
              <w:pStyle w:val="a5"/>
              <w:spacing w:before="0" w:beforeAutospacing="0" w:after="0" w:afterAutospacing="0"/>
              <w:jc w:val="both"/>
              <w:rPr>
                <w:rFonts w:eastAsia="Times New Roman"/>
                <w:b/>
              </w:rPr>
            </w:pPr>
            <w:r w:rsidRPr="00D62C2E">
              <w:t>ДСТУ ISO 9001:2015 «Системи управління якістю. Вимоги»;</w:t>
            </w:r>
          </w:p>
          <w:p w:rsidR="002120E2" w:rsidRPr="00D62C2E" w:rsidRDefault="002120E2" w:rsidP="002120E2">
            <w:pPr>
              <w:pStyle w:val="a5"/>
              <w:spacing w:before="0" w:beforeAutospacing="0" w:after="0" w:afterAutospacing="0"/>
              <w:jc w:val="both"/>
            </w:pPr>
            <w:r w:rsidRPr="00D62C2E">
              <w:rPr>
                <w:shd w:val="clear" w:color="auto" w:fill="FEFEFE"/>
              </w:rPr>
              <w:t>ДСТУ ISO 9004:2018 Управління якістю. Якість організації. Настанови щодо досягнення сталого успіху»</w:t>
            </w:r>
            <w:r w:rsidRPr="00D62C2E">
              <w:t>;</w:t>
            </w:r>
          </w:p>
          <w:p w:rsidR="002120E2" w:rsidRPr="00D62C2E" w:rsidRDefault="002120E2" w:rsidP="002120E2">
            <w:pPr>
              <w:pStyle w:val="a5"/>
              <w:spacing w:before="0" w:beforeAutospacing="0" w:after="0" w:afterAutospacing="0"/>
              <w:jc w:val="both"/>
            </w:pPr>
            <w:r w:rsidRPr="00D62C2E">
              <w:rPr>
                <w:shd w:val="clear" w:color="auto" w:fill="FEFEFE"/>
              </w:rPr>
              <w:t>ДСТУ ISO 45001:2019 Системи управління охороною здоров’я та безпекою праці. Вимоги та настанови щодо застосування»</w:t>
            </w:r>
            <w:r w:rsidRPr="00D62C2E">
              <w:t>;</w:t>
            </w:r>
          </w:p>
          <w:p w:rsidR="002120E2" w:rsidRPr="00D62C2E" w:rsidRDefault="002120E2" w:rsidP="002120E2">
            <w:pPr>
              <w:pStyle w:val="a5"/>
              <w:spacing w:before="0" w:beforeAutospacing="0" w:after="0" w:afterAutospacing="0"/>
              <w:jc w:val="both"/>
            </w:pPr>
            <w:r w:rsidRPr="00D62C2E">
              <w:t>ДСТУ ISO 14001:2015 «Системи екологічного управління. Вимоги та настанови щодо застосування»;</w:t>
            </w:r>
          </w:p>
          <w:p w:rsidR="002120E2" w:rsidRPr="00D62C2E" w:rsidRDefault="002120E2" w:rsidP="002120E2">
            <w:pPr>
              <w:pStyle w:val="a5"/>
              <w:spacing w:before="0" w:beforeAutospacing="0" w:after="0" w:afterAutospacing="0"/>
              <w:jc w:val="both"/>
            </w:pPr>
            <w:r w:rsidRPr="00D62C2E">
              <w:rPr>
                <w:shd w:val="clear" w:color="auto" w:fill="FEFEFE"/>
              </w:rPr>
              <w:t>ДСТУ ISO 37001:2018 Системи управління щодо протидії корупції. Вимоги та настанови щодо застосування</w:t>
            </w:r>
            <w:r w:rsidRPr="00D62C2E">
              <w:t xml:space="preserve">»; </w:t>
            </w:r>
          </w:p>
          <w:p w:rsidR="002120E2" w:rsidRPr="00D62C2E" w:rsidRDefault="002120E2" w:rsidP="002120E2">
            <w:pPr>
              <w:pStyle w:val="a5"/>
              <w:spacing w:before="0" w:beforeAutospacing="0" w:after="0" w:afterAutospacing="0"/>
              <w:jc w:val="both"/>
              <w:rPr>
                <w:rFonts w:eastAsia="Times New Roman"/>
                <w:b/>
              </w:rPr>
            </w:pPr>
            <w:r w:rsidRPr="00D62C2E">
              <w:rPr>
                <w:shd w:val="clear" w:color="auto" w:fill="FEFEFE"/>
              </w:rPr>
              <w:t>ДСТУ ISO/IEC 27001:2015 Інформаційні технології. Методи захисту системи управління інформаційною безпекою. Вимоги</w:t>
            </w:r>
            <w:r w:rsidRPr="00D62C2E">
              <w:t>»</w:t>
            </w:r>
          </w:p>
          <w:bookmarkEnd w:id="3"/>
          <w:p w:rsidR="002120E2" w:rsidRPr="00D62C2E" w:rsidRDefault="002120E2" w:rsidP="002120E2">
            <w:pPr>
              <w:jc w:val="both"/>
              <w:rPr>
                <w:rFonts w:ascii="Times New Roman" w:hAnsi="Times New Roman" w:cs="Times New Roman"/>
                <w:b/>
                <w:sz w:val="24"/>
                <w:szCs w:val="24"/>
              </w:rPr>
            </w:pPr>
          </w:p>
          <w:p w:rsidR="002120E2" w:rsidRPr="009F7F68" w:rsidRDefault="002120E2" w:rsidP="002120E2">
            <w:pPr>
              <w:jc w:val="both"/>
              <w:rPr>
                <w:rFonts w:ascii="Times New Roman" w:hAnsi="Times New Roman" w:cs="Times New Roman"/>
                <w:b/>
                <w:sz w:val="24"/>
                <w:szCs w:val="24"/>
              </w:rPr>
            </w:pPr>
            <w:r w:rsidRPr="009F7F68">
              <w:rPr>
                <w:rFonts w:ascii="Times New Roman" w:hAnsi="Times New Roman" w:cs="Times New Roman"/>
                <w:b/>
                <w:sz w:val="24"/>
                <w:szCs w:val="24"/>
              </w:rPr>
              <w:lastRenderedPageBreak/>
              <w:t xml:space="preserve">35) </w:t>
            </w:r>
            <w:bookmarkStart w:id="4" w:name="_Hlk95926477"/>
            <w:r w:rsidRPr="009F7F68">
              <w:rPr>
                <w:rFonts w:ascii="Times New Roman" w:hAnsi="Times New Roman" w:cs="Times New Roman"/>
                <w:b/>
                <w:sz w:val="24"/>
                <w:szCs w:val="24"/>
              </w:rPr>
              <w:t xml:space="preserve">річна фінансова звітність ліцензіата підлягає обов'язковій перевірці незалежним аудитором та має бути розміщена на </w:t>
            </w:r>
            <w:proofErr w:type="spellStart"/>
            <w:r w:rsidRPr="009F7F68">
              <w:rPr>
                <w:rFonts w:ascii="Times New Roman" w:hAnsi="Times New Roman" w:cs="Times New Roman"/>
                <w:b/>
                <w:sz w:val="24"/>
                <w:szCs w:val="24"/>
              </w:rPr>
              <w:t>вебсайті</w:t>
            </w:r>
            <w:proofErr w:type="spellEnd"/>
            <w:r w:rsidRPr="009F7F68">
              <w:rPr>
                <w:rFonts w:ascii="Times New Roman" w:hAnsi="Times New Roman" w:cs="Times New Roman"/>
                <w:b/>
                <w:sz w:val="24"/>
                <w:szCs w:val="24"/>
              </w:rPr>
              <w:t xml:space="preserve"> ліцензіата разом з аудиторським висновком у порядку та строки, встановлені Законом України «Про бухгалтерський облік та фінансову звітність в Україні», разом квартальною та річною фінансовою звітністю із аудиторським висновком за останні три роки, включаючи (за наявності) видатки на виконання некомерційних цілей державної політики та джерел їх фінансування</w:t>
            </w:r>
            <w:bookmarkEnd w:id="4"/>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p w:rsidR="002120E2" w:rsidRPr="00B75C96" w:rsidRDefault="002120E2" w:rsidP="002120E2">
            <w:pPr>
              <w:jc w:val="both"/>
              <w:rPr>
                <w:rFonts w:ascii="Times New Roman" w:hAnsi="Times New Roman" w:cs="Times New Roman"/>
                <w:b/>
                <w:sz w:val="24"/>
                <w:szCs w:val="24"/>
              </w:rPr>
            </w:pPr>
          </w:p>
        </w:tc>
      </w:tr>
      <w:tr w:rsidR="002120E2" w:rsidRPr="00B75C96" w:rsidTr="009324B8">
        <w:tc>
          <w:tcPr>
            <w:tcW w:w="7564" w:type="dxa"/>
          </w:tcPr>
          <w:p w:rsidR="002120E2" w:rsidRPr="00B75C96" w:rsidRDefault="002120E2" w:rsidP="002120E2">
            <w:pPr>
              <w:jc w:val="both"/>
              <w:rPr>
                <w:rFonts w:ascii="Times New Roman" w:hAnsi="Times New Roman" w:cs="Times New Roman"/>
                <w:sz w:val="24"/>
                <w:szCs w:val="24"/>
              </w:rPr>
            </w:pPr>
          </w:p>
        </w:tc>
        <w:tc>
          <w:tcPr>
            <w:tcW w:w="7564" w:type="dxa"/>
          </w:tcPr>
          <w:p w:rsidR="002120E2" w:rsidRPr="00B75C96" w:rsidRDefault="002120E2" w:rsidP="002120E2">
            <w:pPr>
              <w:jc w:val="both"/>
              <w:rPr>
                <w:rFonts w:ascii="Times New Roman" w:hAnsi="Times New Roman" w:cs="Times New Roman"/>
                <w:sz w:val="24"/>
                <w:szCs w:val="24"/>
              </w:rPr>
            </w:pPr>
          </w:p>
        </w:tc>
      </w:tr>
    </w:tbl>
    <w:p w:rsidR="009324B8" w:rsidRPr="00B75C96" w:rsidRDefault="009324B8">
      <w:pPr>
        <w:rPr>
          <w:rFonts w:ascii="Times New Roman" w:hAnsi="Times New Roman" w:cs="Times New Roman"/>
          <w:sz w:val="24"/>
          <w:szCs w:val="24"/>
        </w:rPr>
      </w:pPr>
    </w:p>
    <w:sectPr w:rsidR="009324B8" w:rsidRPr="00B75C96" w:rsidSect="001843CE">
      <w:pgSz w:w="16838" w:h="11906" w:orient="landscape"/>
      <w:pgMar w:top="709"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4B8"/>
    <w:rsid w:val="000132D2"/>
    <w:rsid w:val="0007318A"/>
    <w:rsid w:val="001010A2"/>
    <w:rsid w:val="0018410B"/>
    <w:rsid w:val="001843CE"/>
    <w:rsid w:val="002120E2"/>
    <w:rsid w:val="00357D35"/>
    <w:rsid w:val="00475D50"/>
    <w:rsid w:val="00481803"/>
    <w:rsid w:val="00554410"/>
    <w:rsid w:val="00572DD8"/>
    <w:rsid w:val="00651192"/>
    <w:rsid w:val="006558E8"/>
    <w:rsid w:val="006A3D5E"/>
    <w:rsid w:val="008A34A4"/>
    <w:rsid w:val="009324B8"/>
    <w:rsid w:val="00943F68"/>
    <w:rsid w:val="00995A21"/>
    <w:rsid w:val="009A1601"/>
    <w:rsid w:val="009E4A15"/>
    <w:rsid w:val="009F7F68"/>
    <w:rsid w:val="00A33052"/>
    <w:rsid w:val="00AC0D8C"/>
    <w:rsid w:val="00B75C96"/>
    <w:rsid w:val="00BD16AD"/>
    <w:rsid w:val="00C00A78"/>
    <w:rsid w:val="00C45D17"/>
    <w:rsid w:val="00CC7D79"/>
    <w:rsid w:val="00D129B8"/>
    <w:rsid w:val="00D40081"/>
    <w:rsid w:val="00D62C2E"/>
    <w:rsid w:val="00D719B1"/>
    <w:rsid w:val="00DB2426"/>
    <w:rsid w:val="00E94DA9"/>
    <w:rsid w:val="00EC6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4B0EF"/>
  <w15:chartTrackingRefBased/>
  <w15:docId w15:val="{1A695586-A806-4DBD-A27C-3943F8EB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2120E2"/>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2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16AD"/>
    <w:pPr>
      <w:ind w:left="720"/>
      <w:contextualSpacing/>
    </w:pPr>
  </w:style>
  <w:style w:type="paragraph" w:styleId="a5">
    <w:name w:val="Normal (Web)"/>
    <w:basedOn w:val="a"/>
    <w:uiPriority w:val="99"/>
    <w:unhideWhenUsed/>
    <w:rsid w:val="00B75C96"/>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2120E2"/>
    <w:rPr>
      <w:rFonts w:ascii="Times New Roman" w:eastAsiaTheme="minorEastAsia" w:hAnsi="Times New Roman" w:cs="Times New Roman"/>
      <w:b/>
      <w:bCs/>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BED51-F86C-4D31-9A30-74CBD72B6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3306</Words>
  <Characters>18848</Characters>
  <Application>Microsoft Office Word</Application>
  <DocSecurity>0</DocSecurity>
  <Lines>157</Lines>
  <Paragraphs>44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Ірина Соловей</cp:lastModifiedBy>
  <cp:revision>6</cp:revision>
  <dcterms:created xsi:type="dcterms:W3CDTF">2022-02-15T11:57:00Z</dcterms:created>
  <dcterms:modified xsi:type="dcterms:W3CDTF">2022-02-23T14:33:00Z</dcterms:modified>
</cp:coreProperties>
</file>