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BC4B7E" w14:textId="77777777" w:rsidR="00067647" w:rsidRDefault="00067647" w:rsidP="00725044">
      <w:pPr>
        <w:pStyle w:val="a5"/>
        <w:tabs>
          <w:tab w:val="left" w:pos="9072"/>
        </w:tabs>
        <w:spacing w:before="0" w:beforeAutospacing="0" w:after="0" w:afterAutospacing="0"/>
        <w:ind w:left="5954"/>
        <w:rPr>
          <w:sz w:val="28"/>
          <w:szCs w:val="28"/>
        </w:rPr>
      </w:pPr>
    </w:p>
    <w:p w14:paraId="63A90420" w14:textId="77777777" w:rsidR="00725044" w:rsidRPr="009138A3" w:rsidRDefault="00725044" w:rsidP="00725044">
      <w:pPr>
        <w:pStyle w:val="a5"/>
        <w:tabs>
          <w:tab w:val="left" w:pos="9072"/>
        </w:tabs>
        <w:spacing w:before="0" w:beforeAutospacing="0" w:after="0" w:afterAutospacing="0"/>
        <w:ind w:left="5954"/>
        <w:rPr>
          <w:sz w:val="28"/>
          <w:szCs w:val="28"/>
        </w:rPr>
      </w:pPr>
      <w:r w:rsidRPr="009138A3">
        <w:rPr>
          <w:sz w:val="28"/>
          <w:szCs w:val="28"/>
        </w:rPr>
        <w:t>ЗАТВЕРДЖЕНО</w:t>
      </w:r>
      <w:r w:rsidRPr="009138A3">
        <w:rPr>
          <w:sz w:val="28"/>
          <w:szCs w:val="28"/>
        </w:rPr>
        <w:br/>
        <w:t>Постанова Національної комісії, що здійснює державне регулювання у сферах</w:t>
      </w:r>
      <w:r w:rsidRPr="009138A3">
        <w:rPr>
          <w:sz w:val="28"/>
          <w:szCs w:val="28"/>
          <w:lang w:val="ru-RU"/>
        </w:rPr>
        <w:t xml:space="preserve"> </w:t>
      </w:r>
      <w:r w:rsidRPr="009138A3">
        <w:rPr>
          <w:sz w:val="28"/>
          <w:szCs w:val="28"/>
        </w:rPr>
        <w:t>енергетики та комунальних</w:t>
      </w:r>
      <w:r w:rsidRPr="009138A3">
        <w:rPr>
          <w:sz w:val="28"/>
          <w:szCs w:val="28"/>
          <w:lang w:val="ru-RU"/>
        </w:rPr>
        <w:t xml:space="preserve"> </w:t>
      </w:r>
      <w:r w:rsidRPr="009138A3">
        <w:rPr>
          <w:sz w:val="28"/>
          <w:szCs w:val="28"/>
        </w:rPr>
        <w:t xml:space="preserve">послуг </w:t>
      </w:r>
    </w:p>
    <w:p w14:paraId="66103A48" w14:textId="77777777" w:rsidR="00725044" w:rsidRPr="009138A3" w:rsidRDefault="00725044" w:rsidP="00725044">
      <w:pPr>
        <w:pStyle w:val="a5"/>
        <w:tabs>
          <w:tab w:val="left" w:pos="9072"/>
        </w:tabs>
        <w:spacing w:before="0" w:beforeAutospacing="0" w:after="0" w:afterAutospacing="0"/>
        <w:ind w:left="5954"/>
        <w:rPr>
          <w:sz w:val="28"/>
          <w:szCs w:val="28"/>
        </w:rPr>
      </w:pPr>
      <w:r w:rsidRPr="000C5CED">
        <w:rPr>
          <w:sz w:val="28"/>
          <w:szCs w:val="28"/>
        </w:rPr>
        <w:t>29.03.2019 № 450</w:t>
      </w:r>
      <w:r w:rsidRPr="00C126D9">
        <w:rPr>
          <w:sz w:val="28"/>
          <w:szCs w:val="28"/>
        </w:rPr>
        <w:t xml:space="preserve"> </w:t>
      </w:r>
    </w:p>
    <w:p w14:paraId="1798C343" w14:textId="77777777" w:rsidR="00725044" w:rsidRPr="009138A3" w:rsidRDefault="00725044" w:rsidP="00725044">
      <w:pPr>
        <w:pStyle w:val="a5"/>
        <w:spacing w:before="0" w:beforeAutospacing="0" w:after="0" w:afterAutospacing="0"/>
        <w:ind w:left="5954"/>
        <w:rPr>
          <w:b/>
          <w:sz w:val="28"/>
          <w:szCs w:val="28"/>
        </w:rPr>
      </w:pPr>
    </w:p>
    <w:p w14:paraId="5A87926B" w14:textId="77777777" w:rsidR="00725044" w:rsidRPr="009138A3" w:rsidRDefault="00725044" w:rsidP="00725044">
      <w:pPr>
        <w:pStyle w:val="a5"/>
        <w:spacing w:before="0" w:beforeAutospacing="0" w:after="0" w:afterAutospacing="0"/>
        <w:ind w:left="5954"/>
        <w:rPr>
          <w:b/>
          <w:sz w:val="28"/>
          <w:szCs w:val="28"/>
        </w:rPr>
      </w:pPr>
    </w:p>
    <w:p w14:paraId="1E08EBBD" w14:textId="77777777" w:rsidR="00725044" w:rsidRPr="009138A3" w:rsidRDefault="00725044" w:rsidP="00725044">
      <w:pPr>
        <w:spacing w:after="0" w:line="276" w:lineRule="auto"/>
        <w:ind w:firstLine="567"/>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t>ІНСТРУКЦІЯ</w:t>
      </w:r>
      <w:r>
        <w:rPr>
          <w:rFonts w:ascii="Times New Roman" w:hAnsi="Times New Roman" w:cs="Times New Roman"/>
          <w:b/>
          <w:sz w:val="28"/>
          <w:szCs w:val="28"/>
          <w:lang w:val="uk-UA"/>
        </w:rPr>
        <w:t xml:space="preserve"> </w:t>
      </w:r>
    </w:p>
    <w:p w14:paraId="57487578" w14:textId="77777777" w:rsidR="00725044" w:rsidRPr="009138A3" w:rsidRDefault="00725044" w:rsidP="00725044">
      <w:pPr>
        <w:spacing w:after="0" w:line="276" w:lineRule="auto"/>
        <w:ind w:firstLine="567"/>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t>щодо заповнення форми звітності № 5-НКРЕКП-моніторинг-</w:t>
      </w:r>
      <w:r w:rsidRPr="009138A3">
        <w:rPr>
          <w:lang w:val="uk-UA"/>
        </w:rPr>
        <w:t xml:space="preserve"> </w:t>
      </w:r>
      <w:r w:rsidRPr="009138A3">
        <w:rPr>
          <w:rFonts w:ascii="Times New Roman" w:hAnsi="Times New Roman" w:cs="Times New Roman"/>
          <w:b/>
          <w:sz w:val="28"/>
          <w:szCs w:val="28"/>
          <w:lang w:val="uk-UA"/>
        </w:rPr>
        <w:t>постачання (річна) «Звіт про надання універсальної послуги»</w:t>
      </w:r>
    </w:p>
    <w:p w14:paraId="11CF6532" w14:textId="77777777" w:rsidR="00725044" w:rsidRPr="009138A3" w:rsidRDefault="00725044" w:rsidP="00725044">
      <w:pPr>
        <w:spacing w:after="0" w:line="276" w:lineRule="auto"/>
        <w:ind w:firstLine="567"/>
        <w:jc w:val="center"/>
        <w:rPr>
          <w:rFonts w:ascii="Times New Roman" w:hAnsi="Times New Roman" w:cs="Times New Roman"/>
          <w:b/>
          <w:sz w:val="28"/>
          <w:szCs w:val="28"/>
          <w:lang w:val="uk-UA"/>
        </w:rPr>
      </w:pPr>
    </w:p>
    <w:p w14:paraId="5C69F884" w14:textId="77777777" w:rsidR="00725044" w:rsidRPr="009138A3" w:rsidRDefault="00725044" w:rsidP="00725044">
      <w:pPr>
        <w:pStyle w:val="a3"/>
        <w:numPr>
          <w:ilvl w:val="0"/>
          <w:numId w:val="5"/>
        </w:numPr>
        <w:spacing w:after="0" w:line="276" w:lineRule="auto"/>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t>Загальні положення</w:t>
      </w:r>
    </w:p>
    <w:p w14:paraId="686FD97C" w14:textId="77777777" w:rsidR="00725044" w:rsidRPr="009138A3" w:rsidRDefault="00725044" w:rsidP="00725044">
      <w:pPr>
        <w:pStyle w:val="a3"/>
        <w:spacing w:after="0" w:line="276" w:lineRule="auto"/>
        <w:ind w:left="1287"/>
        <w:rPr>
          <w:rFonts w:ascii="Times New Roman" w:hAnsi="Times New Roman" w:cs="Times New Roman"/>
          <w:b/>
          <w:sz w:val="28"/>
          <w:szCs w:val="28"/>
          <w:lang w:val="uk-UA"/>
        </w:rPr>
      </w:pPr>
    </w:p>
    <w:p w14:paraId="25F75BB7" w14:textId="77777777" w:rsidR="00725044" w:rsidRPr="009138A3" w:rsidRDefault="00725044" w:rsidP="00725044">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1.1. Ця Інструкція поширюється на суб'єктів господарювання, які отримали ліцензію на провадження господарської діяльності з постачання електричної енергії споживачу (далі – </w:t>
      </w:r>
      <w:proofErr w:type="spellStart"/>
      <w:r w:rsidRPr="009138A3">
        <w:rPr>
          <w:rFonts w:ascii="Times New Roman" w:hAnsi="Times New Roman" w:cs="Times New Roman"/>
          <w:sz w:val="28"/>
          <w:szCs w:val="28"/>
          <w:lang w:val="uk-UA"/>
        </w:rPr>
        <w:t>електропостачальники</w:t>
      </w:r>
      <w:proofErr w:type="spellEnd"/>
      <w:r w:rsidRPr="009138A3">
        <w:rPr>
          <w:rFonts w:ascii="Times New Roman" w:hAnsi="Times New Roman" w:cs="Times New Roman"/>
          <w:sz w:val="28"/>
          <w:szCs w:val="28"/>
          <w:lang w:val="uk-UA"/>
        </w:rPr>
        <w:t>) та виконують функції постачальника універсальних послуг.</w:t>
      </w:r>
    </w:p>
    <w:p w14:paraId="1D864403" w14:textId="77777777" w:rsidR="00725044" w:rsidRPr="009138A3" w:rsidRDefault="00725044" w:rsidP="00725044">
      <w:pPr>
        <w:spacing w:after="0" w:line="276" w:lineRule="auto"/>
        <w:ind w:firstLine="567"/>
        <w:jc w:val="both"/>
        <w:rPr>
          <w:rFonts w:ascii="Times New Roman" w:hAnsi="Times New Roman" w:cs="Times New Roman"/>
          <w:sz w:val="28"/>
          <w:szCs w:val="28"/>
          <w:lang w:val="uk-UA"/>
        </w:rPr>
      </w:pPr>
    </w:p>
    <w:p w14:paraId="42EBFA56" w14:textId="3240AC25" w:rsidR="00725044" w:rsidRPr="009138A3" w:rsidRDefault="00725044" w:rsidP="00725044">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1.2. Ця Інструкція визначає порядок заповнення форми звітності               </w:t>
      </w:r>
      <w:r w:rsidR="00375C10">
        <w:rPr>
          <w:rFonts w:ascii="Times New Roman" w:hAnsi="Times New Roman" w:cs="Times New Roman"/>
          <w:sz w:val="28"/>
          <w:szCs w:val="28"/>
          <w:lang w:val="uk-UA"/>
        </w:rPr>
        <w:br/>
      </w:r>
      <w:bookmarkStart w:id="0" w:name="_Hlk49441834"/>
      <w:r w:rsidRPr="009138A3">
        <w:rPr>
          <w:rFonts w:ascii="Times New Roman" w:hAnsi="Times New Roman" w:cs="Times New Roman"/>
          <w:sz w:val="28"/>
          <w:szCs w:val="28"/>
          <w:lang w:val="uk-UA"/>
        </w:rPr>
        <w:t>№ 5-НКРЕКП-моніторинг-постачання (річна) «Звіт про надання універсальної послуги»</w:t>
      </w:r>
      <w:bookmarkEnd w:id="0"/>
      <w:r w:rsidRPr="009138A3">
        <w:rPr>
          <w:rFonts w:ascii="Times New Roman" w:hAnsi="Times New Roman" w:cs="Times New Roman"/>
          <w:sz w:val="28"/>
          <w:szCs w:val="28"/>
          <w:lang w:val="uk-UA"/>
        </w:rPr>
        <w:t xml:space="preserve"> (далі – форма звітності № 5), а також термін її подання до НКРЕКП.</w:t>
      </w:r>
    </w:p>
    <w:p w14:paraId="71EF8783" w14:textId="77777777" w:rsidR="00725044" w:rsidRPr="009138A3" w:rsidRDefault="00725044" w:rsidP="00725044">
      <w:pPr>
        <w:spacing w:after="0" w:line="276" w:lineRule="auto"/>
        <w:ind w:firstLine="567"/>
        <w:jc w:val="both"/>
        <w:rPr>
          <w:rFonts w:ascii="Times New Roman" w:hAnsi="Times New Roman" w:cs="Times New Roman"/>
          <w:sz w:val="28"/>
          <w:szCs w:val="28"/>
          <w:lang w:val="uk-UA"/>
        </w:rPr>
      </w:pPr>
    </w:p>
    <w:p w14:paraId="0D2E975E" w14:textId="77777777" w:rsidR="00725044" w:rsidRPr="009138A3" w:rsidRDefault="00725044" w:rsidP="00725044">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rPr>
        <w:t>1.</w:t>
      </w:r>
      <w:r w:rsidRPr="009138A3">
        <w:rPr>
          <w:rFonts w:ascii="Times New Roman" w:hAnsi="Times New Roman" w:cs="Times New Roman"/>
          <w:sz w:val="28"/>
          <w:szCs w:val="28"/>
          <w:lang w:val="uk-UA"/>
        </w:rPr>
        <w:t>3. Цю Інструкцію розроблено відповідно до:</w:t>
      </w:r>
    </w:p>
    <w:p w14:paraId="4F719E7B" w14:textId="77777777" w:rsidR="00725044" w:rsidRPr="009138A3" w:rsidRDefault="00725044" w:rsidP="00725044">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законів України «Про ринок електричної енергії» (далі – Закон), «Про </w:t>
      </w:r>
      <w:hyperlink r:id="rId7" w:tgtFrame="_blank" w:history="1">
        <w:r w:rsidRPr="009138A3">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C126D9">
        <w:rPr>
          <w:rFonts w:ascii="Times New Roman" w:hAnsi="Times New Roman" w:cs="Times New Roman"/>
          <w:sz w:val="28"/>
          <w:szCs w:val="28"/>
          <w:lang w:val="uk-UA"/>
        </w:rPr>
        <w:t>, </w:t>
      </w:r>
      <w:hyperlink r:id="rId8" w:tgtFrame="_blank" w:history="1">
        <w:r w:rsidRPr="009138A3">
          <w:rPr>
            <w:rFonts w:ascii="Times New Roman" w:hAnsi="Times New Roman" w:cs="Times New Roman"/>
            <w:sz w:val="28"/>
            <w:szCs w:val="28"/>
            <w:lang w:val="uk-UA"/>
          </w:rPr>
          <w:t>«Про інформацію»</w:t>
        </w:r>
      </w:hyperlink>
      <w:r w:rsidRPr="00C126D9">
        <w:rPr>
          <w:rFonts w:ascii="Times New Roman" w:hAnsi="Times New Roman" w:cs="Times New Roman"/>
          <w:sz w:val="28"/>
          <w:szCs w:val="28"/>
          <w:lang w:val="uk-UA"/>
        </w:rPr>
        <w:t>, </w:t>
      </w:r>
      <w:hyperlink r:id="rId9" w:tgtFrame="_blank" w:history="1">
        <w:r w:rsidRPr="009138A3">
          <w:rPr>
            <w:rFonts w:ascii="Times New Roman" w:hAnsi="Times New Roman" w:cs="Times New Roman"/>
            <w:sz w:val="28"/>
            <w:szCs w:val="28"/>
            <w:lang w:val="uk-UA"/>
          </w:rPr>
          <w:t>«Про доступ до публічної інформації»</w:t>
        </w:r>
      </w:hyperlink>
      <w:r w:rsidRPr="00C126D9">
        <w:rPr>
          <w:rFonts w:ascii="Times New Roman" w:hAnsi="Times New Roman" w:cs="Times New Roman"/>
          <w:sz w:val="28"/>
          <w:szCs w:val="28"/>
          <w:lang w:val="uk-UA"/>
        </w:rPr>
        <w:t>;</w:t>
      </w:r>
    </w:p>
    <w:p w14:paraId="54D9AA67" w14:textId="77777777" w:rsidR="00725044" w:rsidRPr="009138A3" w:rsidRDefault="00725044" w:rsidP="00725044">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Правил ринку, затверджених постановою НКРЕКП від 14 березня 2018 року № 307, Правил ринку «на добу наперед» та внутрішньодобового ринку, затверджених постановою НКРЕКП від 14 березня 2018 року № 308, Кодексу систем розподілу, затвердженого постановою НКРЕКП від 14 березня 2018 року № 310,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постачання електричної енергії споживачу, затверджених постановою НКРЕКП від 27 грудня 2017 року № 1469;</w:t>
      </w:r>
    </w:p>
    <w:p w14:paraId="3D6B0377" w14:textId="77777777" w:rsidR="00725044" w:rsidRPr="009138A3" w:rsidRDefault="00725044" w:rsidP="00725044">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інших нормативно-правових актів, якими регулюється ліцензована діяльність суб’єктів господарської діяльності з постачання електричної енергії споживачу.</w:t>
      </w:r>
    </w:p>
    <w:p w14:paraId="4D70C219" w14:textId="77777777" w:rsidR="00725044" w:rsidRPr="009138A3" w:rsidRDefault="00725044" w:rsidP="00725044">
      <w:pPr>
        <w:spacing w:after="0" w:line="276" w:lineRule="auto"/>
        <w:ind w:firstLine="567"/>
        <w:jc w:val="both"/>
        <w:rPr>
          <w:rFonts w:ascii="Times New Roman" w:hAnsi="Times New Roman" w:cs="Times New Roman"/>
          <w:sz w:val="28"/>
          <w:szCs w:val="28"/>
          <w:lang w:val="uk-UA"/>
        </w:rPr>
      </w:pPr>
    </w:p>
    <w:p w14:paraId="79D31910" w14:textId="77777777" w:rsidR="00725044" w:rsidRPr="009138A3" w:rsidRDefault="00725044" w:rsidP="00725044">
      <w:pPr>
        <w:pStyle w:val="a3"/>
        <w:numPr>
          <w:ilvl w:val="0"/>
          <w:numId w:val="5"/>
        </w:numPr>
        <w:spacing w:after="0" w:line="276" w:lineRule="auto"/>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lastRenderedPageBreak/>
        <w:t>Порядок та термін надання інформації</w:t>
      </w:r>
    </w:p>
    <w:p w14:paraId="32756ECD" w14:textId="77777777" w:rsidR="00725044" w:rsidRPr="009138A3" w:rsidRDefault="00725044" w:rsidP="00725044">
      <w:pPr>
        <w:spacing w:after="0" w:line="276" w:lineRule="auto"/>
        <w:jc w:val="center"/>
        <w:rPr>
          <w:rFonts w:ascii="Times New Roman" w:hAnsi="Times New Roman" w:cs="Times New Roman"/>
          <w:b/>
          <w:sz w:val="28"/>
          <w:szCs w:val="28"/>
          <w:lang w:val="uk-UA"/>
        </w:rPr>
      </w:pPr>
    </w:p>
    <w:p w14:paraId="5E288F34" w14:textId="3828954E" w:rsidR="00725044" w:rsidRPr="009138A3" w:rsidRDefault="00725044" w:rsidP="00725044">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rPr>
        <w:t>2.</w:t>
      </w:r>
      <w:r w:rsidRPr="009138A3">
        <w:rPr>
          <w:rFonts w:ascii="Times New Roman" w:hAnsi="Times New Roman" w:cs="Times New Roman"/>
          <w:sz w:val="28"/>
          <w:szCs w:val="28"/>
          <w:lang w:val="uk-UA"/>
        </w:rPr>
        <w:t xml:space="preserve">1. Форму звітності № 5 </w:t>
      </w:r>
      <w:proofErr w:type="spellStart"/>
      <w:r w:rsidRPr="009138A3">
        <w:rPr>
          <w:rFonts w:ascii="Times New Roman" w:hAnsi="Times New Roman" w:cs="Times New Roman"/>
          <w:sz w:val="28"/>
          <w:szCs w:val="28"/>
          <w:lang w:val="uk-UA"/>
        </w:rPr>
        <w:t>електропостачальники</w:t>
      </w:r>
      <w:proofErr w:type="spellEnd"/>
      <w:r w:rsidRPr="009138A3">
        <w:rPr>
          <w:rFonts w:ascii="Times New Roman" w:hAnsi="Times New Roman" w:cs="Times New Roman"/>
          <w:sz w:val="28"/>
          <w:szCs w:val="28"/>
          <w:lang w:val="uk-UA"/>
        </w:rPr>
        <w:t xml:space="preserve"> подають щороку до 25 лютого</w:t>
      </w:r>
      <w:r>
        <w:rPr>
          <w:rFonts w:ascii="Times New Roman" w:hAnsi="Times New Roman" w:cs="Times New Roman"/>
          <w:sz w:val="28"/>
          <w:szCs w:val="28"/>
          <w:lang w:val="uk-UA"/>
        </w:rPr>
        <w:t xml:space="preserve"> року</w:t>
      </w:r>
      <w:r w:rsidRPr="009138A3">
        <w:rPr>
          <w:rFonts w:ascii="Times New Roman" w:hAnsi="Times New Roman" w:cs="Times New Roman"/>
          <w:sz w:val="28"/>
          <w:szCs w:val="28"/>
          <w:lang w:val="uk-UA"/>
        </w:rPr>
        <w:t xml:space="preserve">, наступного за звітним періодом. </w:t>
      </w:r>
      <w:r w:rsidR="00DC31A7" w:rsidRPr="00404BF9">
        <w:rPr>
          <w:rFonts w:ascii="Times New Roman" w:hAnsi="Times New Roman" w:cs="Times New Roman"/>
          <w:sz w:val="28"/>
          <w:szCs w:val="28"/>
          <w:lang w:val="uk-UA"/>
        </w:rPr>
        <w:t xml:space="preserve">НКРЕКП протягом 10 робочих днів з дня надходження </w:t>
      </w:r>
      <w:r w:rsidR="009F4117">
        <w:rPr>
          <w:rFonts w:ascii="Times New Roman" w:hAnsi="Times New Roman" w:cs="Times New Roman"/>
          <w:sz w:val="28"/>
          <w:szCs w:val="28"/>
          <w:lang w:val="uk-UA"/>
        </w:rPr>
        <w:t>до</w:t>
      </w:r>
      <w:r w:rsidR="00DC31A7" w:rsidRPr="00404BF9">
        <w:rPr>
          <w:rFonts w:ascii="Times New Roman" w:hAnsi="Times New Roman" w:cs="Times New Roman"/>
          <w:sz w:val="28"/>
          <w:szCs w:val="28"/>
          <w:lang w:val="uk-UA"/>
        </w:rPr>
        <w:t xml:space="preserve"> НКРЕКП форми звітності № </w:t>
      </w:r>
      <w:r w:rsidR="00DC31A7">
        <w:rPr>
          <w:rFonts w:ascii="Times New Roman" w:hAnsi="Times New Roman" w:cs="Times New Roman"/>
          <w:sz w:val="28"/>
          <w:szCs w:val="28"/>
          <w:lang w:val="uk-UA"/>
        </w:rPr>
        <w:t>5</w:t>
      </w:r>
      <w:r w:rsidR="00DC31A7" w:rsidRPr="00404BF9">
        <w:rPr>
          <w:rFonts w:ascii="Times New Roman" w:hAnsi="Times New Roman" w:cs="Times New Roman"/>
          <w:sz w:val="28"/>
          <w:szCs w:val="28"/>
          <w:lang w:val="uk-UA"/>
        </w:rPr>
        <w:t xml:space="preserve"> надсилає </w:t>
      </w:r>
      <w:proofErr w:type="spellStart"/>
      <w:r w:rsidR="00DC31A7" w:rsidRPr="00404BF9">
        <w:rPr>
          <w:rFonts w:ascii="Times New Roman" w:hAnsi="Times New Roman" w:cs="Times New Roman"/>
          <w:sz w:val="28"/>
          <w:szCs w:val="28"/>
          <w:lang w:val="uk-UA"/>
        </w:rPr>
        <w:t>електропостачальнику</w:t>
      </w:r>
      <w:proofErr w:type="spellEnd"/>
      <w:r w:rsidR="00DC31A7" w:rsidRPr="00404BF9">
        <w:rPr>
          <w:rFonts w:ascii="Times New Roman" w:hAnsi="Times New Roman" w:cs="Times New Roman"/>
          <w:sz w:val="28"/>
          <w:szCs w:val="28"/>
          <w:lang w:val="uk-UA"/>
        </w:rPr>
        <w:t xml:space="preserve"> повідомлення в електронній формі про одержання форми звітності № </w:t>
      </w:r>
      <w:r w:rsidR="00DC31A7">
        <w:rPr>
          <w:rFonts w:ascii="Times New Roman" w:hAnsi="Times New Roman" w:cs="Times New Roman"/>
          <w:sz w:val="28"/>
          <w:szCs w:val="28"/>
          <w:lang w:val="uk-UA"/>
        </w:rPr>
        <w:t>5</w:t>
      </w:r>
      <w:r w:rsidR="00DC31A7" w:rsidRPr="00404BF9">
        <w:rPr>
          <w:rFonts w:ascii="Times New Roman" w:hAnsi="Times New Roman" w:cs="Times New Roman"/>
          <w:sz w:val="28"/>
          <w:szCs w:val="28"/>
          <w:lang w:val="uk-UA"/>
        </w:rPr>
        <w:t xml:space="preserve"> (на електронну адресу</w:t>
      </w:r>
      <w:r w:rsidR="009F4117">
        <w:rPr>
          <w:rFonts w:ascii="Times New Roman" w:hAnsi="Times New Roman" w:cs="Times New Roman"/>
          <w:sz w:val="28"/>
          <w:szCs w:val="28"/>
          <w:lang w:val="uk-UA"/>
        </w:rPr>
        <w:t>,</w:t>
      </w:r>
      <w:r w:rsidR="00DC31A7" w:rsidRPr="00404BF9">
        <w:rPr>
          <w:rFonts w:ascii="Times New Roman" w:hAnsi="Times New Roman" w:cs="Times New Roman"/>
          <w:sz w:val="28"/>
          <w:szCs w:val="28"/>
          <w:lang w:val="uk-UA"/>
        </w:rPr>
        <w:t xml:space="preserve"> з якої було надіслано зазначену форму звітності).</w:t>
      </w:r>
      <w:r w:rsidR="00DC31A7" w:rsidRPr="00404BF9">
        <w:rPr>
          <w:lang w:val="uk-UA"/>
        </w:rPr>
        <w:t xml:space="preserve"> </w:t>
      </w:r>
      <w:r w:rsidRPr="009138A3">
        <w:rPr>
          <w:rFonts w:ascii="Times New Roman" w:hAnsi="Times New Roman" w:cs="Times New Roman"/>
          <w:sz w:val="28"/>
          <w:szCs w:val="28"/>
          <w:lang w:val="uk-UA"/>
        </w:rPr>
        <w:t xml:space="preserve">Датою подання форми звітності № 5 вважається дата її </w:t>
      </w:r>
      <w:r w:rsidR="00F97CB9">
        <w:rPr>
          <w:rFonts w:ascii="Times New Roman" w:hAnsi="Times New Roman" w:cs="Times New Roman"/>
          <w:sz w:val="28"/>
          <w:szCs w:val="28"/>
          <w:lang w:val="uk-UA"/>
        </w:rPr>
        <w:t>надходження</w:t>
      </w:r>
      <w:r w:rsidR="00F97CB9" w:rsidRPr="009138A3">
        <w:rPr>
          <w:rFonts w:ascii="Times New Roman" w:hAnsi="Times New Roman" w:cs="Times New Roman"/>
          <w:sz w:val="28"/>
          <w:szCs w:val="28"/>
          <w:lang w:val="uk-UA"/>
        </w:rPr>
        <w:t xml:space="preserve"> </w:t>
      </w:r>
      <w:r w:rsidR="009F4117">
        <w:rPr>
          <w:rFonts w:ascii="Times New Roman" w:hAnsi="Times New Roman" w:cs="Times New Roman"/>
          <w:sz w:val="28"/>
          <w:szCs w:val="28"/>
          <w:lang w:val="uk-UA"/>
        </w:rPr>
        <w:t>до</w:t>
      </w:r>
      <w:r w:rsidR="009F4117" w:rsidRPr="009138A3">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НКРЕКП.</w:t>
      </w:r>
    </w:p>
    <w:p w14:paraId="550AAAD6" w14:textId="77777777" w:rsidR="00725044" w:rsidRPr="009138A3" w:rsidRDefault="00725044" w:rsidP="00725044">
      <w:pPr>
        <w:spacing w:after="0" w:line="276" w:lineRule="auto"/>
        <w:ind w:firstLine="567"/>
        <w:jc w:val="both"/>
        <w:rPr>
          <w:rFonts w:ascii="Times New Roman" w:hAnsi="Times New Roman" w:cs="Times New Roman"/>
          <w:sz w:val="28"/>
          <w:szCs w:val="28"/>
          <w:lang w:val="uk-UA"/>
        </w:rPr>
      </w:pPr>
    </w:p>
    <w:p w14:paraId="1548B1A1" w14:textId="77777777" w:rsidR="00725044" w:rsidRPr="009138A3" w:rsidRDefault="00725044" w:rsidP="00725044">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rPr>
        <w:t>2.</w:t>
      </w:r>
      <w:r w:rsidRPr="009138A3">
        <w:rPr>
          <w:rFonts w:ascii="Times New Roman" w:hAnsi="Times New Roman" w:cs="Times New Roman"/>
          <w:sz w:val="28"/>
          <w:szCs w:val="28"/>
          <w:lang w:val="uk-UA"/>
        </w:rPr>
        <w:t>2. Звітним періодом є календарний рік.</w:t>
      </w:r>
    </w:p>
    <w:p w14:paraId="20D337D2" w14:textId="77777777" w:rsidR="00725044" w:rsidRPr="009138A3" w:rsidRDefault="00725044" w:rsidP="00725044">
      <w:pPr>
        <w:spacing w:after="0" w:line="276" w:lineRule="auto"/>
        <w:ind w:firstLine="567"/>
        <w:jc w:val="both"/>
        <w:rPr>
          <w:rFonts w:ascii="Times New Roman" w:hAnsi="Times New Roman" w:cs="Times New Roman"/>
          <w:sz w:val="28"/>
          <w:szCs w:val="28"/>
          <w:lang w:val="uk-UA"/>
        </w:rPr>
      </w:pPr>
    </w:p>
    <w:p w14:paraId="0A233388" w14:textId="77777777" w:rsidR="00F97CB9" w:rsidRPr="009138A3" w:rsidRDefault="00725044" w:rsidP="00F97CB9">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rPr>
        <w:t>2.</w:t>
      </w:r>
      <w:r w:rsidRPr="009138A3">
        <w:rPr>
          <w:rFonts w:ascii="Times New Roman" w:hAnsi="Times New Roman" w:cs="Times New Roman"/>
          <w:sz w:val="28"/>
          <w:szCs w:val="28"/>
          <w:lang w:val="uk-UA"/>
        </w:rPr>
        <w:t>3.</w:t>
      </w:r>
      <w:r w:rsidRPr="009138A3">
        <w:rPr>
          <w:rFonts w:ascii="Times New Roman" w:hAnsi="Times New Roman" w:cs="Times New Roman"/>
          <w:sz w:val="28"/>
          <w:szCs w:val="28"/>
        </w:rPr>
        <w:t xml:space="preserve"> </w:t>
      </w:r>
      <w:r w:rsidRPr="009138A3">
        <w:rPr>
          <w:rFonts w:ascii="Times New Roman" w:hAnsi="Times New Roman" w:cs="Times New Roman"/>
          <w:sz w:val="28"/>
          <w:szCs w:val="28"/>
          <w:lang w:val="uk-UA"/>
        </w:rPr>
        <w:t>Форма звітності №</w:t>
      </w:r>
      <w:r>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 xml:space="preserve">5 надсилається </w:t>
      </w:r>
      <w:proofErr w:type="spellStart"/>
      <w:r w:rsidRPr="009138A3">
        <w:rPr>
          <w:rFonts w:ascii="Times New Roman" w:hAnsi="Times New Roman" w:cs="Times New Roman"/>
          <w:sz w:val="28"/>
          <w:szCs w:val="28"/>
          <w:lang w:val="uk-UA"/>
        </w:rPr>
        <w:t>електропостачальником</w:t>
      </w:r>
      <w:proofErr w:type="spellEnd"/>
      <w:r w:rsidRPr="009138A3">
        <w:rPr>
          <w:rFonts w:ascii="Times New Roman" w:hAnsi="Times New Roman" w:cs="Times New Roman"/>
          <w:sz w:val="28"/>
          <w:szCs w:val="28"/>
          <w:lang w:val="uk-UA"/>
        </w:rPr>
        <w:t xml:space="preserve"> до НКРЕКП </w:t>
      </w:r>
      <w:bookmarkStart w:id="1" w:name="_Hlk59007360"/>
    </w:p>
    <w:p w14:paraId="25FD623D" w14:textId="77777777" w:rsidR="00F97CB9" w:rsidRDefault="00F97CB9" w:rsidP="00FD44A3">
      <w:pPr>
        <w:spacing w:after="0" w:line="276" w:lineRule="auto"/>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в електронному вигляді у форматі </w:t>
      </w:r>
      <w:r w:rsidRPr="009138A3">
        <w:rPr>
          <w:rFonts w:ascii="Times New Roman" w:hAnsi="Times New Roman" w:cs="Times New Roman"/>
          <w:sz w:val="28"/>
          <w:szCs w:val="28"/>
        </w:rPr>
        <w:t>«</w:t>
      </w:r>
      <w:proofErr w:type="spellStart"/>
      <w:r w:rsidRPr="009138A3">
        <w:rPr>
          <w:rFonts w:ascii="Times New Roman" w:hAnsi="Times New Roman" w:cs="Times New Roman"/>
          <w:sz w:val="28"/>
          <w:szCs w:val="28"/>
        </w:rPr>
        <w:t>xls</w:t>
      </w:r>
      <w:proofErr w:type="spellEnd"/>
      <w:r w:rsidRPr="009138A3">
        <w:rPr>
          <w:rFonts w:ascii="Times New Roman" w:hAnsi="Times New Roman" w:cs="Times New Roman"/>
          <w:sz w:val="28"/>
          <w:szCs w:val="28"/>
        </w:rPr>
        <w:t xml:space="preserve">» </w:t>
      </w:r>
      <w:proofErr w:type="spellStart"/>
      <w:r w:rsidRPr="009138A3">
        <w:rPr>
          <w:rFonts w:ascii="Times New Roman" w:hAnsi="Times New Roman" w:cs="Times New Roman"/>
          <w:sz w:val="28"/>
          <w:szCs w:val="28"/>
        </w:rPr>
        <w:t>або</w:t>
      </w:r>
      <w:proofErr w:type="spellEnd"/>
      <w:r w:rsidRPr="009138A3">
        <w:rPr>
          <w:rFonts w:ascii="Times New Roman" w:hAnsi="Times New Roman" w:cs="Times New Roman"/>
          <w:sz w:val="28"/>
          <w:szCs w:val="28"/>
        </w:rPr>
        <w:t xml:space="preserve"> «</w:t>
      </w:r>
      <w:proofErr w:type="spellStart"/>
      <w:r w:rsidRPr="009138A3">
        <w:rPr>
          <w:rFonts w:ascii="Times New Roman" w:hAnsi="Times New Roman" w:cs="Times New Roman"/>
          <w:sz w:val="28"/>
          <w:szCs w:val="28"/>
        </w:rPr>
        <w:t>xlsx</w:t>
      </w:r>
      <w:proofErr w:type="spellEnd"/>
      <w:r w:rsidRPr="009138A3">
        <w:rPr>
          <w:rFonts w:ascii="Times New Roman" w:hAnsi="Times New Roman" w:cs="Times New Roman"/>
          <w:sz w:val="28"/>
          <w:szCs w:val="28"/>
        </w:rPr>
        <w:t>»</w:t>
      </w:r>
      <w:r w:rsidRPr="009138A3">
        <w:rPr>
          <w:rFonts w:ascii="Times New Roman" w:hAnsi="Times New Roman" w:cs="Times New Roman"/>
          <w:sz w:val="28"/>
          <w:szCs w:val="28"/>
          <w:lang w:val="uk-UA"/>
        </w:rPr>
        <w:t xml:space="preserve"> на</w:t>
      </w:r>
      <w:r>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адресу:</w:t>
      </w:r>
      <w:r w:rsidRPr="009138A3">
        <w:rPr>
          <w:rFonts w:ascii="Times New Roman" w:hAnsi="Times New Roman" w:cs="Times New Roman"/>
          <w:sz w:val="28"/>
          <w:szCs w:val="28"/>
        </w:rPr>
        <w:t xml:space="preserve"> </w:t>
      </w:r>
      <w:hyperlink r:id="rId10" w:history="1">
        <w:r w:rsidRPr="00FD44A3">
          <w:rPr>
            <w:rStyle w:val="a4"/>
            <w:rFonts w:ascii="Times New Roman" w:hAnsi="Times New Roman" w:cs="Times New Roman"/>
            <w:color w:val="auto"/>
            <w:sz w:val="28"/>
            <w:szCs w:val="28"/>
            <w:u w:val="none"/>
            <w:lang w:val="en-US"/>
          </w:rPr>
          <w:t>monitoring</w:t>
        </w:r>
        <w:r w:rsidRPr="00FD44A3">
          <w:rPr>
            <w:rStyle w:val="a4"/>
            <w:rFonts w:ascii="Times New Roman" w:hAnsi="Times New Roman" w:cs="Times New Roman"/>
            <w:color w:val="auto"/>
            <w:sz w:val="28"/>
            <w:szCs w:val="28"/>
            <w:u w:val="none"/>
          </w:rPr>
          <w:t>_</w:t>
        </w:r>
        <w:r w:rsidRPr="00FD44A3">
          <w:rPr>
            <w:rStyle w:val="a4"/>
            <w:rFonts w:ascii="Times New Roman" w:hAnsi="Times New Roman" w:cs="Times New Roman"/>
            <w:color w:val="auto"/>
            <w:sz w:val="28"/>
            <w:szCs w:val="28"/>
            <w:u w:val="none"/>
            <w:lang w:val="en-US"/>
          </w:rPr>
          <w:t>E</w:t>
        </w:r>
        <w:r w:rsidRPr="00FD44A3">
          <w:rPr>
            <w:rStyle w:val="a4"/>
            <w:rFonts w:ascii="Times New Roman" w:hAnsi="Times New Roman" w:cs="Times New Roman"/>
            <w:color w:val="auto"/>
            <w:sz w:val="28"/>
            <w:szCs w:val="28"/>
            <w:u w:val="none"/>
          </w:rPr>
          <w:t>@</w:t>
        </w:r>
        <w:proofErr w:type="spellStart"/>
        <w:r w:rsidRPr="00FD44A3">
          <w:rPr>
            <w:rStyle w:val="a4"/>
            <w:rFonts w:ascii="Times New Roman" w:hAnsi="Times New Roman" w:cs="Times New Roman"/>
            <w:color w:val="auto"/>
            <w:sz w:val="28"/>
            <w:szCs w:val="28"/>
            <w:u w:val="none"/>
            <w:lang w:val="en-US"/>
          </w:rPr>
          <w:t>nerc</w:t>
        </w:r>
        <w:proofErr w:type="spellEnd"/>
        <w:r w:rsidRPr="00FD44A3">
          <w:rPr>
            <w:rStyle w:val="a4"/>
            <w:rFonts w:ascii="Times New Roman" w:hAnsi="Times New Roman" w:cs="Times New Roman"/>
            <w:color w:val="auto"/>
            <w:sz w:val="28"/>
            <w:szCs w:val="28"/>
            <w:u w:val="none"/>
          </w:rPr>
          <w:t>.</w:t>
        </w:r>
        <w:r w:rsidRPr="00FD44A3">
          <w:rPr>
            <w:rStyle w:val="a4"/>
            <w:rFonts w:ascii="Times New Roman" w:hAnsi="Times New Roman" w:cs="Times New Roman"/>
            <w:color w:val="auto"/>
            <w:sz w:val="28"/>
            <w:szCs w:val="28"/>
            <w:u w:val="none"/>
            <w:lang w:val="en-US"/>
          </w:rPr>
          <w:t>gov</w:t>
        </w:r>
        <w:r w:rsidRPr="00FD44A3">
          <w:rPr>
            <w:rStyle w:val="a4"/>
            <w:rFonts w:ascii="Times New Roman" w:hAnsi="Times New Roman" w:cs="Times New Roman"/>
            <w:color w:val="auto"/>
            <w:sz w:val="28"/>
            <w:szCs w:val="28"/>
            <w:u w:val="none"/>
          </w:rPr>
          <w:t>.</w:t>
        </w:r>
        <w:proofErr w:type="spellStart"/>
        <w:r w:rsidRPr="00FD44A3">
          <w:rPr>
            <w:rStyle w:val="a4"/>
            <w:rFonts w:ascii="Times New Roman" w:hAnsi="Times New Roman" w:cs="Times New Roman"/>
            <w:color w:val="auto"/>
            <w:sz w:val="28"/>
            <w:szCs w:val="28"/>
            <w:u w:val="none"/>
            <w:lang w:val="en-US"/>
          </w:rPr>
          <w:t>ua</w:t>
        </w:r>
        <w:proofErr w:type="spellEnd"/>
      </w:hyperlink>
      <w:r w:rsidRPr="00DC31A7">
        <w:rPr>
          <w:rFonts w:ascii="Times New Roman" w:hAnsi="Times New Roman" w:cs="Times New Roman"/>
          <w:sz w:val="28"/>
          <w:szCs w:val="28"/>
        </w:rPr>
        <w:t xml:space="preserve"> </w:t>
      </w:r>
      <w:bookmarkStart w:id="2" w:name="_Hlk58937441"/>
      <w:r w:rsidRPr="00DC31A7">
        <w:rPr>
          <w:rFonts w:ascii="Times New Roman" w:hAnsi="Times New Roman" w:cs="Times New Roman"/>
          <w:sz w:val="28"/>
          <w:szCs w:val="28"/>
          <w:lang w:val="uk-UA"/>
        </w:rPr>
        <w:t xml:space="preserve">у </w:t>
      </w:r>
      <w:r>
        <w:rPr>
          <w:rFonts w:ascii="Times New Roman" w:hAnsi="Times New Roman" w:cs="Times New Roman"/>
          <w:sz w:val="28"/>
          <w:szCs w:val="28"/>
          <w:lang w:val="uk-UA"/>
        </w:rPr>
        <w:t>двох примірниках:</w:t>
      </w:r>
    </w:p>
    <w:p w14:paraId="04AE8053" w14:textId="77777777" w:rsidR="00F97CB9" w:rsidRPr="0063421D" w:rsidRDefault="00F97CB9" w:rsidP="00F97CB9">
      <w:pPr>
        <w:tabs>
          <w:tab w:val="left" w:pos="993"/>
        </w:tabs>
        <w:spacing w:line="276" w:lineRule="auto"/>
        <w:ind w:firstLine="567"/>
        <w:jc w:val="both"/>
        <w:rPr>
          <w:rFonts w:ascii="Times New Roman" w:hAnsi="Times New Roman" w:cs="Times New Roman"/>
          <w:sz w:val="28"/>
          <w:szCs w:val="28"/>
          <w:lang w:val="uk-UA"/>
        </w:rPr>
      </w:pPr>
      <w:r w:rsidRPr="0063421D">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r>
        <w:rPr>
          <w:rFonts w:ascii="Times New Roman" w:hAnsi="Times New Roman" w:cs="Times New Roman"/>
          <w:sz w:val="28"/>
          <w:szCs w:val="28"/>
          <w:lang w:val="uk-UA"/>
        </w:rPr>
        <w:t>;</w:t>
      </w:r>
    </w:p>
    <w:p w14:paraId="357DB28A" w14:textId="3917526E" w:rsidR="00F97CB9" w:rsidRPr="009138A3" w:rsidRDefault="00F97CB9" w:rsidP="00F97CB9">
      <w:pPr>
        <w:spacing w:after="0" w:line="276" w:lineRule="auto"/>
        <w:ind w:firstLine="567"/>
        <w:jc w:val="both"/>
        <w:rPr>
          <w:rFonts w:ascii="Times New Roman" w:hAnsi="Times New Roman" w:cs="Times New Roman"/>
          <w:sz w:val="28"/>
          <w:szCs w:val="28"/>
          <w:lang w:val="uk-UA"/>
        </w:rPr>
      </w:pPr>
      <w:r w:rsidRPr="0063421D">
        <w:rPr>
          <w:rFonts w:ascii="Times New Roman" w:hAnsi="Times New Roman" w:cs="Times New Roman"/>
          <w:sz w:val="28"/>
          <w:szCs w:val="28"/>
          <w:lang w:val="uk-UA"/>
        </w:rPr>
        <w:t>без накладення кваліфікованого електронного підпису та/або кваліфікованої електронної печатки ліцензіата</w:t>
      </w:r>
      <w:bookmarkEnd w:id="2"/>
      <w:r w:rsidRPr="0063421D">
        <w:rPr>
          <w:rFonts w:ascii="Times New Roman" w:hAnsi="Times New Roman" w:cs="Times New Roman"/>
          <w:sz w:val="28"/>
          <w:szCs w:val="28"/>
          <w:lang w:val="uk-UA"/>
        </w:rPr>
        <w:t>.</w:t>
      </w:r>
    </w:p>
    <w:bookmarkEnd w:id="1"/>
    <w:p w14:paraId="481CF276" w14:textId="101F095D" w:rsidR="00725044" w:rsidRPr="009138A3" w:rsidRDefault="00725044" w:rsidP="00725044">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У випадку якщо форма звітності № 5 містить інформацію та/або дані конфіденційного характеру, які становлять комерційну таємницю, з метою забезпечення НКРЕКП захисту конфіденційної інформації </w:t>
      </w:r>
      <w:proofErr w:type="spellStart"/>
      <w:r w:rsidRPr="009138A3">
        <w:rPr>
          <w:rFonts w:ascii="Times New Roman" w:hAnsi="Times New Roman" w:cs="Times New Roman"/>
          <w:sz w:val="28"/>
          <w:szCs w:val="28"/>
          <w:lang w:val="uk-UA"/>
        </w:rPr>
        <w:t>електропостачальник</w:t>
      </w:r>
      <w:proofErr w:type="spellEnd"/>
      <w:r w:rsidRPr="009138A3">
        <w:rPr>
          <w:rFonts w:ascii="Times New Roman" w:hAnsi="Times New Roman" w:cs="Times New Roman"/>
          <w:sz w:val="28"/>
          <w:szCs w:val="28"/>
          <w:lang w:val="uk-UA"/>
        </w:rPr>
        <w:t xml:space="preserve"> визначає перелік такої інформації, умови та порядок її поширення НКРЕКП та подає його разом із формою звітності № 5 </w:t>
      </w:r>
      <w:bookmarkStart w:id="3" w:name="_Hlk86242516"/>
      <w:r w:rsidR="00F35098" w:rsidRPr="00D84ACB">
        <w:rPr>
          <w:rFonts w:ascii="Times New Roman" w:hAnsi="Times New Roman" w:cs="Times New Roman"/>
          <w:sz w:val="28"/>
          <w:szCs w:val="28"/>
          <w:lang w:val="uk-UA"/>
        </w:rPr>
        <w:t>в електронному вигляді (супровідним листом з накладенням кваліфікованого електронного підпису уповноваженої особи ліцензіата та/або кваліфікованої електронної печатки ліцензіата)</w:t>
      </w:r>
      <w:bookmarkEnd w:id="3"/>
      <w:r w:rsidRPr="009138A3">
        <w:rPr>
          <w:rFonts w:ascii="Times New Roman" w:hAnsi="Times New Roman" w:cs="Times New Roman"/>
          <w:sz w:val="28"/>
          <w:szCs w:val="28"/>
          <w:lang w:val="uk-UA"/>
        </w:rPr>
        <w:t xml:space="preserve"> з урахуванням положень законів України </w:t>
      </w:r>
      <w:hyperlink r:id="rId11" w:tgtFrame="_blank" w:history="1">
        <w:r w:rsidRPr="009138A3">
          <w:rPr>
            <w:rFonts w:ascii="Times New Roman" w:hAnsi="Times New Roman" w:cs="Times New Roman"/>
            <w:sz w:val="28"/>
            <w:szCs w:val="28"/>
            <w:lang w:val="uk-UA"/>
          </w:rPr>
          <w:t>«Про інформацію»</w:t>
        </w:r>
      </w:hyperlink>
      <w:r w:rsidRPr="00C126D9">
        <w:rPr>
          <w:rFonts w:ascii="Times New Roman" w:hAnsi="Times New Roman" w:cs="Times New Roman"/>
          <w:sz w:val="28"/>
          <w:szCs w:val="28"/>
          <w:lang w:val="uk-UA"/>
        </w:rPr>
        <w:t>, </w:t>
      </w:r>
      <w:hyperlink r:id="rId12" w:tgtFrame="_blank" w:history="1">
        <w:r w:rsidRPr="009138A3">
          <w:rPr>
            <w:rFonts w:ascii="Times New Roman" w:hAnsi="Times New Roman" w:cs="Times New Roman"/>
            <w:sz w:val="28"/>
            <w:szCs w:val="28"/>
            <w:lang w:val="uk-UA"/>
          </w:rPr>
          <w:t>«Про доступ до публічної інформації»</w:t>
        </w:r>
      </w:hyperlink>
      <w:r w:rsidRPr="00C126D9">
        <w:rPr>
          <w:rFonts w:ascii="Times New Roman" w:hAnsi="Times New Roman" w:cs="Times New Roman"/>
          <w:sz w:val="28"/>
          <w:szCs w:val="28"/>
          <w:lang w:val="uk-UA"/>
        </w:rPr>
        <w:t> та інших актів законодавства.</w:t>
      </w:r>
    </w:p>
    <w:p w14:paraId="198E6645" w14:textId="77777777" w:rsidR="00725044" w:rsidRPr="009138A3" w:rsidRDefault="00725044" w:rsidP="00725044">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Обмеженню доступу підлягає інформація, визначена як конфіденційна, а не форма звітності № 5 у цілому.</w:t>
      </w:r>
    </w:p>
    <w:p w14:paraId="06F630E6" w14:textId="196B0907" w:rsidR="00725044" w:rsidRPr="009138A3" w:rsidRDefault="00725044" w:rsidP="00725044">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НКРЕКП не зобов’язана вважати інформацію та/або дані, надані </w:t>
      </w:r>
      <w:proofErr w:type="spellStart"/>
      <w:r w:rsidRPr="009138A3">
        <w:rPr>
          <w:rFonts w:ascii="Times New Roman" w:hAnsi="Times New Roman" w:cs="Times New Roman"/>
          <w:sz w:val="28"/>
          <w:szCs w:val="28"/>
          <w:lang w:val="uk-UA"/>
        </w:rPr>
        <w:t>електропостачальником</w:t>
      </w:r>
      <w:proofErr w:type="spellEnd"/>
      <w:r w:rsidRPr="009138A3">
        <w:rPr>
          <w:rFonts w:ascii="Times New Roman" w:hAnsi="Times New Roman" w:cs="Times New Roman"/>
          <w:sz w:val="28"/>
          <w:szCs w:val="28"/>
          <w:lang w:val="uk-UA"/>
        </w:rPr>
        <w:t>, такими, що мають конфіденційний характер та/або становлять комерційну таємницю, якщо постачальник не зазначив цього при поданні форми звітності № 5 до НКРЕКП.</w:t>
      </w:r>
    </w:p>
    <w:p w14:paraId="2DBE9423" w14:textId="77777777" w:rsidR="00725044" w:rsidRPr="009138A3" w:rsidRDefault="00725044" w:rsidP="00725044">
      <w:pPr>
        <w:spacing w:after="0" w:line="276" w:lineRule="auto"/>
        <w:ind w:firstLine="567"/>
        <w:jc w:val="both"/>
        <w:rPr>
          <w:rFonts w:ascii="Times New Roman" w:hAnsi="Times New Roman" w:cs="Times New Roman"/>
          <w:sz w:val="28"/>
          <w:szCs w:val="28"/>
          <w:lang w:val="uk-UA"/>
        </w:rPr>
      </w:pPr>
    </w:p>
    <w:p w14:paraId="2A9B2037" w14:textId="2AD10746" w:rsidR="00725044" w:rsidRPr="009138A3" w:rsidRDefault="00725044" w:rsidP="00725044">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2.</w:t>
      </w:r>
      <w:r w:rsidR="006C437A">
        <w:rPr>
          <w:rFonts w:ascii="Times New Roman" w:hAnsi="Times New Roman" w:cs="Times New Roman"/>
          <w:sz w:val="28"/>
          <w:szCs w:val="28"/>
          <w:lang w:val="uk-UA"/>
        </w:rPr>
        <w:t>4</w:t>
      </w:r>
      <w:r w:rsidRPr="009138A3">
        <w:rPr>
          <w:rFonts w:ascii="Times New Roman" w:hAnsi="Times New Roman" w:cs="Times New Roman"/>
          <w:sz w:val="28"/>
          <w:szCs w:val="28"/>
          <w:lang w:val="uk-UA"/>
        </w:rPr>
        <w:t>. Усі дані форми звітності № 5 мають бути наведені в тих одиницях виміру, які вказані в затвердженій формі звітності.</w:t>
      </w:r>
    </w:p>
    <w:p w14:paraId="1C2FB01B" w14:textId="77777777" w:rsidR="00725044" w:rsidRPr="009138A3" w:rsidRDefault="00725044" w:rsidP="00725044">
      <w:pPr>
        <w:spacing w:after="0" w:line="276" w:lineRule="auto"/>
        <w:ind w:firstLine="567"/>
        <w:jc w:val="both"/>
        <w:rPr>
          <w:rFonts w:ascii="Times New Roman" w:hAnsi="Times New Roman" w:cs="Times New Roman"/>
          <w:sz w:val="28"/>
          <w:szCs w:val="28"/>
          <w:lang w:val="uk-UA"/>
        </w:rPr>
      </w:pPr>
    </w:p>
    <w:p w14:paraId="6C83C948" w14:textId="3010E0D9" w:rsidR="00725044" w:rsidRPr="009138A3" w:rsidRDefault="00725044" w:rsidP="00725044">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rPr>
        <w:lastRenderedPageBreak/>
        <w:t>2.</w:t>
      </w:r>
      <w:r w:rsidR="006C437A">
        <w:rPr>
          <w:rFonts w:ascii="Times New Roman" w:hAnsi="Times New Roman" w:cs="Times New Roman"/>
          <w:sz w:val="28"/>
          <w:szCs w:val="28"/>
          <w:lang w:val="uk-UA"/>
        </w:rPr>
        <w:t>5</w:t>
      </w:r>
      <w:r w:rsidRPr="009138A3">
        <w:rPr>
          <w:rFonts w:ascii="Times New Roman" w:hAnsi="Times New Roman" w:cs="Times New Roman"/>
          <w:sz w:val="28"/>
          <w:szCs w:val="28"/>
          <w:lang w:val="uk-UA"/>
        </w:rPr>
        <w:t xml:space="preserve">. </w:t>
      </w:r>
      <w:proofErr w:type="spellStart"/>
      <w:r w:rsidRPr="009138A3">
        <w:rPr>
          <w:rFonts w:ascii="Times New Roman" w:hAnsi="Times New Roman" w:cs="Times New Roman"/>
          <w:sz w:val="28"/>
          <w:szCs w:val="28"/>
          <w:lang w:val="uk-UA"/>
        </w:rPr>
        <w:t>Електропостачальник</w:t>
      </w:r>
      <w:proofErr w:type="spellEnd"/>
      <w:r w:rsidRPr="009138A3">
        <w:rPr>
          <w:rFonts w:ascii="Times New Roman" w:hAnsi="Times New Roman" w:cs="Times New Roman"/>
          <w:sz w:val="28"/>
          <w:szCs w:val="28"/>
          <w:lang w:val="uk-UA"/>
        </w:rPr>
        <w:t xml:space="preserve"> не має права вносити зміни до затвердженого бланка форми звітності.</w:t>
      </w:r>
    </w:p>
    <w:p w14:paraId="16CDC851" w14:textId="77777777" w:rsidR="00725044" w:rsidRPr="009138A3" w:rsidRDefault="00725044" w:rsidP="00725044">
      <w:pPr>
        <w:spacing w:after="0" w:line="276" w:lineRule="auto"/>
        <w:ind w:firstLine="567"/>
        <w:jc w:val="both"/>
        <w:rPr>
          <w:rFonts w:ascii="Times New Roman" w:hAnsi="Times New Roman" w:cs="Times New Roman"/>
          <w:sz w:val="28"/>
          <w:szCs w:val="28"/>
          <w:lang w:val="uk-UA"/>
        </w:rPr>
      </w:pPr>
    </w:p>
    <w:p w14:paraId="6F8A9A53" w14:textId="128EA533" w:rsidR="00725044" w:rsidRPr="009138A3" w:rsidRDefault="00725044" w:rsidP="00725044">
      <w:pPr>
        <w:tabs>
          <w:tab w:val="left" w:pos="993"/>
        </w:tabs>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2.</w:t>
      </w:r>
      <w:r w:rsidR="006C437A">
        <w:rPr>
          <w:rFonts w:ascii="Times New Roman" w:hAnsi="Times New Roman" w:cs="Times New Roman"/>
          <w:sz w:val="28"/>
          <w:szCs w:val="28"/>
          <w:lang w:val="uk-UA"/>
        </w:rPr>
        <w:t>6</w:t>
      </w:r>
      <w:r w:rsidRPr="009138A3">
        <w:rPr>
          <w:rFonts w:ascii="Times New Roman" w:hAnsi="Times New Roman" w:cs="Times New Roman"/>
          <w:sz w:val="28"/>
          <w:szCs w:val="28"/>
          <w:lang w:val="uk-UA"/>
        </w:rPr>
        <w:t>. У разі відсутності ліцензованої діяльності у звітному періоді ліцензіат надає форму звітності № 5 за встановленою формою, при цьому проставляє значення «0» у відповідних графах.</w:t>
      </w:r>
    </w:p>
    <w:p w14:paraId="334F4642" w14:textId="77777777" w:rsidR="00725044" w:rsidRPr="009138A3" w:rsidRDefault="00725044" w:rsidP="00725044">
      <w:pPr>
        <w:spacing w:after="0" w:line="276" w:lineRule="auto"/>
        <w:ind w:firstLine="567"/>
        <w:jc w:val="both"/>
        <w:rPr>
          <w:rFonts w:ascii="Times New Roman" w:hAnsi="Times New Roman" w:cs="Times New Roman"/>
          <w:sz w:val="28"/>
          <w:szCs w:val="28"/>
          <w:lang w:val="uk-UA"/>
        </w:rPr>
      </w:pPr>
    </w:p>
    <w:p w14:paraId="03471F3B" w14:textId="6E14AEFD" w:rsidR="00725044" w:rsidRPr="009138A3" w:rsidRDefault="00725044" w:rsidP="00725044">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2.</w:t>
      </w:r>
      <w:r w:rsidR="006C437A">
        <w:rPr>
          <w:rFonts w:ascii="Times New Roman" w:hAnsi="Times New Roman" w:cs="Times New Roman"/>
          <w:sz w:val="28"/>
          <w:szCs w:val="28"/>
          <w:lang w:val="uk-UA"/>
        </w:rPr>
        <w:t>7</w:t>
      </w:r>
      <w:r w:rsidRPr="009138A3">
        <w:rPr>
          <w:rFonts w:ascii="Times New Roman" w:hAnsi="Times New Roman" w:cs="Times New Roman"/>
          <w:sz w:val="28"/>
          <w:szCs w:val="28"/>
          <w:lang w:val="uk-UA"/>
        </w:rPr>
        <w:t xml:space="preserve">. У разі внесення змін до звіту після відправлення </w:t>
      </w:r>
      <w:proofErr w:type="spellStart"/>
      <w:r w:rsidRPr="009138A3">
        <w:rPr>
          <w:rFonts w:ascii="Times New Roman" w:hAnsi="Times New Roman" w:cs="Times New Roman"/>
          <w:sz w:val="28"/>
          <w:szCs w:val="28"/>
          <w:lang w:val="uk-UA"/>
        </w:rPr>
        <w:t>електропостачальник</w:t>
      </w:r>
      <w:proofErr w:type="spellEnd"/>
      <w:r w:rsidRPr="009138A3">
        <w:rPr>
          <w:rFonts w:ascii="Times New Roman" w:hAnsi="Times New Roman" w:cs="Times New Roman"/>
          <w:sz w:val="28"/>
          <w:szCs w:val="28"/>
          <w:lang w:val="uk-UA"/>
        </w:rPr>
        <w:t xml:space="preserve"> зобов'язаний терміново надіслати до НКРЕКП виправлений звіт, а також супровідний лист </w:t>
      </w:r>
      <w:r w:rsidR="00F35098">
        <w:rPr>
          <w:rFonts w:ascii="Times New Roman" w:hAnsi="Times New Roman" w:cs="Times New Roman"/>
          <w:sz w:val="28"/>
          <w:szCs w:val="28"/>
          <w:lang w:val="uk-UA"/>
        </w:rPr>
        <w:t xml:space="preserve">в електронному вигляді  </w:t>
      </w:r>
      <w:bookmarkStart w:id="4" w:name="_Hlk86242544"/>
      <w:r w:rsidR="00F35098" w:rsidRPr="00D84ACB">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w:t>
      </w:r>
      <w:bookmarkEnd w:id="4"/>
      <w:r w:rsidR="00F35098">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із зазначенням причини внесення змін.</w:t>
      </w:r>
    </w:p>
    <w:p w14:paraId="5A85D853" w14:textId="77777777" w:rsidR="00725044" w:rsidRPr="009138A3" w:rsidRDefault="00725044" w:rsidP="00725044">
      <w:pPr>
        <w:spacing w:after="0" w:line="276" w:lineRule="auto"/>
        <w:ind w:firstLine="567"/>
        <w:jc w:val="both"/>
        <w:rPr>
          <w:rFonts w:ascii="Times New Roman" w:hAnsi="Times New Roman" w:cs="Times New Roman"/>
          <w:sz w:val="28"/>
          <w:szCs w:val="28"/>
          <w:lang w:val="uk-UA"/>
        </w:rPr>
      </w:pPr>
    </w:p>
    <w:p w14:paraId="5BC8C357" w14:textId="77777777" w:rsidR="00725044" w:rsidRPr="009138A3" w:rsidRDefault="00725044" w:rsidP="00725044">
      <w:pPr>
        <w:spacing w:after="0" w:line="276" w:lineRule="auto"/>
        <w:ind w:firstLine="567"/>
        <w:jc w:val="center"/>
        <w:rPr>
          <w:rFonts w:ascii="Times New Roman" w:hAnsi="Times New Roman" w:cs="Times New Roman"/>
          <w:b/>
          <w:sz w:val="28"/>
          <w:szCs w:val="28"/>
          <w:lang w:val="uk-UA"/>
        </w:rPr>
      </w:pPr>
      <w:r w:rsidRPr="009138A3">
        <w:rPr>
          <w:rFonts w:ascii="Times New Roman" w:hAnsi="Times New Roman" w:cs="Times New Roman"/>
          <w:b/>
          <w:sz w:val="28"/>
          <w:szCs w:val="28"/>
          <w:lang w:val="en-US"/>
        </w:rPr>
        <w:t>3</w:t>
      </w:r>
      <w:r w:rsidRPr="009138A3">
        <w:rPr>
          <w:rFonts w:ascii="Times New Roman" w:hAnsi="Times New Roman" w:cs="Times New Roman"/>
          <w:b/>
          <w:sz w:val="28"/>
          <w:szCs w:val="28"/>
          <w:lang w:val="uk-UA"/>
        </w:rPr>
        <w:t>. Порядок заповнення форми звітності № 5</w:t>
      </w:r>
    </w:p>
    <w:p w14:paraId="3FFAD39F" w14:textId="77777777" w:rsidR="00725044" w:rsidRPr="009138A3" w:rsidRDefault="00725044" w:rsidP="00725044">
      <w:pPr>
        <w:spacing w:after="0" w:line="276" w:lineRule="auto"/>
        <w:ind w:firstLine="567"/>
        <w:jc w:val="center"/>
        <w:rPr>
          <w:rFonts w:ascii="Times New Roman" w:hAnsi="Times New Roman" w:cs="Times New Roman"/>
          <w:b/>
          <w:sz w:val="28"/>
          <w:szCs w:val="28"/>
          <w:lang w:val="uk-UA"/>
        </w:rPr>
      </w:pPr>
    </w:p>
    <w:p w14:paraId="14954DA3" w14:textId="77777777" w:rsidR="00725044" w:rsidRPr="009138A3" w:rsidRDefault="00725044" w:rsidP="00725044">
      <w:pPr>
        <w:pStyle w:val="a3"/>
        <w:numPr>
          <w:ilvl w:val="1"/>
          <w:numId w:val="7"/>
        </w:numPr>
        <w:tabs>
          <w:tab w:val="left" w:pos="567"/>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 У розділі І «Інформація щодо постачання електричної енергії постачальником універсальних послуг» відображається загальна інформація щодо споживачів, які уклали з </w:t>
      </w:r>
      <w:proofErr w:type="spellStart"/>
      <w:r w:rsidRPr="009138A3">
        <w:rPr>
          <w:rFonts w:ascii="Times New Roman" w:hAnsi="Times New Roman" w:cs="Times New Roman"/>
          <w:sz w:val="28"/>
          <w:szCs w:val="28"/>
          <w:lang w:val="uk-UA"/>
        </w:rPr>
        <w:t>електропостачальником</w:t>
      </w:r>
      <w:proofErr w:type="spellEnd"/>
      <w:r w:rsidRPr="009138A3">
        <w:rPr>
          <w:rFonts w:ascii="Times New Roman" w:hAnsi="Times New Roman" w:cs="Times New Roman"/>
          <w:sz w:val="28"/>
          <w:szCs w:val="28"/>
          <w:lang w:val="uk-UA"/>
        </w:rPr>
        <w:t xml:space="preserve"> договір про постачання електричної енергії постачальником універсальних послуг:</w:t>
      </w:r>
    </w:p>
    <w:p w14:paraId="3ED015A5" w14:textId="77777777" w:rsidR="00725044" w:rsidRPr="009138A3" w:rsidRDefault="00725044" w:rsidP="00725044">
      <w:pPr>
        <w:pStyle w:val="a3"/>
        <w:tabs>
          <w:tab w:val="left" w:pos="993"/>
        </w:tabs>
        <w:spacing w:after="0" w:line="276" w:lineRule="auto"/>
        <w:ind w:left="567" w:firstLine="567"/>
        <w:jc w:val="both"/>
        <w:rPr>
          <w:rFonts w:ascii="Times New Roman" w:hAnsi="Times New Roman" w:cs="Times New Roman"/>
          <w:sz w:val="28"/>
          <w:szCs w:val="28"/>
          <w:lang w:val="uk-UA"/>
        </w:rPr>
      </w:pPr>
    </w:p>
    <w:p w14:paraId="4FDB33F5" w14:textId="737C9B18" w:rsidR="00725044" w:rsidRPr="009138A3" w:rsidRDefault="00725044" w:rsidP="00725044">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графі 1 «Загальна кількість на кінець звітного періоду» зазначається інформація щодо кількості споживачів, які уклали договір про постачання електричної енергії постачальником універсальних послуг, станом на кінець звітного періоду в розрізі категорій споживачів (рядки 010 – </w:t>
      </w:r>
      <w:r w:rsidR="00A75EEB" w:rsidRPr="009138A3">
        <w:rPr>
          <w:rFonts w:ascii="Times New Roman" w:hAnsi="Times New Roman" w:cs="Times New Roman"/>
          <w:sz w:val="28"/>
          <w:szCs w:val="28"/>
          <w:lang w:val="uk-UA"/>
        </w:rPr>
        <w:t>0</w:t>
      </w:r>
      <w:r w:rsidR="00A75EEB">
        <w:rPr>
          <w:rFonts w:ascii="Times New Roman" w:hAnsi="Times New Roman" w:cs="Times New Roman"/>
          <w:sz w:val="28"/>
          <w:szCs w:val="28"/>
          <w:lang w:val="uk-UA"/>
        </w:rPr>
        <w:t>6</w:t>
      </w:r>
      <w:r w:rsidR="00A75EEB" w:rsidRPr="009138A3">
        <w:rPr>
          <w:rFonts w:ascii="Times New Roman" w:hAnsi="Times New Roman" w:cs="Times New Roman"/>
          <w:sz w:val="28"/>
          <w:szCs w:val="28"/>
          <w:lang w:val="uk-UA"/>
        </w:rPr>
        <w:t>0</w:t>
      </w:r>
      <w:r w:rsidRPr="009138A3">
        <w:rPr>
          <w:rFonts w:ascii="Times New Roman" w:hAnsi="Times New Roman" w:cs="Times New Roman"/>
          <w:sz w:val="28"/>
          <w:szCs w:val="28"/>
          <w:lang w:val="uk-UA"/>
        </w:rPr>
        <w:t>);</w:t>
      </w:r>
    </w:p>
    <w:p w14:paraId="27650FC1" w14:textId="77777777" w:rsidR="00725044" w:rsidRPr="009138A3" w:rsidRDefault="00725044" w:rsidP="00725044">
      <w:pPr>
        <w:pStyle w:val="a3"/>
        <w:tabs>
          <w:tab w:val="left" w:pos="993"/>
        </w:tabs>
        <w:spacing w:after="0" w:line="276" w:lineRule="auto"/>
        <w:ind w:left="567" w:firstLine="567"/>
        <w:jc w:val="both"/>
        <w:rPr>
          <w:rFonts w:ascii="Times New Roman" w:hAnsi="Times New Roman" w:cs="Times New Roman"/>
          <w:sz w:val="28"/>
          <w:szCs w:val="28"/>
          <w:lang w:val="uk-UA"/>
        </w:rPr>
      </w:pPr>
    </w:p>
    <w:p w14:paraId="6B1A191B" w14:textId="77777777" w:rsidR="00725044" w:rsidRPr="009138A3" w:rsidRDefault="00725044" w:rsidP="00725044">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графі 2 «Середня тривалість постачання» зазначається середнє арифметичне значення тривалості (кількості календарних днів) постачання електричної енергії споживачам з дати початку постачання їм електричної енергії до кінця звітного періоду в розрізі категорій споживачів (рядки 010 – 070);</w:t>
      </w:r>
    </w:p>
    <w:p w14:paraId="63421146" w14:textId="77777777" w:rsidR="00725044" w:rsidRPr="009138A3" w:rsidRDefault="00725044" w:rsidP="00725044">
      <w:pPr>
        <w:tabs>
          <w:tab w:val="left" w:pos="993"/>
        </w:tabs>
        <w:spacing w:after="0" w:line="276" w:lineRule="auto"/>
        <w:ind w:firstLine="567"/>
        <w:jc w:val="both"/>
        <w:rPr>
          <w:rFonts w:ascii="Times New Roman" w:hAnsi="Times New Roman" w:cs="Times New Roman"/>
          <w:sz w:val="28"/>
          <w:szCs w:val="28"/>
          <w:lang w:val="uk-UA"/>
        </w:rPr>
      </w:pPr>
    </w:p>
    <w:p w14:paraId="789D9CFE" w14:textId="77777777" w:rsidR="00725044" w:rsidRPr="009138A3" w:rsidRDefault="00725044" w:rsidP="00725044">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005 «Кількість споживачів, які уклали договір про постачання електричної енергії постачальником універсальних послуг, за категоріями споживачів, з них:» зазначаються сумарні дані за всіма категоріями споживачів. Значення рядка 005 графи 1 дорівнює сумі значень рядків 010 та 040 графи 1;</w:t>
      </w:r>
    </w:p>
    <w:p w14:paraId="519CB20F" w14:textId="77777777" w:rsidR="00725044" w:rsidRPr="009138A3" w:rsidRDefault="00725044" w:rsidP="00725044">
      <w:pPr>
        <w:tabs>
          <w:tab w:val="left" w:pos="993"/>
        </w:tabs>
        <w:spacing w:after="0" w:line="276" w:lineRule="auto"/>
        <w:ind w:firstLine="567"/>
        <w:jc w:val="both"/>
        <w:rPr>
          <w:rFonts w:ascii="Times New Roman" w:hAnsi="Times New Roman" w:cs="Times New Roman"/>
          <w:sz w:val="28"/>
          <w:szCs w:val="28"/>
          <w:lang w:val="uk-UA"/>
        </w:rPr>
      </w:pPr>
    </w:p>
    <w:p w14:paraId="0367D7F9" w14:textId="77777777" w:rsidR="00725044" w:rsidRPr="009138A3" w:rsidRDefault="00725044" w:rsidP="00725044">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010 «побутові:» зазначаються сумарні дані побутових споживачів. Значення рядка 010 графи 1 дорівнює сумі значень рядків 015 та 035 графи 1;</w:t>
      </w:r>
    </w:p>
    <w:p w14:paraId="41D51BDC" w14:textId="77777777" w:rsidR="00725044" w:rsidRPr="009138A3" w:rsidRDefault="00725044" w:rsidP="00725044">
      <w:pPr>
        <w:tabs>
          <w:tab w:val="left" w:pos="993"/>
        </w:tabs>
        <w:spacing w:after="0" w:line="276" w:lineRule="auto"/>
        <w:ind w:firstLine="567"/>
        <w:jc w:val="both"/>
        <w:rPr>
          <w:rFonts w:ascii="Times New Roman" w:hAnsi="Times New Roman" w:cs="Times New Roman"/>
          <w:sz w:val="28"/>
          <w:szCs w:val="28"/>
          <w:lang w:val="uk-UA"/>
        </w:rPr>
      </w:pPr>
    </w:p>
    <w:p w14:paraId="279AADCD" w14:textId="77777777" w:rsidR="00725044" w:rsidRPr="009138A3" w:rsidRDefault="00725044" w:rsidP="00725044">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lastRenderedPageBreak/>
        <w:t>у рядку 015 «</w:t>
      </w:r>
      <w:r w:rsidRPr="00C126D9">
        <w:rPr>
          <w:rFonts w:ascii="Times New Roman" w:hAnsi="Times New Roman" w:cs="Times New Roman"/>
          <w:sz w:val="28"/>
          <w:szCs w:val="28"/>
          <w:lang w:val="uk-UA"/>
        </w:rPr>
        <w:t>індивідуальні</w:t>
      </w:r>
      <w:r w:rsidRPr="009138A3">
        <w:rPr>
          <w:rFonts w:ascii="Times New Roman" w:hAnsi="Times New Roman" w:cs="Times New Roman"/>
          <w:sz w:val="28"/>
          <w:szCs w:val="28"/>
          <w:lang w:val="uk-UA"/>
        </w:rPr>
        <w:t>» зазначаються дані щодо індивідуальних побутових споживачів, у тому числі щодо вразливих (рядок 020), щодо побутових споживачів (включаючи вразливих) з генеруючими установками, призначеними для виробництва електроенергії з енергії  сонячного випромінювання (рядок 025), та побутових споживачів (включаючи вразливих) з генеруючими установками, призначеними для виробництва електроенергії з енергії  вітру (рядок 030);</w:t>
      </w:r>
    </w:p>
    <w:p w14:paraId="740A5402" w14:textId="77777777" w:rsidR="00725044" w:rsidRPr="00C126D9" w:rsidRDefault="00725044" w:rsidP="00725044">
      <w:pPr>
        <w:tabs>
          <w:tab w:val="left" w:pos="993"/>
        </w:tabs>
        <w:spacing w:after="0" w:line="276" w:lineRule="auto"/>
        <w:ind w:firstLine="567"/>
        <w:jc w:val="both"/>
        <w:rPr>
          <w:rFonts w:ascii="Times New Roman" w:hAnsi="Times New Roman" w:cs="Times New Roman"/>
          <w:sz w:val="28"/>
          <w:szCs w:val="28"/>
          <w:lang w:val="uk-UA"/>
        </w:rPr>
      </w:pPr>
    </w:p>
    <w:p w14:paraId="4B45B5F4" w14:textId="77777777" w:rsidR="00725044" w:rsidRPr="009138A3" w:rsidRDefault="00725044" w:rsidP="00725044">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035 «колективні» зазначаються дані щодо колективних побутових споживачів;</w:t>
      </w:r>
    </w:p>
    <w:p w14:paraId="4C623AC4" w14:textId="77777777" w:rsidR="00725044" w:rsidRPr="009138A3" w:rsidRDefault="00725044" w:rsidP="00725044">
      <w:pPr>
        <w:pStyle w:val="a3"/>
        <w:tabs>
          <w:tab w:val="left" w:pos="993"/>
        </w:tabs>
        <w:ind w:firstLine="567"/>
        <w:rPr>
          <w:rFonts w:ascii="Times New Roman" w:hAnsi="Times New Roman" w:cs="Times New Roman"/>
          <w:sz w:val="28"/>
          <w:szCs w:val="28"/>
          <w:lang w:val="uk-UA"/>
        </w:rPr>
      </w:pPr>
    </w:p>
    <w:p w14:paraId="6F7544F8" w14:textId="1646A0F5" w:rsidR="00725044" w:rsidRPr="009138A3" w:rsidRDefault="00725044" w:rsidP="00725044">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bookmarkStart w:id="5" w:name="_Hlk59020304"/>
      <w:r w:rsidRPr="009138A3">
        <w:rPr>
          <w:rFonts w:ascii="Times New Roman" w:hAnsi="Times New Roman" w:cs="Times New Roman"/>
          <w:sz w:val="28"/>
          <w:szCs w:val="28"/>
          <w:lang w:val="uk-UA"/>
        </w:rPr>
        <w:t>у рядку 040 «</w:t>
      </w:r>
      <w:r w:rsidRPr="00C126D9">
        <w:rPr>
          <w:rFonts w:ascii="Times New Roman" w:hAnsi="Times New Roman" w:cs="Times New Roman"/>
          <w:sz w:val="28"/>
          <w:szCs w:val="28"/>
          <w:lang w:val="uk-UA"/>
        </w:rPr>
        <w:t>непобутові у т. ч.:</w:t>
      </w:r>
      <w:r w:rsidRPr="009138A3">
        <w:rPr>
          <w:rFonts w:ascii="Times New Roman" w:hAnsi="Times New Roman" w:cs="Times New Roman"/>
          <w:sz w:val="28"/>
          <w:szCs w:val="28"/>
          <w:lang w:val="uk-UA"/>
        </w:rPr>
        <w:t xml:space="preserve">» зазначаються дані щодо непобутових споживачів, у тому числі щодо малих непобутових споживачів (рядок 045), з них бюджетних установ (рядок </w:t>
      </w:r>
      <w:r w:rsidR="00A75EEB" w:rsidRPr="009138A3">
        <w:rPr>
          <w:rFonts w:ascii="Times New Roman" w:hAnsi="Times New Roman" w:cs="Times New Roman"/>
          <w:sz w:val="28"/>
          <w:szCs w:val="28"/>
          <w:lang w:val="uk-UA"/>
        </w:rPr>
        <w:t>05</w:t>
      </w:r>
      <w:r w:rsidR="00A75EEB">
        <w:rPr>
          <w:rFonts w:ascii="Times New Roman" w:hAnsi="Times New Roman" w:cs="Times New Roman"/>
          <w:sz w:val="28"/>
          <w:szCs w:val="28"/>
          <w:lang w:val="uk-UA"/>
        </w:rPr>
        <w:t>0</w:t>
      </w:r>
      <w:r w:rsidRPr="009138A3">
        <w:rPr>
          <w:rFonts w:ascii="Times New Roman" w:hAnsi="Times New Roman" w:cs="Times New Roman"/>
          <w:sz w:val="28"/>
          <w:szCs w:val="28"/>
          <w:lang w:val="uk-UA"/>
        </w:rPr>
        <w:t>) .</w:t>
      </w:r>
    </w:p>
    <w:bookmarkEnd w:id="5"/>
    <w:p w14:paraId="00E3E126" w14:textId="77777777" w:rsidR="00725044" w:rsidRPr="00C126D9" w:rsidRDefault="00725044" w:rsidP="00725044">
      <w:pPr>
        <w:spacing w:after="0" w:line="276" w:lineRule="auto"/>
        <w:jc w:val="both"/>
        <w:rPr>
          <w:rFonts w:ascii="Times New Roman" w:hAnsi="Times New Roman" w:cs="Times New Roman"/>
          <w:sz w:val="28"/>
          <w:szCs w:val="28"/>
          <w:lang w:val="uk-UA"/>
        </w:rPr>
      </w:pPr>
    </w:p>
    <w:p w14:paraId="41411671" w14:textId="2EC47A9A" w:rsidR="00725044" w:rsidRPr="00FD44A3" w:rsidRDefault="00880F56" w:rsidP="00FD44A3">
      <w:pPr>
        <w:tabs>
          <w:tab w:val="left" w:pos="993"/>
        </w:tabs>
        <w:spacing w:after="0" w:line="276" w:lineRule="auto"/>
        <w:ind w:firstLine="94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3.2. </w:t>
      </w:r>
      <w:r w:rsidR="00725044" w:rsidRPr="00FD44A3">
        <w:rPr>
          <w:rFonts w:ascii="Times New Roman" w:hAnsi="Times New Roman" w:cs="Times New Roman"/>
          <w:sz w:val="28"/>
          <w:szCs w:val="28"/>
          <w:lang w:val="uk-UA"/>
        </w:rPr>
        <w:t xml:space="preserve"> У розділі ІІ «Інформація про форми оплати електричної енергії» відображається інформація щодо кількості споживачів, які  використовують різні форми оплати електричної енергії (графи 1, 3, 5), та частки таких споживачів (графи 2, 4, 6):</w:t>
      </w:r>
    </w:p>
    <w:p w14:paraId="7906CA42" w14:textId="77777777" w:rsidR="00725044" w:rsidRPr="009138A3" w:rsidRDefault="00725044" w:rsidP="00725044">
      <w:pPr>
        <w:tabs>
          <w:tab w:val="left" w:pos="993"/>
        </w:tabs>
        <w:spacing w:after="0" w:line="276" w:lineRule="auto"/>
        <w:ind w:firstLine="567"/>
        <w:jc w:val="both"/>
        <w:rPr>
          <w:rFonts w:ascii="Times New Roman" w:hAnsi="Times New Roman" w:cs="Times New Roman"/>
          <w:sz w:val="28"/>
          <w:szCs w:val="28"/>
          <w:lang w:val="uk-UA"/>
        </w:rPr>
      </w:pPr>
    </w:p>
    <w:p w14:paraId="148A5026" w14:textId="77777777" w:rsidR="00725044" w:rsidRPr="009138A3" w:rsidRDefault="00725044" w:rsidP="00725044">
      <w:pPr>
        <w:pStyle w:val="a3"/>
        <w:numPr>
          <w:ilvl w:val="0"/>
          <w:numId w:val="4"/>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графах 1 – 2  «Планові платежі» відображається інформація щодо здійснення споживачами відповідно до обраних комерційних пропозицій планових платежів з наступним перерахунком (остаточним розрахунком), що проводиться за фактично відпущену електричну енергію;</w:t>
      </w:r>
    </w:p>
    <w:p w14:paraId="1931732F" w14:textId="77777777" w:rsidR="00725044" w:rsidRPr="009138A3" w:rsidRDefault="00725044" w:rsidP="00725044">
      <w:pPr>
        <w:tabs>
          <w:tab w:val="left" w:pos="993"/>
        </w:tabs>
        <w:spacing w:after="0" w:line="276" w:lineRule="auto"/>
        <w:ind w:firstLine="567"/>
        <w:jc w:val="both"/>
        <w:rPr>
          <w:rFonts w:ascii="Times New Roman" w:hAnsi="Times New Roman" w:cs="Times New Roman"/>
          <w:sz w:val="28"/>
          <w:szCs w:val="28"/>
          <w:lang w:val="uk-UA"/>
        </w:rPr>
      </w:pPr>
    </w:p>
    <w:p w14:paraId="191CA074" w14:textId="77777777" w:rsidR="00725044" w:rsidRPr="009138A3" w:rsidRDefault="00725044" w:rsidP="00725044">
      <w:pPr>
        <w:pStyle w:val="a3"/>
        <w:numPr>
          <w:ilvl w:val="0"/>
          <w:numId w:val="4"/>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графах 3 – 4 «Попередня оплата» відображається інформація щодо здійснення споживачами відповідно до обраних комерційних пропозицій попередньої оплати з остаточним розрахунком, що проводиться за фактично відпущену електричну енергію згідно з даними комерційного обліку;</w:t>
      </w:r>
    </w:p>
    <w:p w14:paraId="7A443577" w14:textId="77777777" w:rsidR="00725044" w:rsidRPr="009138A3" w:rsidRDefault="00725044" w:rsidP="00725044">
      <w:pPr>
        <w:tabs>
          <w:tab w:val="left" w:pos="993"/>
        </w:tabs>
        <w:spacing w:after="0" w:line="276" w:lineRule="auto"/>
        <w:ind w:firstLine="567"/>
        <w:jc w:val="both"/>
        <w:rPr>
          <w:rFonts w:ascii="Times New Roman" w:hAnsi="Times New Roman" w:cs="Times New Roman"/>
          <w:sz w:val="28"/>
          <w:szCs w:val="28"/>
          <w:lang w:val="uk-UA"/>
        </w:rPr>
      </w:pPr>
    </w:p>
    <w:p w14:paraId="25C40055" w14:textId="77777777" w:rsidR="00725044" w:rsidRPr="009138A3" w:rsidRDefault="00725044" w:rsidP="00725044">
      <w:pPr>
        <w:pStyle w:val="a3"/>
        <w:numPr>
          <w:ilvl w:val="0"/>
          <w:numId w:val="4"/>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графах 5 – 6 «За фактично відпущену електричну енергію» відображається інформація щодо здійснення споживачами відповідно до обраних комерційних пропозицій оплати за фактично відпущену електричну енергію відповідно до даних комерційного обліку;</w:t>
      </w:r>
    </w:p>
    <w:p w14:paraId="6B4D7825" w14:textId="77777777" w:rsidR="00725044" w:rsidRPr="009138A3" w:rsidRDefault="00725044" w:rsidP="00725044">
      <w:pPr>
        <w:tabs>
          <w:tab w:val="left" w:pos="993"/>
        </w:tabs>
        <w:spacing w:after="0" w:line="276" w:lineRule="auto"/>
        <w:ind w:firstLine="567"/>
        <w:jc w:val="both"/>
        <w:rPr>
          <w:rFonts w:ascii="Times New Roman" w:hAnsi="Times New Roman" w:cs="Times New Roman"/>
          <w:sz w:val="28"/>
          <w:szCs w:val="28"/>
          <w:lang w:val="uk-UA"/>
        </w:rPr>
      </w:pPr>
    </w:p>
    <w:p w14:paraId="16071749" w14:textId="1A111665" w:rsidR="00725044" w:rsidRPr="009138A3" w:rsidRDefault="00725044" w:rsidP="00725044">
      <w:pPr>
        <w:pStyle w:val="a3"/>
        <w:numPr>
          <w:ilvl w:val="0"/>
          <w:numId w:val="4"/>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у рядку </w:t>
      </w:r>
      <w:r w:rsidR="00A75EEB" w:rsidRPr="009138A3">
        <w:rPr>
          <w:rFonts w:ascii="Times New Roman" w:hAnsi="Times New Roman" w:cs="Times New Roman"/>
          <w:sz w:val="28"/>
          <w:szCs w:val="28"/>
          <w:lang w:val="uk-UA"/>
        </w:rPr>
        <w:t>0</w:t>
      </w:r>
      <w:r w:rsidR="00A75EEB">
        <w:rPr>
          <w:rFonts w:ascii="Times New Roman" w:hAnsi="Times New Roman" w:cs="Times New Roman"/>
          <w:sz w:val="28"/>
          <w:szCs w:val="28"/>
          <w:lang w:val="uk-UA"/>
        </w:rPr>
        <w:t>6</w:t>
      </w:r>
      <w:r w:rsidR="00A75EEB" w:rsidRPr="009138A3">
        <w:rPr>
          <w:rFonts w:ascii="Times New Roman" w:hAnsi="Times New Roman" w:cs="Times New Roman"/>
          <w:sz w:val="28"/>
          <w:szCs w:val="28"/>
          <w:lang w:val="uk-UA"/>
        </w:rPr>
        <w:t xml:space="preserve">5 </w:t>
      </w:r>
      <w:r w:rsidRPr="009138A3">
        <w:rPr>
          <w:rFonts w:ascii="Times New Roman" w:hAnsi="Times New Roman" w:cs="Times New Roman"/>
          <w:sz w:val="28"/>
          <w:szCs w:val="28"/>
          <w:lang w:val="uk-UA"/>
        </w:rPr>
        <w:t>«Кількість споживачів, які використовують форму оплати електричної енергії, у тому числі:» зазначається інформація щодо споживачів, які використовують одну із можливих форм оплати електричної енергії відповідно до умов їх</w:t>
      </w:r>
      <w:r>
        <w:rPr>
          <w:rFonts w:ascii="Times New Roman" w:hAnsi="Times New Roman" w:cs="Times New Roman"/>
          <w:sz w:val="28"/>
          <w:szCs w:val="28"/>
          <w:lang w:val="uk-UA"/>
        </w:rPr>
        <w:t>ніх</w:t>
      </w:r>
      <w:r w:rsidRPr="009138A3">
        <w:rPr>
          <w:rFonts w:ascii="Times New Roman" w:hAnsi="Times New Roman" w:cs="Times New Roman"/>
          <w:sz w:val="28"/>
          <w:szCs w:val="28"/>
          <w:lang w:val="uk-UA"/>
        </w:rPr>
        <w:t xml:space="preserve"> договорів про постачання електричної енергії. Значення рядка </w:t>
      </w:r>
      <w:r w:rsidR="00A75EEB" w:rsidRPr="009138A3">
        <w:rPr>
          <w:rFonts w:ascii="Times New Roman" w:hAnsi="Times New Roman" w:cs="Times New Roman"/>
          <w:sz w:val="28"/>
          <w:szCs w:val="28"/>
          <w:lang w:val="uk-UA"/>
        </w:rPr>
        <w:t>0</w:t>
      </w:r>
      <w:r w:rsidR="00A75EEB">
        <w:rPr>
          <w:rFonts w:ascii="Times New Roman" w:hAnsi="Times New Roman" w:cs="Times New Roman"/>
          <w:sz w:val="28"/>
          <w:szCs w:val="28"/>
          <w:lang w:val="uk-UA"/>
        </w:rPr>
        <w:t>6</w:t>
      </w:r>
      <w:r w:rsidR="00A75EEB" w:rsidRPr="009138A3">
        <w:rPr>
          <w:rFonts w:ascii="Times New Roman" w:hAnsi="Times New Roman" w:cs="Times New Roman"/>
          <w:sz w:val="28"/>
          <w:szCs w:val="28"/>
          <w:lang w:val="uk-UA"/>
        </w:rPr>
        <w:t xml:space="preserve">5 </w:t>
      </w:r>
      <w:r w:rsidRPr="009138A3">
        <w:rPr>
          <w:rFonts w:ascii="Times New Roman" w:hAnsi="Times New Roman" w:cs="Times New Roman"/>
          <w:sz w:val="28"/>
          <w:szCs w:val="28"/>
          <w:lang w:val="uk-UA"/>
        </w:rPr>
        <w:t xml:space="preserve">дорівнює сумі значень рядків </w:t>
      </w:r>
      <w:r w:rsidR="00A75EEB" w:rsidRPr="009138A3">
        <w:rPr>
          <w:rFonts w:ascii="Times New Roman" w:hAnsi="Times New Roman" w:cs="Times New Roman"/>
          <w:sz w:val="28"/>
          <w:szCs w:val="28"/>
          <w:lang w:val="uk-UA"/>
        </w:rPr>
        <w:t>0</w:t>
      </w:r>
      <w:r w:rsidR="00A75EEB">
        <w:rPr>
          <w:rFonts w:ascii="Times New Roman" w:hAnsi="Times New Roman" w:cs="Times New Roman"/>
          <w:sz w:val="28"/>
          <w:szCs w:val="28"/>
          <w:lang w:val="uk-UA"/>
        </w:rPr>
        <w:t>7</w:t>
      </w:r>
      <w:r w:rsidR="00A75EEB" w:rsidRPr="009138A3">
        <w:rPr>
          <w:rFonts w:ascii="Times New Roman" w:hAnsi="Times New Roman" w:cs="Times New Roman"/>
          <w:sz w:val="28"/>
          <w:szCs w:val="28"/>
          <w:lang w:val="uk-UA"/>
        </w:rPr>
        <w:t xml:space="preserve">0 </w:t>
      </w:r>
      <w:r w:rsidRPr="009138A3">
        <w:rPr>
          <w:rFonts w:ascii="Times New Roman" w:hAnsi="Times New Roman" w:cs="Times New Roman"/>
          <w:sz w:val="28"/>
          <w:szCs w:val="28"/>
          <w:lang w:val="uk-UA"/>
        </w:rPr>
        <w:t xml:space="preserve">та </w:t>
      </w:r>
      <w:r w:rsidR="00A75EEB">
        <w:rPr>
          <w:rFonts w:ascii="Times New Roman" w:hAnsi="Times New Roman" w:cs="Times New Roman"/>
          <w:sz w:val="28"/>
          <w:szCs w:val="28"/>
          <w:lang w:val="uk-UA"/>
        </w:rPr>
        <w:t>090</w:t>
      </w:r>
      <w:r w:rsidRPr="009138A3">
        <w:rPr>
          <w:rFonts w:ascii="Times New Roman" w:hAnsi="Times New Roman" w:cs="Times New Roman"/>
          <w:sz w:val="28"/>
          <w:szCs w:val="28"/>
          <w:lang w:val="uk-UA"/>
        </w:rPr>
        <w:t xml:space="preserve">; </w:t>
      </w:r>
    </w:p>
    <w:p w14:paraId="247EDA35" w14:textId="745A760F" w:rsidR="00725044" w:rsidRPr="009138A3" w:rsidRDefault="00725044" w:rsidP="00725044">
      <w:pPr>
        <w:pStyle w:val="a3"/>
        <w:numPr>
          <w:ilvl w:val="0"/>
          <w:numId w:val="4"/>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lastRenderedPageBreak/>
        <w:t xml:space="preserve">у рядку </w:t>
      </w:r>
      <w:r w:rsidR="00A75EEB" w:rsidRPr="009138A3">
        <w:rPr>
          <w:rFonts w:ascii="Times New Roman" w:hAnsi="Times New Roman" w:cs="Times New Roman"/>
          <w:sz w:val="28"/>
          <w:szCs w:val="28"/>
          <w:lang w:val="uk-UA"/>
        </w:rPr>
        <w:t>0</w:t>
      </w:r>
      <w:r w:rsidR="00A75EEB">
        <w:rPr>
          <w:rFonts w:ascii="Times New Roman" w:hAnsi="Times New Roman" w:cs="Times New Roman"/>
          <w:sz w:val="28"/>
          <w:szCs w:val="28"/>
          <w:lang w:val="uk-UA"/>
        </w:rPr>
        <w:t>7</w:t>
      </w:r>
      <w:r w:rsidR="00A75EEB" w:rsidRPr="009138A3">
        <w:rPr>
          <w:rFonts w:ascii="Times New Roman" w:hAnsi="Times New Roman" w:cs="Times New Roman"/>
          <w:sz w:val="28"/>
          <w:szCs w:val="28"/>
          <w:lang w:val="uk-UA"/>
        </w:rPr>
        <w:t xml:space="preserve">0 </w:t>
      </w:r>
      <w:r w:rsidRPr="009138A3">
        <w:rPr>
          <w:rFonts w:ascii="Times New Roman" w:hAnsi="Times New Roman" w:cs="Times New Roman"/>
          <w:sz w:val="28"/>
          <w:szCs w:val="28"/>
          <w:lang w:val="uk-UA"/>
        </w:rPr>
        <w:t>«побутові» зазначається інформація щодо</w:t>
      </w:r>
      <w:r w:rsidRPr="009138A3" w:rsidDel="003B60DB">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 xml:space="preserve">побутових споживачів </w:t>
      </w:r>
      <w:proofErr w:type="spellStart"/>
      <w:r w:rsidRPr="009138A3">
        <w:rPr>
          <w:rFonts w:ascii="Times New Roman" w:hAnsi="Times New Roman" w:cs="Times New Roman"/>
          <w:sz w:val="28"/>
          <w:szCs w:val="28"/>
          <w:lang w:val="uk-UA"/>
        </w:rPr>
        <w:t>електропостачальника</w:t>
      </w:r>
      <w:proofErr w:type="spellEnd"/>
      <w:r w:rsidRPr="009138A3">
        <w:rPr>
          <w:rFonts w:ascii="Times New Roman" w:hAnsi="Times New Roman" w:cs="Times New Roman"/>
          <w:sz w:val="28"/>
          <w:szCs w:val="28"/>
          <w:lang w:val="uk-UA"/>
        </w:rPr>
        <w:t>, які використовують одну із можливих форм оплати електричної енергії відповідно до умов їх</w:t>
      </w:r>
      <w:r>
        <w:rPr>
          <w:rFonts w:ascii="Times New Roman" w:hAnsi="Times New Roman" w:cs="Times New Roman"/>
          <w:sz w:val="28"/>
          <w:szCs w:val="28"/>
          <w:lang w:val="uk-UA"/>
        </w:rPr>
        <w:t>ніх</w:t>
      </w:r>
      <w:r w:rsidRPr="009138A3">
        <w:rPr>
          <w:rFonts w:ascii="Times New Roman" w:hAnsi="Times New Roman" w:cs="Times New Roman"/>
          <w:sz w:val="28"/>
          <w:szCs w:val="28"/>
          <w:lang w:val="uk-UA"/>
        </w:rPr>
        <w:t xml:space="preserve"> договорів про постачання електричної енергії. Значення рядка </w:t>
      </w:r>
      <w:r w:rsidR="00A75EEB" w:rsidRPr="009138A3">
        <w:rPr>
          <w:rFonts w:ascii="Times New Roman" w:hAnsi="Times New Roman" w:cs="Times New Roman"/>
          <w:sz w:val="28"/>
          <w:szCs w:val="28"/>
          <w:lang w:val="uk-UA"/>
        </w:rPr>
        <w:t>0</w:t>
      </w:r>
      <w:r w:rsidR="00A75EEB">
        <w:rPr>
          <w:rFonts w:ascii="Times New Roman" w:hAnsi="Times New Roman" w:cs="Times New Roman"/>
          <w:sz w:val="28"/>
          <w:szCs w:val="28"/>
          <w:lang w:val="uk-UA"/>
        </w:rPr>
        <w:t>7</w:t>
      </w:r>
      <w:r w:rsidR="00A75EEB" w:rsidRPr="009138A3">
        <w:rPr>
          <w:rFonts w:ascii="Times New Roman" w:hAnsi="Times New Roman" w:cs="Times New Roman"/>
          <w:sz w:val="28"/>
          <w:szCs w:val="28"/>
          <w:lang w:val="uk-UA"/>
        </w:rPr>
        <w:t xml:space="preserve">0 </w:t>
      </w:r>
      <w:r w:rsidRPr="009138A3">
        <w:rPr>
          <w:rFonts w:ascii="Times New Roman" w:hAnsi="Times New Roman" w:cs="Times New Roman"/>
          <w:sz w:val="28"/>
          <w:szCs w:val="28"/>
          <w:lang w:val="uk-UA"/>
        </w:rPr>
        <w:t xml:space="preserve">дорівнює сумі значень рядків </w:t>
      </w:r>
      <w:r w:rsidR="00A75EEB" w:rsidRPr="009138A3">
        <w:rPr>
          <w:rFonts w:ascii="Times New Roman" w:hAnsi="Times New Roman" w:cs="Times New Roman"/>
          <w:sz w:val="28"/>
          <w:szCs w:val="28"/>
          <w:lang w:val="uk-UA"/>
        </w:rPr>
        <w:t>0</w:t>
      </w:r>
      <w:r w:rsidR="00A75EEB">
        <w:rPr>
          <w:rFonts w:ascii="Times New Roman" w:hAnsi="Times New Roman" w:cs="Times New Roman"/>
          <w:sz w:val="28"/>
          <w:szCs w:val="28"/>
          <w:lang w:val="uk-UA"/>
        </w:rPr>
        <w:t>7</w:t>
      </w:r>
      <w:r w:rsidR="00A75EEB" w:rsidRPr="009138A3">
        <w:rPr>
          <w:rFonts w:ascii="Times New Roman" w:hAnsi="Times New Roman" w:cs="Times New Roman"/>
          <w:sz w:val="28"/>
          <w:szCs w:val="28"/>
          <w:lang w:val="uk-UA"/>
        </w:rPr>
        <w:t xml:space="preserve">5 </w:t>
      </w:r>
      <w:r w:rsidRPr="009138A3">
        <w:rPr>
          <w:rFonts w:ascii="Times New Roman" w:hAnsi="Times New Roman" w:cs="Times New Roman"/>
          <w:sz w:val="28"/>
          <w:szCs w:val="28"/>
          <w:lang w:val="uk-UA"/>
        </w:rPr>
        <w:t xml:space="preserve">та </w:t>
      </w:r>
      <w:r w:rsidR="00A75EEB" w:rsidRPr="009138A3">
        <w:rPr>
          <w:rFonts w:ascii="Times New Roman" w:hAnsi="Times New Roman" w:cs="Times New Roman"/>
          <w:sz w:val="28"/>
          <w:szCs w:val="28"/>
          <w:lang w:val="uk-UA"/>
        </w:rPr>
        <w:t>0</w:t>
      </w:r>
      <w:r w:rsidR="00A75EEB">
        <w:rPr>
          <w:rFonts w:ascii="Times New Roman" w:hAnsi="Times New Roman" w:cs="Times New Roman"/>
          <w:sz w:val="28"/>
          <w:szCs w:val="28"/>
          <w:lang w:val="uk-UA"/>
        </w:rPr>
        <w:t>8</w:t>
      </w:r>
      <w:r w:rsidR="00A75EEB" w:rsidRPr="009138A3">
        <w:rPr>
          <w:rFonts w:ascii="Times New Roman" w:hAnsi="Times New Roman" w:cs="Times New Roman"/>
          <w:sz w:val="28"/>
          <w:szCs w:val="28"/>
          <w:lang w:val="uk-UA"/>
        </w:rPr>
        <w:t>5</w:t>
      </w:r>
      <w:r w:rsidRPr="009138A3">
        <w:rPr>
          <w:rFonts w:ascii="Times New Roman" w:hAnsi="Times New Roman" w:cs="Times New Roman"/>
          <w:sz w:val="28"/>
          <w:szCs w:val="28"/>
          <w:lang w:val="uk-UA"/>
        </w:rPr>
        <w:t>;</w:t>
      </w:r>
    </w:p>
    <w:p w14:paraId="3185F826" w14:textId="77777777" w:rsidR="00725044" w:rsidRPr="009138A3" w:rsidRDefault="00725044" w:rsidP="00725044">
      <w:pPr>
        <w:tabs>
          <w:tab w:val="left" w:pos="993"/>
        </w:tabs>
        <w:spacing w:after="0" w:line="276" w:lineRule="auto"/>
        <w:ind w:firstLine="567"/>
        <w:jc w:val="both"/>
        <w:rPr>
          <w:rFonts w:ascii="Times New Roman" w:hAnsi="Times New Roman" w:cs="Times New Roman"/>
          <w:sz w:val="28"/>
          <w:szCs w:val="28"/>
          <w:lang w:val="uk-UA"/>
        </w:rPr>
      </w:pPr>
    </w:p>
    <w:p w14:paraId="7B8D9BEC" w14:textId="610EC2C3" w:rsidR="00725044" w:rsidRPr="009138A3" w:rsidRDefault="00725044" w:rsidP="00725044">
      <w:pPr>
        <w:pStyle w:val="a3"/>
        <w:numPr>
          <w:ilvl w:val="0"/>
          <w:numId w:val="4"/>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у рядку </w:t>
      </w:r>
      <w:r w:rsidR="00A75EEB" w:rsidRPr="009138A3">
        <w:rPr>
          <w:rFonts w:ascii="Times New Roman" w:hAnsi="Times New Roman" w:cs="Times New Roman"/>
          <w:sz w:val="28"/>
          <w:szCs w:val="28"/>
          <w:lang w:val="uk-UA"/>
        </w:rPr>
        <w:t>0</w:t>
      </w:r>
      <w:r w:rsidR="00A75EEB">
        <w:rPr>
          <w:rFonts w:ascii="Times New Roman" w:hAnsi="Times New Roman" w:cs="Times New Roman"/>
          <w:sz w:val="28"/>
          <w:szCs w:val="28"/>
          <w:lang w:val="uk-UA"/>
        </w:rPr>
        <w:t>7</w:t>
      </w:r>
      <w:r w:rsidR="00A75EEB" w:rsidRPr="009138A3">
        <w:rPr>
          <w:rFonts w:ascii="Times New Roman" w:hAnsi="Times New Roman" w:cs="Times New Roman"/>
          <w:sz w:val="28"/>
          <w:szCs w:val="28"/>
          <w:lang w:val="uk-UA"/>
        </w:rPr>
        <w:t xml:space="preserve">5 </w:t>
      </w:r>
      <w:r w:rsidRPr="00C126D9">
        <w:rPr>
          <w:rFonts w:ascii="Times New Roman" w:hAnsi="Times New Roman" w:cs="Times New Roman"/>
          <w:sz w:val="28"/>
          <w:szCs w:val="28"/>
          <w:lang w:val="uk-UA"/>
        </w:rPr>
        <w:t>«</w:t>
      </w:r>
      <w:r w:rsidRPr="009138A3">
        <w:rPr>
          <w:rFonts w:ascii="Times New Roman" w:hAnsi="Times New Roman" w:cs="Times New Roman"/>
          <w:sz w:val="28"/>
          <w:szCs w:val="28"/>
          <w:lang w:val="uk-UA"/>
        </w:rPr>
        <w:t>індивідуальні» зазначається інформація щодо</w:t>
      </w:r>
      <w:r w:rsidRPr="009138A3" w:rsidDel="003B60DB">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 xml:space="preserve">індивідуальних побутових споживачів </w:t>
      </w:r>
      <w:proofErr w:type="spellStart"/>
      <w:r w:rsidRPr="009138A3">
        <w:rPr>
          <w:rFonts w:ascii="Times New Roman" w:hAnsi="Times New Roman" w:cs="Times New Roman"/>
          <w:sz w:val="28"/>
          <w:szCs w:val="28"/>
          <w:lang w:val="uk-UA"/>
        </w:rPr>
        <w:t>електропостачальника</w:t>
      </w:r>
      <w:proofErr w:type="spellEnd"/>
      <w:r w:rsidRPr="009138A3">
        <w:rPr>
          <w:rFonts w:ascii="Times New Roman" w:hAnsi="Times New Roman" w:cs="Times New Roman"/>
          <w:sz w:val="28"/>
          <w:szCs w:val="28"/>
          <w:lang w:val="uk-UA"/>
        </w:rPr>
        <w:t>, які використовують одну із можливих форм оплати електричної енергії відповідно до умов їх</w:t>
      </w:r>
      <w:r>
        <w:rPr>
          <w:rFonts w:ascii="Times New Roman" w:hAnsi="Times New Roman" w:cs="Times New Roman"/>
          <w:sz w:val="28"/>
          <w:szCs w:val="28"/>
          <w:lang w:val="uk-UA"/>
        </w:rPr>
        <w:t>ніх</w:t>
      </w:r>
      <w:r w:rsidRPr="009138A3">
        <w:rPr>
          <w:rFonts w:ascii="Times New Roman" w:hAnsi="Times New Roman" w:cs="Times New Roman"/>
          <w:sz w:val="28"/>
          <w:szCs w:val="28"/>
          <w:lang w:val="uk-UA"/>
        </w:rPr>
        <w:t xml:space="preserve"> договорів про постачання електричної енергії, у тому числі вразливих (рядок </w:t>
      </w:r>
      <w:r w:rsidR="00A75EEB" w:rsidRPr="009138A3">
        <w:rPr>
          <w:rFonts w:ascii="Times New Roman" w:hAnsi="Times New Roman" w:cs="Times New Roman"/>
          <w:sz w:val="28"/>
          <w:szCs w:val="28"/>
          <w:lang w:val="uk-UA"/>
        </w:rPr>
        <w:t>0</w:t>
      </w:r>
      <w:r w:rsidR="00A75EEB">
        <w:rPr>
          <w:rFonts w:ascii="Times New Roman" w:hAnsi="Times New Roman" w:cs="Times New Roman"/>
          <w:sz w:val="28"/>
          <w:szCs w:val="28"/>
          <w:lang w:val="uk-UA"/>
        </w:rPr>
        <w:t>8</w:t>
      </w:r>
      <w:r w:rsidR="00A75EEB" w:rsidRPr="009138A3">
        <w:rPr>
          <w:rFonts w:ascii="Times New Roman" w:hAnsi="Times New Roman" w:cs="Times New Roman"/>
          <w:sz w:val="28"/>
          <w:szCs w:val="28"/>
          <w:lang w:val="uk-UA"/>
        </w:rPr>
        <w:t>0</w:t>
      </w:r>
      <w:r w:rsidRPr="009138A3">
        <w:rPr>
          <w:rFonts w:ascii="Times New Roman" w:hAnsi="Times New Roman" w:cs="Times New Roman"/>
          <w:sz w:val="28"/>
          <w:szCs w:val="28"/>
          <w:lang w:val="uk-UA"/>
        </w:rPr>
        <w:t>) побутових споживачів;</w:t>
      </w:r>
    </w:p>
    <w:p w14:paraId="02A3AFF0" w14:textId="77777777" w:rsidR="00725044" w:rsidRPr="00C126D9" w:rsidRDefault="00725044" w:rsidP="00725044">
      <w:pPr>
        <w:tabs>
          <w:tab w:val="left" w:pos="993"/>
        </w:tabs>
        <w:spacing w:after="0" w:line="276" w:lineRule="auto"/>
        <w:ind w:firstLine="567"/>
        <w:jc w:val="both"/>
        <w:rPr>
          <w:rFonts w:ascii="Times New Roman" w:hAnsi="Times New Roman" w:cs="Times New Roman"/>
          <w:sz w:val="28"/>
          <w:szCs w:val="28"/>
          <w:lang w:val="uk-UA"/>
        </w:rPr>
      </w:pPr>
    </w:p>
    <w:p w14:paraId="5CA13FC3" w14:textId="0E529333" w:rsidR="00725044" w:rsidRPr="009138A3" w:rsidRDefault="00725044" w:rsidP="00725044">
      <w:pPr>
        <w:pStyle w:val="a3"/>
        <w:numPr>
          <w:ilvl w:val="0"/>
          <w:numId w:val="4"/>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у рядку </w:t>
      </w:r>
      <w:r w:rsidR="00A75EEB" w:rsidRPr="009138A3">
        <w:rPr>
          <w:rFonts w:ascii="Times New Roman" w:hAnsi="Times New Roman" w:cs="Times New Roman"/>
          <w:sz w:val="28"/>
          <w:szCs w:val="28"/>
          <w:lang w:val="uk-UA"/>
        </w:rPr>
        <w:t>0</w:t>
      </w:r>
      <w:r w:rsidR="00A75EEB">
        <w:rPr>
          <w:rFonts w:ascii="Times New Roman" w:hAnsi="Times New Roman" w:cs="Times New Roman"/>
          <w:sz w:val="28"/>
          <w:szCs w:val="28"/>
          <w:lang w:val="uk-UA"/>
        </w:rPr>
        <w:t>8</w:t>
      </w:r>
      <w:r w:rsidR="00A75EEB" w:rsidRPr="009138A3">
        <w:rPr>
          <w:rFonts w:ascii="Times New Roman" w:hAnsi="Times New Roman" w:cs="Times New Roman"/>
          <w:sz w:val="28"/>
          <w:szCs w:val="28"/>
          <w:lang w:val="uk-UA"/>
        </w:rPr>
        <w:t xml:space="preserve">5 </w:t>
      </w:r>
      <w:r w:rsidRPr="009138A3">
        <w:rPr>
          <w:rFonts w:ascii="Times New Roman" w:hAnsi="Times New Roman" w:cs="Times New Roman"/>
          <w:sz w:val="28"/>
          <w:szCs w:val="28"/>
          <w:lang w:val="uk-UA"/>
        </w:rPr>
        <w:t>«колективні» зазначається інформація щодо</w:t>
      </w:r>
      <w:r w:rsidRPr="009138A3" w:rsidDel="003B60DB">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 xml:space="preserve">колективних побутових споживачів </w:t>
      </w:r>
      <w:proofErr w:type="spellStart"/>
      <w:r w:rsidRPr="009138A3">
        <w:rPr>
          <w:rFonts w:ascii="Times New Roman" w:hAnsi="Times New Roman" w:cs="Times New Roman"/>
          <w:sz w:val="28"/>
          <w:szCs w:val="28"/>
          <w:lang w:val="uk-UA"/>
        </w:rPr>
        <w:t>електропостачальника</w:t>
      </w:r>
      <w:proofErr w:type="spellEnd"/>
      <w:r w:rsidRPr="009138A3">
        <w:rPr>
          <w:rFonts w:ascii="Times New Roman" w:hAnsi="Times New Roman" w:cs="Times New Roman"/>
          <w:sz w:val="28"/>
          <w:szCs w:val="28"/>
          <w:lang w:val="uk-UA"/>
        </w:rPr>
        <w:t>, які використовують одну із можливих форм оплати електричної енергії відповідно до умов їх</w:t>
      </w:r>
      <w:r>
        <w:rPr>
          <w:rFonts w:ascii="Times New Roman" w:hAnsi="Times New Roman" w:cs="Times New Roman"/>
          <w:sz w:val="28"/>
          <w:szCs w:val="28"/>
          <w:lang w:val="uk-UA"/>
        </w:rPr>
        <w:t>ніх</w:t>
      </w:r>
      <w:r w:rsidRPr="009138A3">
        <w:rPr>
          <w:rFonts w:ascii="Times New Roman" w:hAnsi="Times New Roman" w:cs="Times New Roman"/>
          <w:sz w:val="28"/>
          <w:szCs w:val="28"/>
          <w:lang w:val="uk-UA"/>
        </w:rPr>
        <w:t xml:space="preserve"> договорів про постачання електричної енергії;</w:t>
      </w:r>
    </w:p>
    <w:p w14:paraId="3117F0D0" w14:textId="77777777" w:rsidR="00725044" w:rsidRPr="009138A3" w:rsidRDefault="00725044" w:rsidP="00725044">
      <w:pPr>
        <w:tabs>
          <w:tab w:val="left" w:pos="993"/>
        </w:tabs>
        <w:spacing w:after="0" w:line="276" w:lineRule="auto"/>
        <w:ind w:firstLine="567"/>
        <w:jc w:val="both"/>
        <w:rPr>
          <w:rFonts w:ascii="Times New Roman" w:hAnsi="Times New Roman" w:cs="Times New Roman"/>
          <w:sz w:val="28"/>
          <w:szCs w:val="28"/>
          <w:lang w:val="uk-UA"/>
        </w:rPr>
      </w:pPr>
    </w:p>
    <w:p w14:paraId="7E7E254A" w14:textId="1A4CCEDB" w:rsidR="00725044" w:rsidRPr="009138A3" w:rsidRDefault="00725044" w:rsidP="00725044">
      <w:pPr>
        <w:pStyle w:val="a3"/>
        <w:numPr>
          <w:ilvl w:val="0"/>
          <w:numId w:val="4"/>
        </w:numPr>
        <w:tabs>
          <w:tab w:val="left" w:pos="993"/>
        </w:tabs>
        <w:spacing w:after="0" w:line="276" w:lineRule="auto"/>
        <w:ind w:left="0" w:firstLine="567"/>
        <w:jc w:val="both"/>
        <w:rPr>
          <w:rFonts w:ascii="Times New Roman" w:hAnsi="Times New Roman" w:cs="Times New Roman"/>
          <w:sz w:val="28"/>
          <w:szCs w:val="28"/>
          <w:lang w:val="uk-UA"/>
        </w:rPr>
      </w:pPr>
      <w:bookmarkStart w:id="6" w:name="_Hlk59021043"/>
      <w:r w:rsidRPr="009138A3">
        <w:rPr>
          <w:rFonts w:ascii="Times New Roman" w:hAnsi="Times New Roman" w:cs="Times New Roman"/>
          <w:sz w:val="28"/>
          <w:szCs w:val="28"/>
          <w:lang w:val="uk-UA"/>
        </w:rPr>
        <w:t xml:space="preserve">у рядку </w:t>
      </w:r>
      <w:r w:rsidR="00A75EEB">
        <w:rPr>
          <w:rFonts w:ascii="Times New Roman" w:hAnsi="Times New Roman" w:cs="Times New Roman"/>
          <w:sz w:val="28"/>
          <w:szCs w:val="28"/>
          <w:lang w:val="uk-UA"/>
        </w:rPr>
        <w:t>090</w:t>
      </w:r>
      <w:r w:rsidR="00A75EEB" w:rsidRPr="009138A3">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«непобутові у т. ч.:» зазначається інформація щодо</w:t>
      </w:r>
      <w:r w:rsidRPr="009138A3" w:rsidDel="003B60DB">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 xml:space="preserve">непобутових споживачів </w:t>
      </w:r>
      <w:proofErr w:type="spellStart"/>
      <w:r w:rsidRPr="009138A3">
        <w:rPr>
          <w:rFonts w:ascii="Times New Roman" w:hAnsi="Times New Roman" w:cs="Times New Roman"/>
          <w:sz w:val="28"/>
          <w:szCs w:val="28"/>
          <w:lang w:val="uk-UA"/>
        </w:rPr>
        <w:t>електропостачальника</w:t>
      </w:r>
      <w:proofErr w:type="spellEnd"/>
      <w:r w:rsidRPr="009138A3">
        <w:rPr>
          <w:rFonts w:ascii="Times New Roman" w:hAnsi="Times New Roman" w:cs="Times New Roman"/>
          <w:sz w:val="28"/>
          <w:szCs w:val="28"/>
          <w:lang w:val="uk-UA"/>
        </w:rPr>
        <w:t>, які використовують одну із можливих форм оплати електричної енергії відповідно до умов їх</w:t>
      </w:r>
      <w:r>
        <w:rPr>
          <w:rFonts w:ascii="Times New Roman" w:hAnsi="Times New Roman" w:cs="Times New Roman"/>
          <w:sz w:val="28"/>
          <w:szCs w:val="28"/>
          <w:lang w:val="uk-UA"/>
        </w:rPr>
        <w:t>ніх</w:t>
      </w:r>
      <w:r w:rsidRPr="009138A3">
        <w:rPr>
          <w:rFonts w:ascii="Times New Roman" w:hAnsi="Times New Roman" w:cs="Times New Roman"/>
          <w:sz w:val="28"/>
          <w:szCs w:val="28"/>
          <w:lang w:val="uk-UA"/>
        </w:rPr>
        <w:t xml:space="preserve"> договорів про постачання електричної енергії, у тому числі малих непобутових</w:t>
      </w:r>
      <w:r>
        <w:rPr>
          <w:rFonts w:ascii="Times New Roman" w:hAnsi="Times New Roman" w:cs="Times New Roman"/>
          <w:sz w:val="28"/>
          <w:szCs w:val="28"/>
          <w:lang w:val="uk-UA"/>
        </w:rPr>
        <w:t xml:space="preserve"> споживачів</w:t>
      </w:r>
      <w:r w:rsidRPr="009138A3">
        <w:rPr>
          <w:rFonts w:ascii="Times New Roman" w:hAnsi="Times New Roman" w:cs="Times New Roman"/>
          <w:sz w:val="28"/>
          <w:szCs w:val="28"/>
          <w:lang w:val="uk-UA"/>
        </w:rPr>
        <w:t xml:space="preserve"> (рядок </w:t>
      </w:r>
      <w:r w:rsidR="00A75EEB">
        <w:rPr>
          <w:rFonts w:ascii="Times New Roman" w:hAnsi="Times New Roman" w:cs="Times New Roman"/>
          <w:sz w:val="28"/>
          <w:szCs w:val="28"/>
          <w:lang w:val="uk-UA"/>
        </w:rPr>
        <w:t>09</w:t>
      </w:r>
      <w:r w:rsidR="00A75EEB" w:rsidRPr="009138A3">
        <w:rPr>
          <w:rFonts w:ascii="Times New Roman" w:hAnsi="Times New Roman" w:cs="Times New Roman"/>
          <w:sz w:val="28"/>
          <w:szCs w:val="28"/>
          <w:lang w:val="uk-UA"/>
        </w:rPr>
        <w:t>5</w:t>
      </w:r>
      <w:r w:rsidRPr="009138A3">
        <w:rPr>
          <w:rFonts w:ascii="Times New Roman" w:hAnsi="Times New Roman" w:cs="Times New Roman"/>
          <w:sz w:val="28"/>
          <w:szCs w:val="28"/>
          <w:lang w:val="uk-UA"/>
        </w:rPr>
        <w:t xml:space="preserve">), з них бюджетних установ (рядок </w:t>
      </w:r>
      <w:r w:rsidR="00A75EEB" w:rsidRPr="009138A3">
        <w:rPr>
          <w:rFonts w:ascii="Times New Roman" w:hAnsi="Times New Roman" w:cs="Times New Roman"/>
          <w:sz w:val="28"/>
          <w:szCs w:val="28"/>
          <w:lang w:val="uk-UA"/>
        </w:rPr>
        <w:t>1</w:t>
      </w:r>
      <w:r w:rsidR="00A75EEB">
        <w:rPr>
          <w:rFonts w:ascii="Times New Roman" w:hAnsi="Times New Roman" w:cs="Times New Roman"/>
          <w:sz w:val="28"/>
          <w:szCs w:val="28"/>
          <w:lang w:val="uk-UA"/>
        </w:rPr>
        <w:t>0</w:t>
      </w:r>
      <w:r w:rsidR="00A75EEB" w:rsidRPr="009138A3">
        <w:rPr>
          <w:rFonts w:ascii="Times New Roman" w:hAnsi="Times New Roman" w:cs="Times New Roman"/>
          <w:sz w:val="28"/>
          <w:szCs w:val="28"/>
          <w:lang w:val="uk-UA"/>
        </w:rPr>
        <w:t>5</w:t>
      </w:r>
      <w:r w:rsidRPr="009138A3">
        <w:rPr>
          <w:rFonts w:ascii="Times New Roman" w:hAnsi="Times New Roman" w:cs="Times New Roman"/>
          <w:sz w:val="28"/>
          <w:szCs w:val="28"/>
          <w:lang w:val="uk-UA"/>
        </w:rPr>
        <w:t xml:space="preserve">), </w:t>
      </w:r>
      <w:r w:rsidR="00A75EEB">
        <w:rPr>
          <w:rFonts w:ascii="Times New Roman" w:hAnsi="Times New Roman" w:cs="Times New Roman"/>
          <w:sz w:val="28"/>
          <w:szCs w:val="28"/>
          <w:lang w:val="uk-UA"/>
        </w:rPr>
        <w:t>0</w:t>
      </w:r>
      <w:r w:rsidRPr="009138A3">
        <w:rPr>
          <w:rFonts w:ascii="Times New Roman" w:hAnsi="Times New Roman" w:cs="Times New Roman"/>
          <w:sz w:val="28"/>
          <w:szCs w:val="28"/>
          <w:lang w:val="uk-UA"/>
        </w:rPr>
        <w:t xml:space="preserve"> </w:t>
      </w:r>
      <w:r w:rsidR="00D16B63">
        <w:rPr>
          <w:rFonts w:ascii="Times New Roman" w:hAnsi="Times New Roman" w:cs="Times New Roman"/>
          <w:sz w:val="28"/>
          <w:szCs w:val="28"/>
          <w:lang w:val="uk-UA"/>
        </w:rPr>
        <w:t>;</w:t>
      </w:r>
    </w:p>
    <w:bookmarkEnd w:id="6"/>
    <w:p w14:paraId="48697DE5" w14:textId="77777777" w:rsidR="00725044" w:rsidRPr="00C126D9" w:rsidRDefault="00725044" w:rsidP="00725044">
      <w:pPr>
        <w:tabs>
          <w:tab w:val="left" w:pos="993"/>
        </w:tabs>
        <w:spacing w:after="0" w:line="276" w:lineRule="auto"/>
        <w:ind w:firstLine="567"/>
        <w:jc w:val="both"/>
        <w:rPr>
          <w:rFonts w:ascii="Times New Roman" w:hAnsi="Times New Roman" w:cs="Times New Roman"/>
          <w:sz w:val="28"/>
          <w:szCs w:val="28"/>
          <w:lang w:val="uk-UA"/>
        </w:rPr>
      </w:pPr>
    </w:p>
    <w:p w14:paraId="120F9755" w14:textId="1893370A" w:rsidR="00725044" w:rsidRPr="009138A3" w:rsidRDefault="00725044" w:rsidP="00725044">
      <w:pPr>
        <w:pStyle w:val="a3"/>
        <w:numPr>
          <w:ilvl w:val="0"/>
          <w:numId w:val="4"/>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у рядку </w:t>
      </w:r>
      <w:r w:rsidR="00A75EEB" w:rsidRPr="009138A3">
        <w:rPr>
          <w:rFonts w:ascii="Times New Roman" w:hAnsi="Times New Roman" w:cs="Times New Roman"/>
          <w:sz w:val="28"/>
          <w:szCs w:val="28"/>
          <w:lang w:val="uk-UA"/>
        </w:rPr>
        <w:t>1</w:t>
      </w:r>
      <w:r w:rsidR="00A75EEB">
        <w:rPr>
          <w:rFonts w:ascii="Times New Roman" w:hAnsi="Times New Roman" w:cs="Times New Roman"/>
          <w:sz w:val="28"/>
          <w:szCs w:val="28"/>
          <w:lang w:val="uk-UA"/>
        </w:rPr>
        <w:t>1</w:t>
      </w:r>
      <w:r w:rsidR="00A75EEB" w:rsidRPr="009138A3">
        <w:rPr>
          <w:rFonts w:ascii="Times New Roman" w:hAnsi="Times New Roman" w:cs="Times New Roman"/>
          <w:sz w:val="28"/>
          <w:szCs w:val="28"/>
          <w:lang w:val="uk-UA"/>
        </w:rPr>
        <w:t xml:space="preserve">5 </w:t>
      </w:r>
      <w:r w:rsidRPr="009138A3">
        <w:rPr>
          <w:rFonts w:ascii="Times New Roman" w:hAnsi="Times New Roman" w:cs="Times New Roman"/>
          <w:sz w:val="28"/>
          <w:szCs w:val="28"/>
          <w:lang w:val="uk-UA"/>
        </w:rPr>
        <w:t>«Кількість споживачів, які використовують картки попередньої оплати» відображається інформація щодо</w:t>
      </w:r>
      <w:r w:rsidRPr="009138A3" w:rsidDel="003B60DB">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споживачів, які застосовують картки попередньої оплати (за наявності відповідного устаткування).</w:t>
      </w:r>
    </w:p>
    <w:p w14:paraId="7B2D42E2" w14:textId="77777777" w:rsidR="00725044" w:rsidRPr="009138A3" w:rsidRDefault="00725044" w:rsidP="00FD44A3">
      <w:pPr>
        <w:tabs>
          <w:tab w:val="left" w:pos="0"/>
        </w:tabs>
        <w:spacing w:after="0" w:line="276" w:lineRule="auto"/>
        <w:ind w:firstLine="142"/>
        <w:jc w:val="both"/>
        <w:rPr>
          <w:rFonts w:ascii="Times New Roman" w:hAnsi="Times New Roman" w:cs="Times New Roman"/>
          <w:sz w:val="28"/>
          <w:szCs w:val="28"/>
          <w:lang w:val="uk-UA"/>
        </w:rPr>
      </w:pPr>
    </w:p>
    <w:p w14:paraId="19E27EAF" w14:textId="77777777" w:rsidR="00452141" w:rsidRPr="00452141" w:rsidRDefault="00452141" w:rsidP="00452141">
      <w:pPr>
        <w:tabs>
          <w:tab w:val="left" w:pos="993"/>
        </w:tabs>
        <w:spacing w:after="0" w:line="276" w:lineRule="auto"/>
        <w:ind w:firstLine="426"/>
        <w:jc w:val="both"/>
        <w:rPr>
          <w:rFonts w:ascii="Times New Roman" w:hAnsi="Times New Roman" w:cs="Times New Roman"/>
          <w:sz w:val="28"/>
          <w:szCs w:val="28"/>
          <w:lang w:val="uk-UA"/>
        </w:rPr>
      </w:pPr>
      <w:r w:rsidRPr="00452141">
        <w:rPr>
          <w:rFonts w:ascii="Times New Roman" w:hAnsi="Times New Roman" w:cs="Times New Roman"/>
          <w:sz w:val="28"/>
          <w:szCs w:val="28"/>
          <w:lang w:val="uk-UA"/>
        </w:rPr>
        <w:t xml:space="preserve">3.3. У розділі ІІІ «Обсяг та вартість закупівлі електричної енергії за «зеленим» тарифом та механізмом </w:t>
      </w:r>
      <w:proofErr w:type="spellStart"/>
      <w:r w:rsidRPr="00452141">
        <w:rPr>
          <w:rFonts w:ascii="Times New Roman" w:hAnsi="Times New Roman" w:cs="Times New Roman"/>
          <w:sz w:val="28"/>
          <w:szCs w:val="28"/>
          <w:lang w:val="uk-UA"/>
        </w:rPr>
        <w:t>самовиробництва</w:t>
      </w:r>
      <w:proofErr w:type="spellEnd"/>
      <w:r w:rsidRPr="00452141">
        <w:rPr>
          <w:rFonts w:ascii="Times New Roman" w:hAnsi="Times New Roman" w:cs="Times New Roman"/>
          <w:sz w:val="28"/>
          <w:szCs w:val="28"/>
          <w:lang w:val="uk-UA"/>
        </w:rPr>
        <w:t xml:space="preserve">» відображається інформація щодо купівлі електричної енергії за договорами купівлю-продаж електричної енергії за «зеленим» тарифом та про купівлю-продаж електричної енергії за механізмом </w:t>
      </w:r>
      <w:proofErr w:type="spellStart"/>
      <w:r w:rsidRPr="00452141">
        <w:rPr>
          <w:rFonts w:ascii="Times New Roman" w:hAnsi="Times New Roman" w:cs="Times New Roman"/>
          <w:sz w:val="28"/>
          <w:szCs w:val="28"/>
          <w:lang w:val="uk-UA"/>
        </w:rPr>
        <w:t>самовиробництва</w:t>
      </w:r>
      <w:proofErr w:type="spellEnd"/>
      <w:r w:rsidRPr="00452141">
        <w:rPr>
          <w:rFonts w:ascii="Times New Roman" w:hAnsi="Times New Roman" w:cs="Times New Roman"/>
          <w:sz w:val="28"/>
          <w:szCs w:val="28"/>
          <w:lang w:val="uk-UA"/>
        </w:rPr>
        <w:t xml:space="preserve"> в рамках договору про постачання електричної енергії постачальником універсальних послуг:</w:t>
      </w:r>
    </w:p>
    <w:p w14:paraId="2122B620" w14:textId="77777777" w:rsidR="00452141" w:rsidRPr="00452141" w:rsidRDefault="00452141" w:rsidP="00452141">
      <w:pPr>
        <w:tabs>
          <w:tab w:val="left" w:pos="993"/>
        </w:tabs>
        <w:spacing w:after="0" w:line="276" w:lineRule="auto"/>
        <w:ind w:firstLine="426"/>
        <w:jc w:val="both"/>
        <w:rPr>
          <w:rFonts w:ascii="Times New Roman" w:hAnsi="Times New Roman" w:cs="Times New Roman"/>
          <w:sz w:val="28"/>
          <w:szCs w:val="28"/>
          <w:lang w:val="uk-UA"/>
        </w:rPr>
      </w:pPr>
    </w:p>
    <w:p w14:paraId="4BB1BD18" w14:textId="77777777" w:rsidR="00452141" w:rsidRPr="00452141" w:rsidRDefault="00452141" w:rsidP="00452141">
      <w:pPr>
        <w:tabs>
          <w:tab w:val="left" w:pos="993"/>
        </w:tabs>
        <w:spacing w:after="0" w:line="276" w:lineRule="auto"/>
        <w:ind w:firstLine="426"/>
        <w:jc w:val="both"/>
        <w:rPr>
          <w:rFonts w:ascii="Times New Roman" w:hAnsi="Times New Roman" w:cs="Times New Roman"/>
          <w:sz w:val="28"/>
          <w:szCs w:val="28"/>
          <w:lang w:val="uk-UA"/>
        </w:rPr>
      </w:pPr>
      <w:r w:rsidRPr="00452141">
        <w:rPr>
          <w:rFonts w:ascii="Times New Roman" w:hAnsi="Times New Roman" w:cs="Times New Roman"/>
          <w:sz w:val="28"/>
          <w:szCs w:val="28"/>
          <w:lang w:val="uk-UA"/>
        </w:rPr>
        <w:t>1) у графі 1 «Усього» відображається сумарна інформація;</w:t>
      </w:r>
    </w:p>
    <w:p w14:paraId="7CB028E4" w14:textId="77777777" w:rsidR="00452141" w:rsidRPr="00452141" w:rsidRDefault="00452141" w:rsidP="00452141">
      <w:pPr>
        <w:tabs>
          <w:tab w:val="left" w:pos="993"/>
        </w:tabs>
        <w:spacing w:after="0" w:line="276" w:lineRule="auto"/>
        <w:ind w:firstLine="426"/>
        <w:jc w:val="both"/>
        <w:rPr>
          <w:rFonts w:ascii="Times New Roman" w:hAnsi="Times New Roman" w:cs="Times New Roman"/>
          <w:sz w:val="28"/>
          <w:szCs w:val="28"/>
          <w:lang w:val="uk-UA"/>
        </w:rPr>
      </w:pPr>
    </w:p>
    <w:p w14:paraId="0D1DB79B" w14:textId="77777777" w:rsidR="00452141" w:rsidRPr="00452141" w:rsidRDefault="00452141" w:rsidP="00452141">
      <w:pPr>
        <w:tabs>
          <w:tab w:val="left" w:pos="993"/>
        </w:tabs>
        <w:spacing w:after="0" w:line="276" w:lineRule="auto"/>
        <w:ind w:firstLine="426"/>
        <w:jc w:val="both"/>
        <w:rPr>
          <w:rFonts w:ascii="Times New Roman" w:hAnsi="Times New Roman" w:cs="Times New Roman"/>
          <w:sz w:val="28"/>
          <w:szCs w:val="28"/>
          <w:lang w:val="uk-UA"/>
        </w:rPr>
      </w:pPr>
      <w:r w:rsidRPr="00452141">
        <w:rPr>
          <w:rFonts w:ascii="Times New Roman" w:hAnsi="Times New Roman" w:cs="Times New Roman"/>
          <w:sz w:val="28"/>
          <w:szCs w:val="28"/>
          <w:lang w:val="uk-UA"/>
        </w:rPr>
        <w:t>2) у графах 2 – 3 «у тому числі джерелами енергії» відображаються дані  у розрізі джерел енергії, що використовуються для виробництва електричної енергії (з енергії сонячного випромінювання та з енергії вітру);</w:t>
      </w:r>
    </w:p>
    <w:p w14:paraId="481963B0" w14:textId="77777777" w:rsidR="00452141" w:rsidRPr="00452141" w:rsidRDefault="00452141" w:rsidP="00452141">
      <w:pPr>
        <w:tabs>
          <w:tab w:val="left" w:pos="993"/>
        </w:tabs>
        <w:spacing w:after="0" w:line="276" w:lineRule="auto"/>
        <w:ind w:firstLine="426"/>
        <w:jc w:val="both"/>
        <w:rPr>
          <w:rFonts w:ascii="Times New Roman" w:hAnsi="Times New Roman" w:cs="Times New Roman"/>
          <w:sz w:val="28"/>
          <w:szCs w:val="28"/>
          <w:lang w:val="uk-UA"/>
        </w:rPr>
      </w:pPr>
    </w:p>
    <w:p w14:paraId="1112417D" w14:textId="77777777" w:rsidR="00452141" w:rsidRPr="00452141" w:rsidRDefault="00452141" w:rsidP="00452141">
      <w:pPr>
        <w:tabs>
          <w:tab w:val="left" w:pos="993"/>
        </w:tabs>
        <w:spacing w:after="0" w:line="276" w:lineRule="auto"/>
        <w:ind w:firstLine="426"/>
        <w:jc w:val="both"/>
        <w:rPr>
          <w:rFonts w:ascii="Times New Roman" w:hAnsi="Times New Roman" w:cs="Times New Roman"/>
          <w:sz w:val="28"/>
          <w:szCs w:val="28"/>
          <w:lang w:val="uk-UA"/>
        </w:rPr>
      </w:pPr>
      <w:r w:rsidRPr="00452141">
        <w:rPr>
          <w:rFonts w:ascii="Times New Roman" w:hAnsi="Times New Roman" w:cs="Times New Roman"/>
          <w:sz w:val="28"/>
          <w:szCs w:val="28"/>
          <w:lang w:val="uk-UA"/>
        </w:rPr>
        <w:lastRenderedPageBreak/>
        <w:t xml:space="preserve">3) у рядку 140 «Кількість договорів на купівлю-продаж електричної енергії за «зеленим» тарифом приватним домогосподарством» відображається інформація щодо загальної кількості договорів з домогосподарствами, у яких здійснюється закупівля електричної енергії за «зеленим» тарифом у приватних домогосподарств станом на кінець звітного періоду; </w:t>
      </w:r>
    </w:p>
    <w:p w14:paraId="04671721" w14:textId="77777777" w:rsidR="00452141" w:rsidRPr="00452141" w:rsidRDefault="00452141" w:rsidP="00452141">
      <w:pPr>
        <w:tabs>
          <w:tab w:val="left" w:pos="993"/>
        </w:tabs>
        <w:spacing w:after="0" w:line="276" w:lineRule="auto"/>
        <w:ind w:firstLine="426"/>
        <w:jc w:val="both"/>
        <w:rPr>
          <w:rFonts w:ascii="Times New Roman" w:hAnsi="Times New Roman" w:cs="Times New Roman"/>
          <w:sz w:val="28"/>
          <w:szCs w:val="28"/>
          <w:lang w:val="uk-UA"/>
        </w:rPr>
      </w:pPr>
    </w:p>
    <w:p w14:paraId="01EF01BE" w14:textId="77777777" w:rsidR="00452141" w:rsidRPr="00452141" w:rsidRDefault="00452141" w:rsidP="00452141">
      <w:pPr>
        <w:tabs>
          <w:tab w:val="left" w:pos="993"/>
        </w:tabs>
        <w:spacing w:after="0" w:line="276" w:lineRule="auto"/>
        <w:ind w:firstLine="426"/>
        <w:jc w:val="both"/>
        <w:rPr>
          <w:rFonts w:ascii="Times New Roman" w:hAnsi="Times New Roman" w:cs="Times New Roman"/>
          <w:sz w:val="28"/>
          <w:szCs w:val="28"/>
          <w:lang w:val="uk-UA"/>
        </w:rPr>
      </w:pPr>
      <w:r w:rsidRPr="00452141">
        <w:rPr>
          <w:rFonts w:ascii="Times New Roman" w:hAnsi="Times New Roman" w:cs="Times New Roman"/>
          <w:sz w:val="28"/>
          <w:szCs w:val="28"/>
          <w:lang w:val="uk-UA"/>
        </w:rPr>
        <w:t>4) у рядку 145 «Обсяг купованої електричної енергії за «зеленим» тарифом» зазначається сумарний обсяг закупленої електричної енергії у приватних домогосподарств за договорами на купівлю-продаж електричної енергії за «зеленим» тарифом протягом звітного року;</w:t>
      </w:r>
    </w:p>
    <w:p w14:paraId="492284B4" w14:textId="77777777" w:rsidR="00452141" w:rsidRPr="00452141" w:rsidRDefault="00452141" w:rsidP="00452141">
      <w:pPr>
        <w:tabs>
          <w:tab w:val="left" w:pos="993"/>
        </w:tabs>
        <w:spacing w:after="0" w:line="276" w:lineRule="auto"/>
        <w:ind w:firstLine="426"/>
        <w:jc w:val="both"/>
        <w:rPr>
          <w:rFonts w:ascii="Times New Roman" w:hAnsi="Times New Roman" w:cs="Times New Roman"/>
          <w:sz w:val="28"/>
          <w:szCs w:val="28"/>
          <w:lang w:val="uk-UA"/>
        </w:rPr>
      </w:pPr>
    </w:p>
    <w:p w14:paraId="4C49CD73" w14:textId="77777777" w:rsidR="00452141" w:rsidRPr="00452141" w:rsidRDefault="00452141" w:rsidP="00452141">
      <w:pPr>
        <w:tabs>
          <w:tab w:val="left" w:pos="993"/>
        </w:tabs>
        <w:spacing w:after="0" w:line="276" w:lineRule="auto"/>
        <w:ind w:firstLine="426"/>
        <w:jc w:val="both"/>
        <w:rPr>
          <w:rFonts w:ascii="Times New Roman" w:hAnsi="Times New Roman" w:cs="Times New Roman"/>
          <w:sz w:val="28"/>
          <w:szCs w:val="28"/>
          <w:lang w:val="uk-UA"/>
        </w:rPr>
      </w:pPr>
      <w:r w:rsidRPr="00452141">
        <w:rPr>
          <w:rFonts w:ascii="Times New Roman" w:hAnsi="Times New Roman" w:cs="Times New Roman"/>
          <w:sz w:val="28"/>
          <w:szCs w:val="28"/>
          <w:lang w:val="uk-UA"/>
        </w:rPr>
        <w:t>5) у рядку 150 «Вартість купованої електричної енергії за зеленим» тарифом (без ПДВ)» зазначається сумарна вартість закупленої електричної енергії у приватних домогосподарств за договорами на купівлю-продаж електричної енергії за «зеленим» тарифом (без ПДВ) протягом звітного періоду;</w:t>
      </w:r>
    </w:p>
    <w:p w14:paraId="465BA060" w14:textId="77777777" w:rsidR="00452141" w:rsidRPr="00452141" w:rsidRDefault="00452141" w:rsidP="00452141">
      <w:pPr>
        <w:tabs>
          <w:tab w:val="left" w:pos="993"/>
        </w:tabs>
        <w:spacing w:after="0" w:line="276" w:lineRule="auto"/>
        <w:ind w:firstLine="426"/>
        <w:jc w:val="both"/>
        <w:rPr>
          <w:rFonts w:ascii="Times New Roman" w:hAnsi="Times New Roman" w:cs="Times New Roman"/>
          <w:sz w:val="28"/>
          <w:szCs w:val="28"/>
          <w:lang w:val="uk-UA"/>
        </w:rPr>
      </w:pPr>
    </w:p>
    <w:p w14:paraId="4424566C" w14:textId="77777777" w:rsidR="00452141" w:rsidRPr="00452141" w:rsidRDefault="00452141" w:rsidP="00452141">
      <w:pPr>
        <w:tabs>
          <w:tab w:val="left" w:pos="993"/>
        </w:tabs>
        <w:spacing w:after="0" w:line="276" w:lineRule="auto"/>
        <w:ind w:firstLine="426"/>
        <w:jc w:val="both"/>
        <w:rPr>
          <w:rFonts w:ascii="Times New Roman" w:hAnsi="Times New Roman" w:cs="Times New Roman"/>
          <w:sz w:val="28"/>
          <w:szCs w:val="28"/>
          <w:lang w:val="uk-UA"/>
        </w:rPr>
      </w:pPr>
      <w:r w:rsidRPr="00452141">
        <w:rPr>
          <w:rFonts w:ascii="Times New Roman" w:hAnsi="Times New Roman" w:cs="Times New Roman"/>
          <w:sz w:val="28"/>
          <w:szCs w:val="28"/>
          <w:lang w:val="uk-UA"/>
        </w:rPr>
        <w:t>6) у рядках 155 «Сумарна встановлена потужність генеруючих установок, приватних домогосподарств за «зеленим» тарифом» відображається інформація щодо загальної встановленої потужності установок приватних домогосподарств, у яких здійснюється закупівля виробленої електричної енергії за «зеленим» тарифом, що використовують установки, призначені для виробництва електричної енергії з сонячного випромінювання  та з енергії вітру станом на кінець звітного періоду;</w:t>
      </w:r>
    </w:p>
    <w:p w14:paraId="41143504" w14:textId="77777777" w:rsidR="00452141" w:rsidRPr="00452141" w:rsidRDefault="00452141" w:rsidP="00452141">
      <w:pPr>
        <w:tabs>
          <w:tab w:val="left" w:pos="993"/>
        </w:tabs>
        <w:spacing w:after="0" w:line="276" w:lineRule="auto"/>
        <w:ind w:firstLine="426"/>
        <w:jc w:val="both"/>
        <w:rPr>
          <w:rFonts w:ascii="Times New Roman" w:hAnsi="Times New Roman" w:cs="Times New Roman"/>
          <w:sz w:val="28"/>
          <w:szCs w:val="28"/>
          <w:lang w:val="uk-UA"/>
        </w:rPr>
      </w:pPr>
    </w:p>
    <w:p w14:paraId="3F42B4BE" w14:textId="77777777" w:rsidR="00452141" w:rsidRPr="00452141" w:rsidRDefault="00452141" w:rsidP="00452141">
      <w:pPr>
        <w:tabs>
          <w:tab w:val="left" w:pos="993"/>
        </w:tabs>
        <w:spacing w:after="0" w:line="276" w:lineRule="auto"/>
        <w:ind w:firstLine="426"/>
        <w:jc w:val="both"/>
        <w:rPr>
          <w:rFonts w:ascii="Times New Roman" w:hAnsi="Times New Roman" w:cs="Times New Roman"/>
          <w:sz w:val="28"/>
          <w:szCs w:val="28"/>
          <w:lang w:val="uk-UA"/>
        </w:rPr>
      </w:pPr>
      <w:r w:rsidRPr="00452141">
        <w:rPr>
          <w:rFonts w:ascii="Times New Roman" w:hAnsi="Times New Roman" w:cs="Times New Roman"/>
          <w:sz w:val="28"/>
          <w:szCs w:val="28"/>
          <w:lang w:val="uk-UA"/>
        </w:rPr>
        <w:t xml:space="preserve">7) у рядках 160 – 170 зазначається кількість укладених </w:t>
      </w:r>
      <w:proofErr w:type="spellStart"/>
      <w:r w:rsidRPr="00452141">
        <w:rPr>
          <w:rFonts w:ascii="Times New Roman" w:hAnsi="Times New Roman" w:cs="Times New Roman"/>
          <w:sz w:val="28"/>
          <w:szCs w:val="28"/>
          <w:lang w:val="uk-UA"/>
        </w:rPr>
        <w:t>електропостачальником</w:t>
      </w:r>
      <w:proofErr w:type="spellEnd"/>
      <w:r w:rsidRPr="00452141">
        <w:rPr>
          <w:rFonts w:ascii="Times New Roman" w:hAnsi="Times New Roman" w:cs="Times New Roman"/>
          <w:sz w:val="28"/>
          <w:szCs w:val="28"/>
          <w:lang w:val="uk-UA"/>
        </w:rPr>
        <w:t xml:space="preserve"> зі споживачами договорів про купівлю-продаж електричної енергії за механізмом </w:t>
      </w:r>
      <w:proofErr w:type="spellStart"/>
      <w:r w:rsidRPr="00452141">
        <w:rPr>
          <w:rFonts w:ascii="Times New Roman" w:hAnsi="Times New Roman" w:cs="Times New Roman"/>
          <w:sz w:val="28"/>
          <w:szCs w:val="28"/>
          <w:lang w:val="uk-UA"/>
        </w:rPr>
        <w:t>самовиробництва</w:t>
      </w:r>
      <w:proofErr w:type="spellEnd"/>
      <w:r w:rsidRPr="00452141">
        <w:rPr>
          <w:rFonts w:ascii="Times New Roman" w:hAnsi="Times New Roman" w:cs="Times New Roman"/>
          <w:sz w:val="28"/>
          <w:szCs w:val="28"/>
          <w:lang w:val="uk-UA"/>
        </w:rPr>
        <w:t xml:space="preserve"> станом на кінець звітного періоду усього (рядок 160) із приватними домогосподарствами (рядок 165) та із малими непобутовими (рядок 170). Значення рядка 160 дорівнює сумі значень рядків 165 – 170;</w:t>
      </w:r>
    </w:p>
    <w:p w14:paraId="7D1CB223" w14:textId="77777777" w:rsidR="00452141" w:rsidRPr="00452141" w:rsidRDefault="00452141" w:rsidP="00452141">
      <w:pPr>
        <w:tabs>
          <w:tab w:val="left" w:pos="993"/>
        </w:tabs>
        <w:spacing w:after="0" w:line="276" w:lineRule="auto"/>
        <w:ind w:firstLine="426"/>
        <w:jc w:val="both"/>
        <w:rPr>
          <w:rFonts w:ascii="Times New Roman" w:hAnsi="Times New Roman" w:cs="Times New Roman"/>
          <w:sz w:val="28"/>
          <w:szCs w:val="28"/>
          <w:lang w:val="uk-UA"/>
        </w:rPr>
      </w:pPr>
    </w:p>
    <w:p w14:paraId="50EAF61B" w14:textId="77777777" w:rsidR="00452141" w:rsidRPr="00452141" w:rsidRDefault="00452141" w:rsidP="00452141">
      <w:pPr>
        <w:tabs>
          <w:tab w:val="left" w:pos="993"/>
        </w:tabs>
        <w:spacing w:after="0" w:line="276" w:lineRule="auto"/>
        <w:ind w:firstLine="426"/>
        <w:jc w:val="both"/>
        <w:rPr>
          <w:rFonts w:ascii="Times New Roman" w:hAnsi="Times New Roman" w:cs="Times New Roman"/>
          <w:sz w:val="28"/>
          <w:szCs w:val="28"/>
          <w:lang w:val="uk-UA"/>
        </w:rPr>
      </w:pPr>
      <w:r w:rsidRPr="00452141">
        <w:rPr>
          <w:rFonts w:ascii="Times New Roman" w:hAnsi="Times New Roman" w:cs="Times New Roman"/>
          <w:sz w:val="28"/>
          <w:szCs w:val="28"/>
          <w:lang w:val="uk-UA"/>
        </w:rPr>
        <w:t xml:space="preserve">8) у рядках 175 – 185 зазначається обсяг закупленої електричної енергії у споживачів за договорами про купівлю-продаж електричної енергії за механізмом </w:t>
      </w:r>
      <w:proofErr w:type="spellStart"/>
      <w:r w:rsidRPr="00452141">
        <w:rPr>
          <w:rFonts w:ascii="Times New Roman" w:hAnsi="Times New Roman" w:cs="Times New Roman"/>
          <w:sz w:val="28"/>
          <w:szCs w:val="28"/>
          <w:lang w:val="uk-UA"/>
        </w:rPr>
        <w:t>самовиробництва</w:t>
      </w:r>
      <w:proofErr w:type="spellEnd"/>
      <w:r w:rsidRPr="00452141">
        <w:rPr>
          <w:rFonts w:ascii="Times New Roman" w:hAnsi="Times New Roman" w:cs="Times New Roman"/>
          <w:sz w:val="28"/>
          <w:szCs w:val="28"/>
          <w:lang w:val="uk-UA"/>
        </w:rPr>
        <w:t xml:space="preserve"> протягом звітного періоду усього (рядок 175) у приватних домогосподарств (рядок 180) та у малих непобутових споживачів (рядок 185). Значення рядка 175 дорівнює сумі значень рядків 180 – 185;</w:t>
      </w:r>
    </w:p>
    <w:p w14:paraId="60F03A5B" w14:textId="77777777" w:rsidR="00452141" w:rsidRPr="00452141" w:rsidRDefault="00452141" w:rsidP="00452141">
      <w:pPr>
        <w:tabs>
          <w:tab w:val="left" w:pos="993"/>
        </w:tabs>
        <w:spacing w:after="0" w:line="276" w:lineRule="auto"/>
        <w:ind w:firstLine="426"/>
        <w:jc w:val="both"/>
        <w:rPr>
          <w:rFonts w:ascii="Times New Roman" w:hAnsi="Times New Roman" w:cs="Times New Roman"/>
          <w:sz w:val="28"/>
          <w:szCs w:val="28"/>
          <w:lang w:val="uk-UA"/>
        </w:rPr>
      </w:pPr>
    </w:p>
    <w:p w14:paraId="7AFB9902" w14:textId="77777777" w:rsidR="00452141" w:rsidRPr="00452141" w:rsidRDefault="00452141" w:rsidP="00452141">
      <w:pPr>
        <w:tabs>
          <w:tab w:val="left" w:pos="993"/>
        </w:tabs>
        <w:spacing w:after="0" w:line="276" w:lineRule="auto"/>
        <w:ind w:firstLine="426"/>
        <w:jc w:val="both"/>
        <w:rPr>
          <w:rFonts w:ascii="Times New Roman" w:hAnsi="Times New Roman" w:cs="Times New Roman"/>
          <w:sz w:val="28"/>
          <w:szCs w:val="28"/>
          <w:lang w:val="uk-UA"/>
        </w:rPr>
      </w:pPr>
      <w:r w:rsidRPr="00452141">
        <w:rPr>
          <w:rFonts w:ascii="Times New Roman" w:hAnsi="Times New Roman" w:cs="Times New Roman"/>
          <w:sz w:val="28"/>
          <w:szCs w:val="28"/>
          <w:lang w:val="uk-UA"/>
        </w:rPr>
        <w:t xml:space="preserve">9) у рядках 190 – 200 зазначається вартість (без ПДВ) закупленої  електричної енергії у споживачів за договорами про купівлю-продаж електричної енергії за механізмом </w:t>
      </w:r>
      <w:proofErr w:type="spellStart"/>
      <w:r w:rsidRPr="00452141">
        <w:rPr>
          <w:rFonts w:ascii="Times New Roman" w:hAnsi="Times New Roman" w:cs="Times New Roman"/>
          <w:sz w:val="28"/>
          <w:szCs w:val="28"/>
          <w:lang w:val="uk-UA"/>
        </w:rPr>
        <w:t>самовиробництва</w:t>
      </w:r>
      <w:proofErr w:type="spellEnd"/>
      <w:r w:rsidRPr="00452141">
        <w:rPr>
          <w:rFonts w:ascii="Times New Roman" w:hAnsi="Times New Roman" w:cs="Times New Roman"/>
          <w:sz w:val="28"/>
          <w:szCs w:val="28"/>
          <w:lang w:val="uk-UA"/>
        </w:rPr>
        <w:t xml:space="preserve"> протягом звітного періоду усього (рядок 190), у </w:t>
      </w:r>
      <w:r w:rsidRPr="00452141">
        <w:rPr>
          <w:rFonts w:ascii="Times New Roman" w:hAnsi="Times New Roman" w:cs="Times New Roman"/>
          <w:sz w:val="28"/>
          <w:szCs w:val="28"/>
          <w:lang w:val="uk-UA"/>
        </w:rPr>
        <w:lastRenderedPageBreak/>
        <w:t>приватних домогосподарств (рядок 195) та у малих непобутових (рядок 200). Значення рядка 190 дорівнює сумі значень рядків 190 – 200;</w:t>
      </w:r>
    </w:p>
    <w:p w14:paraId="2129EDC5" w14:textId="77777777" w:rsidR="00452141" w:rsidRPr="00452141" w:rsidRDefault="00452141" w:rsidP="00452141">
      <w:pPr>
        <w:tabs>
          <w:tab w:val="left" w:pos="993"/>
        </w:tabs>
        <w:spacing w:after="0" w:line="276" w:lineRule="auto"/>
        <w:ind w:firstLine="426"/>
        <w:jc w:val="both"/>
        <w:rPr>
          <w:rFonts w:ascii="Times New Roman" w:hAnsi="Times New Roman" w:cs="Times New Roman"/>
          <w:sz w:val="28"/>
          <w:szCs w:val="28"/>
          <w:lang w:val="uk-UA"/>
        </w:rPr>
      </w:pPr>
    </w:p>
    <w:p w14:paraId="433EAC21" w14:textId="609364C6" w:rsidR="00725044" w:rsidRPr="009138A3" w:rsidRDefault="00452141" w:rsidP="00452141">
      <w:pPr>
        <w:tabs>
          <w:tab w:val="left" w:pos="993"/>
        </w:tabs>
        <w:spacing w:after="0" w:line="276" w:lineRule="auto"/>
        <w:ind w:firstLine="426"/>
        <w:jc w:val="both"/>
        <w:rPr>
          <w:rFonts w:ascii="Times New Roman" w:hAnsi="Times New Roman" w:cs="Times New Roman"/>
          <w:sz w:val="28"/>
          <w:szCs w:val="28"/>
          <w:lang w:val="uk-UA"/>
        </w:rPr>
      </w:pPr>
      <w:r w:rsidRPr="00452141">
        <w:rPr>
          <w:rFonts w:ascii="Times New Roman" w:hAnsi="Times New Roman" w:cs="Times New Roman"/>
          <w:sz w:val="28"/>
          <w:szCs w:val="28"/>
          <w:lang w:val="uk-UA"/>
        </w:rPr>
        <w:t xml:space="preserve">10) у рядках 205 – 215 зазначається встановлена потужність генеруючих установок споживачів, у яких здійснюється закупівля електричної енергії за договорами про купівлю-продаж електричної енергії за механізмом </w:t>
      </w:r>
      <w:proofErr w:type="spellStart"/>
      <w:r w:rsidRPr="00452141">
        <w:rPr>
          <w:rFonts w:ascii="Times New Roman" w:hAnsi="Times New Roman" w:cs="Times New Roman"/>
          <w:sz w:val="28"/>
          <w:szCs w:val="28"/>
          <w:lang w:val="uk-UA"/>
        </w:rPr>
        <w:t>самовиробництва</w:t>
      </w:r>
      <w:proofErr w:type="spellEnd"/>
      <w:r w:rsidRPr="00452141">
        <w:rPr>
          <w:rFonts w:ascii="Times New Roman" w:hAnsi="Times New Roman" w:cs="Times New Roman"/>
          <w:sz w:val="28"/>
          <w:szCs w:val="28"/>
          <w:lang w:val="uk-UA"/>
        </w:rPr>
        <w:t xml:space="preserve"> станом на кінець звітного періоду усього (рядок 205), приватних домогосподарств (рядок 210) та малих непобутових споживачів (рядок 215). Значення рядка 205 дорівнює сумі значень рядків 210 – 215.».</w:t>
      </w:r>
    </w:p>
    <w:p w14:paraId="1A0B955C" w14:textId="04DE1498" w:rsidR="00725044" w:rsidRDefault="00725044" w:rsidP="00FD44A3">
      <w:pPr>
        <w:tabs>
          <w:tab w:val="left" w:pos="993"/>
        </w:tabs>
        <w:spacing w:after="0" w:line="276" w:lineRule="auto"/>
        <w:jc w:val="both"/>
        <w:rPr>
          <w:rFonts w:ascii="Times New Roman" w:hAnsi="Times New Roman" w:cs="Times New Roman"/>
          <w:sz w:val="28"/>
          <w:szCs w:val="28"/>
          <w:lang w:val="uk-UA"/>
        </w:rPr>
      </w:pPr>
    </w:p>
    <w:p w14:paraId="3EC83703" w14:textId="77777777" w:rsidR="004F513B" w:rsidRPr="00FD44A3" w:rsidRDefault="004F513B" w:rsidP="00FD44A3">
      <w:pPr>
        <w:tabs>
          <w:tab w:val="left" w:pos="993"/>
        </w:tabs>
        <w:spacing w:after="0" w:line="276" w:lineRule="auto"/>
        <w:jc w:val="both"/>
        <w:rPr>
          <w:rFonts w:ascii="Times New Roman" w:hAnsi="Times New Roman" w:cs="Times New Roman"/>
          <w:sz w:val="28"/>
          <w:szCs w:val="28"/>
          <w:lang w:val="uk-UA"/>
        </w:rPr>
      </w:pPr>
    </w:p>
    <w:p w14:paraId="20D04795" w14:textId="77777777" w:rsidR="00725044" w:rsidRPr="009138A3" w:rsidRDefault="00725044" w:rsidP="00725044">
      <w:pPr>
        <w:spacing w:after="0" w:line="276" w:lineRule="auto"/>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Директор Департаменту</w:t>
      </w:r>
    </w:p>
    <w:p w14:paraId="7156F1C6" w14:textId="295B99FA" w:rsidR="000B2DFA" w:rsidRDefault="00725044" w:rsidP="00725044">
      <w:r w:rsidRPr="009138A3">
        <w:rPr>
          <w:rFonts w:ascii="Times New Roman" w:hAnsi="Times New Roman" w:cs="Times New Roman"/>
          <w:sz w:val="28"/>
          <w:szCs w:val="28"/>
          <w:lang w:val="uk-UA"/>
        </w:rPr>
        <w:t xml:space="preserve">стратегічного розвитку та планування   </w:t>
      </w:r>
      <w:r w:rsidRPr="009138A3">
        <w:rPr>
          <w:rFonts w:ascii="Times New Roman" w:hAnsi="Times New Roman" w:cs="Times New Roman"/>
          <w:sz w:val="28"/>
          <w:szCs w:val="28"/>
          <w:lang w:val="uk-UA"/>
        </w:rPr>
        <w:tab/>
      </w:r>
      <w:r w:rsidRPr="009138A3">
        <w:rPr>
          <w:rFonts w:ascii="Times New Roman" w:hAnsi="Times New Roman" w:cs="Times New Roman"/>
          <w:sz w:val="28"/>
          <w:szCs w:val="28"/>
          <w:lang w:val="uk-UA"/>
        </w:rPr>
        <w:tab/>
        <w:t xml:space="preserve">              </w:t>
      </w:r>
      <w:r w:rsidR="004F513B">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 xml:space="preserve">                  В. Цаплін</w:t>
      </w:r>
    </w:p>
    <w:sectPr w:rsidR="000B2DFA" w:rsidSect="002A4AC5">
      <w:headerReference w:type="default" r:id="rId13"/>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4FF4D2" w14:textId="77777777" w:rsidR="00DC1CBC" w:rsidRDefault="00DC1CBC" w:rsidP="002A4AC5">
      <w:pPr>
        <w:spacing w:after="0" w:line="240" w:lineRule="auto"/>
      </w:pPr>
      <w:r>
        <w:separator/>
      </w:r>
    </w:p>
  </w:endnote>
  <w:endnote w:type="continuationSeparator" w:id="0">
    <w:p w14:paraId="46EC3C8F" w14:textId="77777777" w:rsidR="00DC1CBC" w:rsidRDefault="00DC1CBC" w:rsidP="002A4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286754" w14:textId="77777777" w:rsidR="00DC1CBC" w:rsidRDefault="00DC1CBC" w:rsidP="002A4AC5">
      <w:pPr>
        <w:spacing w:after="0" w:line="240" w:lineRule="auto"/>
      </w:pPr>
      <w:r>
        <w:separator/>
      </w:r>
    </w:p>
  </w:footnote>
  <w:footnote w:type="continuationSeparator" w:id="0">
    <w:p w14:paraId="111EEFE8" w14:textId="77777777" w:rsidR="00DC1CBC" w:rsidRDefault="00DC1CBC" w:rsidP="002A4A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82487918"/>
      <w:docPartObj>
        <w:docPartGallery w:val="Page Numbers (Top of Page)"/>
        <w:docPartUnique/>
      </w:docPartObj>
    </w:sdtPr>
    <w:sdtEndPr>
      <w:rPr>
        <w:rFonts w:ascii="Times New Roman" w:hAnsi="Times New Roman" w:cs="Times New Roman"/>
      </w:rPr>
    </w:sdtEndPr>
    <w:sdtContent>
      <w:p w14:paraId="1CC0A403" w14:textId="0BBF7465" w:rsidR="002A4AC5" w:rsidRPr="002A4AC5" w:rsidRDefault="002A4AC5">
        <w:pPr>
          <w:pStyle w:val="a8"/>
          <w:jc w:val="center"/>
          <w:rPr>
            <w:rFonts w:ascii="Times New Roman" w:hAnsi="Times New Roman" w:cs="Times New Roman"/>
          </w:rPr>
        </w:pPr>
        <w:r w:rsidRPr="002A4AC5">
          <w:rPr>
            <w:rFonts w:ascii="Times New Roman" w:hAnsi="Times New Roman" w:cs="Times New Roman"/>
          </w:rPr>
          <w:fldChar w:fldCharType="begin"/>
        </w:r>
        <w:r w:rsidRPr="002A4AC5">
          <w:rPr>
            <w:rFonts w:ascii="Times New Roman" w:hAnsi="Times New Roman" w:cs="Times New Roman"/>
          </w:rPr>
          <w:instrText>PAGE   \* MERGEFORMAT</w:instrText>
        </w:r>
        <w:r w:rsidRPr="002A4AC5">
          <w:rPr>
            <w:rFonts w:ascii="Times New Roman" w:hAnsi="Times New Roman" w:cs="Times New Roman"/>
          </w:rPr>
          <w:fldChar w:fldCharType="separate"/>
        </w:r>
        <w:r w:rsidRPr="002A4AC5">
          <w:rPr>
            <w:rFonts w:ascii="Times New Roman" w:hAnsi="Times New Roman" w:cs="Times New Roman"/>
            <w:lang w:val="uk-UA"/>
          </w:rPr>
          <w:t>2</w:t>
        </w:r>
        <w:r w:rsidRPr="002A4AC5">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4F6650"/>
    <w:multiLevelType w:val="hybridMultilevel"/>
    <w:tmpl w:val="F68628E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F041845"/>
    <w:multiLevelType w:val="multilevel"/>
    <w:tmpl w:val="91945A72"/>
    <w:lvl w:ilvl="0">
      <w:start w:val="3"/>
      <w:numFmt w:val="decimal"/>
      <w:lvlText w:val="%1"/>
      <w:lvlJc w:val="left"/>
      <w:pPr>
        <w:ind w:left="375" w:hanging="375"/>
      </w:pPr>
      <w:rPr>
        <w:rFonts w:hint="default"/>
      </w:rPr>
    </w:lvl>
    <w:lvl w:ilvl="1">
      <w:start w:val="1"/>
      <w:numFmt w:val="decimal"/>
      <w:lvlText w:val="%1.%2"/>
      <w:lvlJc w:val="left"/>
      <w:pPr>
        <w:ind w:left="943"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15:restartNumberingAfterBreak="0">
    <w:nsid w:val="4BBC390A"/>
    <w:multiLevelType w:val="multilevel"/>
    <w:tmpl w:val="DA0A2ED4"/>
    <w:lvl w:ilvl="0">
      <w:start w:val="3"/>
      <w:numFmt w:val="decimal"/>
      <w:lvlText w:val="%1."/>
      <w:lvlJc w:val="left"/>
      <w:pPr>
        <w:ind w:left="450" w:hanging="450"/>
      </w:pPr>
      <w:rPr>
        <w:rFonts w:hint="default"/>
      </w:rPr>
    </w:lvl>
    <w:lvl w:ilvl="1">
      <w:start w:val="1"/>
      <w:numFmt w:val="decimal"/>
      <w:lvlText w:val="%1.%2."/>
      <w:lvlJc w:val="left"/>
      <w:pPr>
        <w:ind w:left="1663" w:hanging="720"/>
      </w:pPr>
      <w:rPr>
        <w:rFonts w:hint="default"/>
      </w:rPr>
    </w:lvl>
    <w:lvl w:ilvl="2">
      <w:start w:val="1"/>
      <w:numFmt w:val="decimal"/>
      <w:lvlText w:val="%1.%2.%3."/>
      <w:lvlJc w:val="left"/>
      <w:pPr>
        <w:ind w:left="2606" w:hanging="720"/>
      </w:pPr>
      <w:rPr>
        <w:rFonts w:hint="default"/>
      </w:rPr>
    </w:lvl>
    <w:lvl w:ilvl="3">
      <w:start w:val="1"/>
      <w:numFmt w:val="decimal"/>
      <w:lvlText w:val="%1.%2.%3.%4."/>
      <w:lvlJc w:val="left"/>
      <w:pPr>
        <w:ind w:left="3909" w:hanging="1080"/>
      </w:pPr>
      <w:rPr>
        <w:rFonts w:hint="default"/>
      </w:rPr>
    </w:lvl>
    <w:lvl w:ilvl="4">
      <w:start w:val="1"/>
      <w:numFmt w:val="decimal"/>
      <w:lvlText w:val="%1.%2.%3.%4.%5."/>
      <w:lvlJc w:val="left"/>
      <w:pPr>
        <w:ind w:left="4852" w:hanging="1080"/>
      </w:pPr>
      <w:rPr>
        <w:rFonts w:hint="default"/>
      </w:rPr>
    </w:lvl>
    <w:lvl w:ilvl="5">
      <w:start w:val="1"/>
      <w:numFmt w:val="decimal"/>
      <w:lvlText w:val="%1.%2.%3.%4.%5.%6."/>
      <w:lvlJc w:val="left"/>
      <w:pPr>
        <w:ind w:left="6155" w:hanging="1440"/>
      </w:pPr>
      <w:rPr>
        <w:rFonts w:hint="default"/>
      </w:rPr>
    </w:lvl>
    <w:lvl w:ilvl="6">
      <w:start w:val="1"/>
      <w:numFmt w:val="decimal"/>
      <w:lvlText w:val="%1.%2.%3.%4.%5.%6.%7."/>
      <w:lvlJc w:val="left"/>
      <w:pPr>
        <w:ind w:left="7458" w:hanging="1800"/>
      </w:pPr>
      <w:rPr>
        <w:rFonts w:hint="default"/>
      </w:rPr>
    </w:lvl>
    <w:lvl w:ilvl="7">
      <w:start w:val="1"/>
      <w:numFmt w:val="decimal"/>
      <w:lvlText w:val="%1.%2.%3.%4.%5.%6.%7.%8."/>
      <w:lvlJc w:val="left"/>
      <w:pPr>
        <w:ind w:left="8401" w:hanging="1800"/>
      </w:pPr>
      <w:rPr>
        <w:rFonts w:hint="default"/>
      </w:rPr>
    </w:lvl>
    <w:lvl w:ilvl="8">
      <w:start w:val="1"/>
      <w:numFmt w:val="decimal"/>
      <w:lvlText w:val="%1.%2.%3.%4.%5.%6.%7.%8.%9."/>
      <w:lvlJc w:val="left"/>
      <w:pPr>
        <w:ind w:left="9704" w:hanging="2160"/>
      </w:pPr>
      <w:rPr>
        <w:rFonts w:hint="default"/>
      </w:rPr>
    </w:lvl>
  </w:abstractNum>
  <w:abstractNum w:abstractNumId="3" w15:restartNumberingAfterBreak="0">
    <w:nsid w:val="63D11411"/>
    <w:multiLevelType w:val="hybridMultilevel"/>
    <w:tmpl w:val="537082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6811FF9"/>
    <w:multiLevelType w:val="hybridMultilevel"/>
    <w:tmpl w:val="6212D702"/>
    <w:lvl w:ilvl="0" w:tplc="92681770">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68961610"/>
    <w:multiLevelType w:val="hybridMultilevel"/>
    <w:tmpl w:val="54223278"/>
    <w:lvl w:ilvl="0" w:tplc="C7884A0C">
      <w:start w:val="1"/>
      <w:numFmt w:val="decimal"/>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727827BE"/>
    <w:multiLevelType w:val="hybridMultilevel"/>
    <w:tmpl w:val="52BEDD74"/>
    <w:lvl w:ilvl="0" w:tplc="5C4091D0">
      <w:start w:val="1"/>
      <w:numFmt w:val="decimal"/>
      <w:lvlText w:val="%1)"/>
      <w:lvlJc w:val="left"/>
      <w:pPr>
        <w:ind w:left="1647" w:hanging="360"/>
      </w:pPr>
      <w:rPr>
        <w:rFonts w:hint="default"/>
      </w:rPr>
    </w:lvl>
    <w:lvl w:ilvl="1" w:tplc="04220019" w:tentative="1">
      <w:start w:val="1"/>
      <w:numFmt w:val="lowerLetter"/>
      <w:lvlText w:val="%2."/>
      <w:lvlJc w:val="left"/>
      <w:pPr>
        <w:ind w:left="2367" w:hanging="360"/>
      </w:pPr>
    </w:lvl>
    <w:lvl w:ilvl="2" w:tplc="0422001B" w:tentative="1">
      <w:start w:val="1"/>
      <w:numFmt w:val="lowerRoman"/>
      <w:lvlText w:val="%3."/>
      <w:lvlJc w:val="right"/>
      <w:pPr>
        <w:ind w:left="3087" w:hanging="180"/>
      </w:pPr>
    </w:lvl>
    <w:lvl w:ilvl="3" w:tplc="0422000F" w:tentative="1">
      <w:start w:val="1"/>
      <w:numFmt w:val="decimal"/>
      <w:lvlText w:val="%4."/>
      <w:lvlJc w:val="left"/>
      <w:pPr>
        <w:ind w:left="3807" w:hanging="360"/>
      </w:pPr>
    </w:lvl>
    <w:lvl w:ilvl="4" w:tplc="04220019" w:tentative="1">
      <w:start w:val="1"/>
      <w:numFmt w:val="lowerLetter"/>
      <w:lvlText w:val="%5."/>
      <w:lvlJc w:val="left"/>
      <w:pPr>
        <w:ind w:left="4527" w:hanging="360"/>
      </w:pPr>
    </w:lvl>
    <w:lvl w:ilvl="5" w:tplc="0422001B" w:tentative="1">
      <w:start w:val="1"/>
      <w:numFmt w:val="lowerRoman"/>
      <w:lvlText w:val="%6."/>
      <w:lvlJc w:val="right"/>
      <w:pPr>
        <w:ind w:left="5247" w:hanging="180"/>
      </w:pPr>
    </w:lvl>
    <w:lvl w:ilvl="6" w:tplc="0422000F" w:tentative="1">
      <w:start w:val="1"/>
      <w:numFmt w:val="decimal"/>
      <w:lvlText w:val="%7."/>
      <w:lvlJc w:val="left"/>
      <w:pPr>
        <w:ind w:left="5967" w:hanging="360"/>
      </w:pPr>
    </w:lvl>
    <w:lvl w:ilvl="7" w:tplc="04220019" w:tentative="1">
      <w:start w:val="1"/>
      <w:numFmt w:val="lowerLetter"/>
      <w:lvlText w:val="%8."/>
      <w:lvlJc w:val="left"/>
      <w:pPr>
        <w:ind w:left="6687" w:hanging="360"/>
      </w:pPr>
    </w:lvl>
    <w:lvl w:ilvl="8" w:tplc="0422001B" w:tentative="1">
      <w:start w:val="1"/>
      <w:numFmt w:val="lowerRoman"/>
      <w:lvlText w:val="%9."/>
      <w:lvlJc w:val="right"/>
      <w:pPr>
        <w:ind w:left="7407" w:hanging="180"/>
      </w:pPr>
    </w:lvl>
  </w:abstractNum>
  <w:num w:numId="1" w16cid:durableId="7634334">
    <w:abstractNumId w:val="4"/>
  </w:num>
  <w:num w:numId="2" w16cid:durableId="518589798">
    <w:abstractNumId w:val="0"/>
  </w:num>
  <w:num w:numId="3" w16cid:durableId="1310863341">
    <w:abstractNumId w:val="6"/>
  </w:num>
  <w:num w:numId="4" w16cid:durableId="1819564721">
    <w:abstractNumId w:val="3"/>
  </w:num>
  <w:num w:numId="5" w16cid:durableId="1337228063">
    <w:abstractNumId w:val="5"/>
  </w:num>
  <w:num w:numId="6" w16cid:durableId="1084490944">
    <w:abstractNumId w:val="2"/>
  </w:num>
  <w:num w:numId="7" w16cid:durableId="7157439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322"/>
    <w:rsid w:val="00040F63"/>
    <w:rsid w:val="00067647"/>
    <w:rsid w:val="00074611"/>
    <w:rsid w:val="000B2DFA"/>
    <w:rsid w:val="00230935"/>
    <w:rsid w:val="002A4AC5"/>
    <w:rsid w:val="00375C10"/>
    <w:rsid w:val="00452141"/>
    <w:rsid w:val="004F513B"/>
    <w:rsid w:val="006C437A"/>
    <w:rsid w:val="00725044"/>
    <w:rsid w:val="00755771"/>
    <w:rsid w:val="00837AE0"/>
    <w:rsid w:val="00880F56"/>
    <w:rsid w:val="008E28BA"/>
    <w:rsid w:val="00973C43"/>
    <w:rsid w:val="009F4117"/>
    <w:rsid w:val="00A14322"/>
    <w:rsid w:val="00A75EEB"/>
    <w:rsid w:val="00C90E3B"/>
    <w:rsid w:val="00CD037D"/>
    <w:rsid w:val="00D16B63"/>
    <w:rsid w:val="00DC1CBC"/>
    <w:rsid w:val="00DC31A7"/>
    <w:rsid w:val="00E565A1"/>
    <w:rsid w:val="00E821EC"/>
    <w:rsid w:val="00F35098"/>
    <w:rsid w:val="00F97CB9"/>
    <w:rsid w:val="00FD44A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D6A3D"/>
  <w15:chartTrackingRefBased/>
  <w15:docId w15:val="{05F6798E-66B7-497F-8F6E-17138C8B2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5044"/>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5044"/>
    <w:pPr>
      <w:ind w:left="720"/>
      <w:contextualSpacing/>
    </w:pPr>
  </w:style>
  <w:style w:type="character" w:styleId="a4">
    <w:name w:val="Hyperlink"/>
    <w:basedOn w:val="a0"/>
    <w:uiPriority w:val="99"/>
    <w:unhideWhenUsed/>
    <w:rsid w:val="00725044"/>
    <w:rPr>
      <w:color w:val="0000FF"/>
      <w:u w:val="single"/>
    </w:rPr>
  </w:style>
  <w:style w:type="paragraph" w:styleId="a5">
    <w:name w:val="Normal (Web)"/>
    <w:basedOn w:val="a"/>
    <w:rsid w:val="0072504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Balloon Text"/>
    <w:basedOn w:val="a"/>
    <w:link w:val="a7"/>
    <w:uiPriority w:val="99"/>
    <w:semiHidden/>
    <w:unhideWhenUsed/>
    <w:rsid w:val="00C90E3B"/>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C90E3B"/>
    <w:rPr>
      <w:rFonts w:ascii="Segoe UI" w:hAnsi="Segoe UI" w:cs="Segoe UI"/>
      <w:sz w:val="18"/>
      <w:szCs w:val="18"/>
      <w:lang w:val="ru-RU"/>
    </w:rPr>
  </w:style>
  <w:style w:type="paragraph" w:styleId="a8">
    <w:name w:val="header"/>
    <w:basedOn w:val="a"/>
    <w:link w:val="a9"/>
    <w:uiPriority w:val="99"/>
    <w:unhideWhenUsed/>
    <w:rsid w:val="002A4AC5"/>
    <w:pPr>
      <w:tabs>
        <w:tab w:val="center" w:pos="4819"/>
        <w:tab w:val="right" w:pos="9639"/>
      </w:tabs>
      <w:spacing w:after="0" w:line="240" w:lineRule="auto"/>
    </w:pPr>
  </w:style>
  <w:style w:type="character" w:customStyle="1" w:styleId="a9">
    <w:name w:val="Верхній колонтитул Знак"/>
    <w:basedOn w:val="a0"/>
    <w:link w:val="a8"/>
    <w:uiPriority w:val="99"/>
    <w:rsid w:val="002A4AC5"/>
    <w:rPr>
      <w:lang w:val="ru-RU"/>
    </w:rPr>
  </w:style>
  <w:style w:type="paragraph" w:styleId="aa">
    <w:name w:val="footer"/>
    <w:basedOn w:val="a"/>
    <w:link w:val="ab"/>
    <w:uiPriority w:val="99"/>
    <w:unhideWhenUsed/>
    <w:rsid w:val="002A4AC5"/>
    <w:pPr>
      <w:tabs>
        <w:tab w:val="center" w:pos="4819"/>
        <w:tab w:val="right" w:pos="9639"/>
      </w:tabs>
      <w:spacing w:after="0" w:line="240" w:lineRule="auto"/>
    </w:pPr>
  </w:style>
  <w:style w:type="character" w:customStyle="1" w:styleId="ab">
    <w:name w:val="Нижній колонтитул Знак"/>
    <w:basedOn w:val="a0"/>
    <w:link w:val="aa"/>
    <w:uiPriority w:val="99"/>
    <w:rsid w:val="002A4AC5"/>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657-12"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rada.gov.ua/laws/show/1540-19" TargetMode="External"/><Relationship Id="rId12" Type="http://schemas.openxmlformats.org/officeDocument/2006/relationships/hyperlink" Target="https://zakon.rada.gov.ua/laws/show/2939-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2657-12"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monitoring_E@nerc.gov.ua" TargetMode="External"/><Relationship Id="rId4" Type="http://schemas.openxmlformats.org/officeDocument/2006/relationships/webSettings" Target="webSettings.xml"/><Relationship Id="rId9" Type="http://schemas.openxmlformats.org/officeDocument/2006/relationships/hyperlink" Target="https://zakon.rada.gov.ua/laws/show/2939-1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7</Pages>
  <Words>8556</Words>
  <Characters>4877</Characters>
  <Application>Microsoft Office Word</Application>
  <DocSecurity>0</DocSecurity>
  <Lines>40</Lines>
  <Paragraphs>26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LM 019</cp:lastModifiedBy>
  <cp:revision>27</cp:revision>
  <dcterms:created xsi:type="dcterms:W3CDTF">2019-04-05T07:05:00Z</dcterms:created>
  <dcterms:modified xsi:type="dcterms:W3CDTF">2024-10-03T10:30:00Z</dcterms:modified>
</cp:coreProperties>
</file>