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631C" w:rsidRDefault="0008631C" w:rsidP="0008631C">
      <w:pPr>
        <w:pStyle w:val="af1"/>
        <w:framePr w:hSpace="45" w:wrap="around" w:vAnchor="text" w:hAnchor="page" w:x="1472" w:y="212"/>
        <w:tabs>
          <w:tab w:val="left" w:pos="9072"/>
        </w:tabs>
        <w:spacing w:before="0" w:beforeAutospacing="0" w:after="0" w:afterAutospacing="0"/>
        <w:ind w:left="5812"/>
        <w:rPr>
          <w:sz w:val="28"/>
          <w:szCs w:val="28"/>
        </w:rPr>
      </w:pPr>
      <w:r w:rsidRPr="00DE0BD9">
        <w:rPr>
          <w:sz w:val="28"/>
          <w:szCs w:val="28"/>
        </w:rPr>
        <w:t>ЗАТВЕРДЖЕНО</w:t>
      </w:r>
      <w:r w:rsidRPr="00DE0BD9">
        <w:rPr>
          <w:sz w:val="28"/>
          <w:szCs w:val="28"/>
        </w:rPr>
        <w:br/>
        <w:t>Постанова Національної комісії, що здійснює державне регулювання у сферах</w:t>
      </w:r>
      <w:r w:rsidRPr="00DE0BD9">
        <w:rPr>
          <w:sz w:val="28"/>
          <w:szCs w:val="28"/>
          <w:lang w:val="ru-RU"/>
        </w:rPr>
        <w:t xml:space="preserve"> </w:t>
      </w:r>
      <w:r w:rsidRPr="00DE0BD9">
        <w:rPr>
          <w:sz w:val="28"/>
          <w:szCs w:val="28"/>
        </w:rPr>
        <w:t>енергетики та комунальних</w:t>
      </w:r>
      <w:r w:rsidRPr="00DE0BD9">
        <w:rPr>
          <w:sz w:val="28"/>
          <w:szCs w:val="28"/>
          <w:lang w:val="ru-RU"/>
        </w:rPr>
        <w:t xml:space="preserve"> </w:t>
      </w:r>
      <w:r w:rsidRPr="00DE0BD9">
        <w:rPr>
          <w:sz w:val="28"/>
          <w:szCs w:val="28"/>
        </w:rPr>
        <w:t xml:space="preserve">послуг </w:t>
      </w:r>
    </w:p>
    <w:p w:rsidR="0008631C" w:rsidRPr="0063599D" w:rsidRDefault="0008631C" w:rsidP="0008631C">
      <w:pPr>
        <w:pStyle w:val="af1"/>
        <w:framePr w:hSpace="45" w:wrap="around" w:vAnchor="text" w:hAnchor="page" w:x="1472" w:y="212"/>
        <w:spacing w:before="0" w:beforeAutospacing="0" w:after="0" w:afterAutospacing="0"/>
        <w:ind w:left="5812"/>
        <w:rPr>
          <w:sz w:val="28"/>
          <w:szCs w:val="28"/>
        </w:rPr>
      </w:pPr>
      <w:r w:rsidRPr="0063599D">
        <w:rPr>
          <w:sz w:val="28"/>
          <w:szCs w:val="28"/>
        </w:rPr>
        <w:t>(у редакції постанови НКРЕКП</w:t>
      </w:r>
    </w:p>
    <w:p w:rsidR="0008631C" w:rsidRPr="009D7602" w:rsidRDefault="0008631C" w:rsidP="0008631C">
      <w:pPr>
        <w:pStyle w:val="af1"/>
        <w:framePr w:hSpace="45" w:wrap="around" w:vAnchor="text" w:hAnchor="page" w:x="1472" w:y="212"/>
        <w:tabs>
          <w:tab w:val="left" w:pos="9072"/>
        </w:tabs>
        <w:spacing w:before="0" w:beforeAutospacing="0" w:after="0" w:afterAutospacing="0"/>
        <w:ind w:left="5954" w:hanging="142"/>
        <w:rPr>
          <w:sz w:val="28"/>
          <w:szCs w:val="28"/>
        </w:rPr>
      </w:pPr>
      <w:r>
        <w:rPr>
          <w:sz w:val="28"/>
          <w:szCs w:val="28"/>
        </w:rPr>
        <w:t xml:space="preserve">від </w:t>
      </w:r>
      <w:r w:rsidR="006C0F83">
        <w:rPr>
          <w:sz w:val="28"/>
          <w:szCs w:val="28"/>
          <w:lang w:val="ru-RU"/>
        </w:rPr>
        <w:t>06.02.2024</w:t>
      </w:r>
      <w:r w:rsidR="006C0F83">
        <w:rPr>
          <w:sz w:val="28"/>
          <w:szCs w:val="28"/>
        </w:rPr>
        <w:t xml:space="preserve"> № 234</w:t>
      </w:r>
      <w:bookmarkStart w:id="0" w:name="_GoBack"/>
      <w:bookmarkEnd w:id="0"/>
      <w:r w:rsidRPr="0063599D">
        <w:rPr>
          <w:sz w:val="28"/>
          <w:szCs w:val="28"/>
        </w:rPr>
        <w:t>)</w:t>
      </w:r>
    </w:p>
    <w:p w:rsidR="00FF4C20" w:rsidRPr="00121192" w:rsidRDefault="00FF4C20" w:rsidP="00FF4C20">
      <w:pPr>
        <w:pStyle w:val="af1"/>
        <w:tabs>
          <w:tab w:val="left" w:pos="9072"/>
        </w:tabs>
        <w:spacing w:before="0" w:beforeAutospacing="0" w:after="0" w:afterAutospacing="0"/>
        <w:ind w:left="5954"/>
        <w:rPr>
          <w:b/>
          <w:sz w:val="28"/>
          <w:szCs w:val="28"/>
        </w:rPr>
      </w:pPr>
      <w:r w:rsidRPr="00121192">
        <w:rPr>
          <w:sz w:val="28"/>
          <w:szCs w:val="28"/>
        </w:rPr>
        <w:br w:type="textWrapping" w:clear="all"/>
      </w:r>
    </w:p>
    <w:p w:rsidR="00FF4C20" w:rsidRDefault="00FF4C20" w:rsidP="00FF4C20">
      <w:pPr>
        <w:tabs>
          <w:tab w:val="left" w:pos="5940"/>
        </w:tabs>
        <w:spacing w:after="0" w:line="276"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7E168B" w:rsidRPr="00121192" w:rsidRDefault="007E168B" w:rsidP="00FF4C20">
      <w:pPr>
        <w:tabs>
          <w:tab w:val="left" w:pos="5940"/>
        </w:tabs>
        <w:spacing w:after="0" w:line="276" w:lineRule="auto"/>
        <w:rPr>
          <w:rFonts w:ascii="Times New Roman" w:hAnsi="Times New Roman" w:cs="Times New Roman"/>
          <w:b/>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14-НКРЕКП-моніторинг-передача (річна) «Звіт про звернення та скарги користувачів системи передачі»</w:t>
      </w:r>
    </w:p>
    <w:p w:rsidR="00FF4C20" w:rsidRPr="00121192" w:rsidRDefault="00FF4C20" w:rsidP="00FF4C20">
      <w:pPr>
        <w:spacing w:after="0" w:line="276" w:lineRule="auto"/>
        <w:jc w:val="center"/>
        <w:rPr>
          <w:rFonts w:ascii="Times New Roman" w:hAnsi="Times New Roman" w:cs="Times New Roman"/>
          <w:b/>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FF4C20" w:rsidRPr="00121192" w:rsidRDefault="00FF4C20" w:rsidP="00FF4C20">
      <w:pPr>
        <w:spacing w:after="0" w:line="276" w:lineRule="auto"/>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8631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14</w:t>
      </w:r>
      <w:r w:rsidRPr="00121192">
        <w:rPr>
          <w:rFonts w:ascii="Times New Roman" w:hAnsi="Times New Roman" w:cs="Times New Roman"/>
          <w:sz w:val="28"/>
          <w:szCs w:val="28"/>
          <w:lang w:val="uk-UA"/>
        </w:rPr>
        <w:noBreakHyphen/>
        <w:t>НКРЕКП-моніторинг-передача (річна) «Звіт про звернення та скарги користувачів системи передачі» (далі – форма звітності № 14), а також термін її подання до Національної комісії, що здійснює державне регулювання у сферах енергетики та комунальних послуг (далі – НКРЕКП).</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FF4C20" w:rsidRPr="00121192"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FF4C20" w:rsidRDefault="00FF4C20" w:rsidP="00FF4C20">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5D5842" w:rsidRPr="00121192" w:rsidRDefault="005D5842" w:rsidP="00FF4C20">
      <w:pPr>
        <w:spacing w:after="0" w:line="276" w:lineRule="auto"/>
        <w:ind w:firstLine="567"/>
        <w:jc w:val="both"/>
        <w:rPr>
          <w:rFonts w:ascii="Times New Roman" w:hAnsi="Times New Roman" w:cs="Times New Roman"/>
          <w:sz w:val="28"/>
          <w:szCs w:val="28"/>
          <w:lang w:val="uk-UA"/>
        </w:rPr>
      </w:pPr>
    </w:p>
    <w:p w:rsidR="00FF4C20" w:rsidRDefault="00FF4C20" w:rsidP="007E168B">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7E168B" w:rsidRPr="007E168B" w:rsidRDefault="007E168B" w:rsidP="007E168B">
      <w:pPr>
        <w:spacing w:after="0" w:line="276" w:lineRule="auto"/>
        <w:jc w:val="center"/>
        <w:rPr>
          <w:rFonts w:ascii="Times New Roman" w:hAnsi="Times New Roman" w:cs="Times New Roman"/>
          <w:b/>
          <w:sz w:val="28"/>
          <w:szCs w:val="28"/>
          <w:lang w:val="uk-UA"/>
        </w:rPr>
      </w:pPr>
    </w:p>
    <w:p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08631C" w:rsidRDefault="0008631C" w:rsidP="0008631C">
      <w:pPr>
        <w:tabs>
          <w:tab w:val="left" w:pos="426"/>
          <w:tab w:val="left" w:pos="567"/>
        </w:tabs>
        <w:spacing w:after="0" w:line="276" w:lineRule="auto"/>
        <w:ind w:firstLine="567"/>
        <w:jc w:val="both"/>
        <w:rPr>
          <w:rFonts w:ascii="Times New Roman" w:hAnsi="Times New Roman" w:cs="Times New Roman"/>
          <w:sz w:val="28"/>
          <w:szCs w:val="28"/>
        </w:rPr>
      </w:pPr>
    </w:p>
    <w:p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14</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08631C" w:rsidRDefault="0008631C" w:rsidP="0008631C">
      <w:pPr>
        <w:tabs>
          <w:tab w:val="left" w:pos="426"/>
          <w:tab w:val="left" w:pos="993"/>
        </w:tabs>
        <w:spacing w:after="0" w:line="276" w:lineRule="auto"/>
        <w:ind w:firstLine="567"/>
        <w:jc w:val="both"/>
        <w:rPr>
          <w:rFonts w:ascii="Times New Roman" w:hAnsi="Times New Roman" w:cs="Times New Roman"/>
          <w:sz w:val="28"/>
          <w:szCs w:val="28"/>
        </w:rPr>
      </w:pP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6675E9">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sidR="006675E9">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5D5842">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6675E9">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6675E9">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8631C" w:rsidRPr="00665D42" w:rsidRDefault="0008631C" w:rsidP="0008631C">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w:t>
      </w:r>
      <w:r w:rsidRPr="00665D42">
        <w:rPr>
          <w:rFonts w:ascii="Times New Roman" w:eastAsia="Calibri" w:hAnsi="Times New Roman" w:cs="Times New Roman"/>
          <w:sz w:val="28"/>
          <w:szCs w:val="28"/>
          <w:shd w:val="clear" w:color="auto" w:fill="FFFFFF"/>
          <w:lang w:val="uk-UA"/>
        </w:rPr>
        <w:lastRenderedPageBreak/>
        <w:t xml:space="preserve">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14</w:t>
      </w:r>
      <w:r w:rsidRPr="00665D42">
        <w:rPr>
          <w:rFonts w:ascii="Times New Roman" w:eastAsia="Calibri" w:hAnsi="Times New Roman" w:cs="Times New Roman"/>
          <w:sz w:val="28"/>
          <w:szCs w:val="28"/>
          <w:shd w:val="clear" w:color="auto" w:fill="FFFFFF"/>
          <w:lang w:val="uk-UA"/>
        </w:rPr>
        <w:t xml:space="preserve"> до НКРЕКП.</w:t>
      </w:r>
    </w:p>
    <w:p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p>
    <w:p w:rsidR="0008631C" w:rsidRPr="00665D42" w:rsidRDefault="0008631C" w:rsidP="0008631C">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14</w:t>
      </w:r>
      <w:r w:rsidRPr="00665D42">
        <w:rPr>
          <w:rFonts w:ascii="Times New Roman" w:eastAsia="Times New Roman" w:hAnsi="Times New Roman" w:cs="Times New Roman"/>
          <w:sz w:val="28"/>
          <w:szCs w:val="28"/>
          <w:lang w:val="uk-UA" w:eastAsia="uk-UA"/>
        </w:rPr>
        <w:t xml:space="preserve">. </w:t>
      </w:r>
    </w:p>
    <w:p w:rsidR="0008631C" w:rsidRPr="00665D42" w:rsidRDefault="0008631C" w:rsidP="0008631C">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14</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08631C" w:rsidRPr="000B2A6D" w:rsidRDefault="0008631C" w:rsidP="0008631C">
      <w:pPr>
        <w:tabs>
          <w:tab w:val="left" w:pos="993"/>
        </w:tabs>
        <w:spacing w:after="0" w:line="276" w:lineRule="auto"/>
        <w:ind w:firstLine="567"/>
        <w:jc w:val="both"/>
        <w:rPr>
          <w:sz w:val="28"/>
          <w:szCs w:val="28"/>
        </w:rPr>
      </w:pPr>
    </w:p>
    <w:p w:rsidR="0008631C" w:rsidRPr="00665D42"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08631C" w:rsidRDefault="0008631C" w:rsidP="0008631C">
      <w:pPr>
        <w:tabs>
          <w:tab w:val="left" w:pos="993"/>
        </w:tabs>
        <w:spacing w:after="0" w:line="276" w:lineRule="auto"/>
        <w:ind w:firstLine="567"/>
        <w:jc w:val="both"/>
        <w:rPr>
          <w:rFonts w:ascii="Times New Roman" w:hAnsi="Times New Roman" w:cs="Times New Roman"/>
          <w:sz w:val="28"/>
          <w:szCs w:val="28"/>
          <w:lang w:val="uk-UA"/>
        </w:rPr>
      </w:pPr>
      <w:r w:rsidRPr="0084720A">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14</w:t>
      </w:r>
      <w:r w:rsidRPr="0084720A">
        <w:rPr>
          <w:rFonts w:ascii="Times New Roman" w:hAnsi="Times New Roman" w:cs="Times New Roman"/>
          <w:sz w:val="28"/>
          <w:szCs w:val="28"/>
          <w:lang w:val="uk-UA"/>
        </w:rPr>
        <w:t xml:space="preserve"> наводяться без урахування податку на додану вартість (далі – ПДВ).</w:t>
      </w:r>
    </w:p>
    <w:p w:rsidR="0008631C" w:rsidRPr="006031A3" w:rsidRDefault="0008631C" w:rsidP="0008631C">
      <w:pPr>
        <w:tabs>
          <w:tab w:val="left" w:pos="993"/>
        </w:tabs>
        <w:spacing w:after="0" w:line="276" w:lineRule="auto"/>
        <w:ind w:firstLine="567"/>
        <w:jc w:val="both"/>
        <w:rPr>
          <w:rFonts w:ascii="Times New Roman" w:hAnsi="Times New Roman" w:cs="Times New Roman"/>
          <w:sz w:val="28"/>
          <w:szCs w:val="28"/>
          <w:lang w:val="uk-UA"/>
        </w:rPr>
      </w:pPr>
    </w:p>
    <w:p w:rsidR="0008631C" w:rsidRPr="00665D42"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8631C"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08631C" w:rsidRPr="00454176" w:rsidRDefault="0008631C" w:rsidP="0008631C">
      <w:pPr>
        <w:tabs>
          <w:tab w:val="left" w:pos="993"/>
        </w:tabs>
        <w:spacing w:after="0" w:line="276" w:lineRule="auto"/>
        <w:ind w:firstLine="709"/>
        <w:jc w:val="both"/>
        <w:rPr>
          <w:sz w:val="28"/>
          <w:szCs w:val="28"/>
          <w:lang w:val="uk-UA"/>
        </w:rPr>
      </w:pPr>
    </w:p>
    <w:p w:rsidR="0008631C" w:rsidRPr="00665D42" w:rsidRDefault="0008631C" w:rsidP="0008631C">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14</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6675E9">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6675E9">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rsidR="00FF4C20" w:rsidRPr="00121192" w:rsidRDefault="00FF4C20" w:rsidP="00FF4C20">
      <w:pPr>
        <w:spacing w:after="0" w:line="276" w:lineRule="auto"/>
        <w:jc w:val="both"/>
        <w:rPr>
          <w:rFonts w:ascii="Times New Roman" w:hAnsi="Times New Roman" w:cs="Times New Roman"/>
          <w:sz w:val="28"/>
          <w:szCs w:val="28"/>
          <w:lang w:val="uk-UA"/>
        </w:rPr>
      </w:pPr>
    </w:p>
    <w:p w:rsidR="00FF4C20" w:rsidRPr="00121192" w:rsidRDefault="00FF4C20" w:rsidP="00FF4C20">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14</w:t>
      </w:r>
    </w:p>
    <w:p w:rsidR="00FF4C20" w:rsidRPr="00121192" w:rsidRDefault="00FF4C20" w:rsidP="00FF4C20">
      <w:pPr>
        <w:spacing w:after="0" w:line="276" w:lineRule="auto"/>
        <w:jc w:val="center"/>
        <w:rPr>
          <w:rFonts w:ascii="Times New Roman" w:hAnsi="Times New Roman" w:cs="Times New Roman"/>
          <w:b/>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І «Інформація щодо  кількості  скарг (претензій)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скарг (претензій) користувачів протягом звітного періоду</w:t>
      </w:r>
      <w:r>
        <w:rPr>
          <w:rFonts w:ascii="Times New Roman" w:hAnsi="Times New Roman" w:cs="Times New Roman"/>
          <w:sz w:val="28"/>
          <w:szCs w:val="28"/>
          <w:lang w:val="uk-UA"/>
        </w:rPr>
        <w:t xml:space="preserve"> (графа 1)</w:t>
      </w: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загальної </w:t>
      </w:r>
      <w:r w:rsidRPr="00121192">
        <w:rPr>
          <w:rFonts w:ascii="Times New Roman" w:hAnsi="Times New Roman" w:cs="Times New Roman"/>
          <w:sz w:val="28"/>
          <w:szCs w:val="28"/>
          <w:lang w:val="uk-UA"/>
        </w:rPr>
        <w:t>кількості скарг (претензій), які на кінець звітного періоду залишаються не</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вирішеними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у розрізі категорій користувачів (графи </w:t>
      </w:r>
      <w:r w:rsidR="0008631C">
        <w:rPr>
          <w:rFonts w:ascii="Times New Roman" w:hAnsi="Times New Roman" w:cs="Times New Roman"/>
          <w:sz w:val="28"/>
          <w:szCs w:val="28"/>
          <w:lang w:val="uk-UA"/>
        </w:rPr>
        <w:lastRenderedPageBreak/>
        <w:t>11</w:t>
      </w:r>
      <w:r w:rsidRPr="00121192">
        <w:rPr>
          <w:rFonts w:ascii="Times New Roman" w:hAnsi="Times New Roman" w:cs="Times New Roman"/>
          <w:sz w:val="28"/>
          <w:szCs w:val="28"/>
          <w:lang w:val="uk-UA"/>
        </w:rPr>
        <w:t xml:space="preserve"> – 1</w:t>
      </w:r>
      <w:r w:rsidR="0008631C">
        <w:rPr>
          <w:rFonts w:ascii="Times New Roman" w:hAnsi="Times New Roman" w:cs="Times New Roman"/>
          <w:sz w:val="28"/>
          <w:szCs w:val="28"/>
          <w:lang w:val="uk-UA"/>
        </w:rPr>
        <w:t>7</w:t>
      </w:r>
      <w:r w:rsidRPr="00121192">
        <w:rPr>
          <w:rFonts w:ascii="Times New Roman" w:hAnsi="Times New Roman" w:cs="Times New Roman"/>
          <w:sz w:val="28"/>
          <w:szCs w:val="28"/>
          <w:lang w:val="uk-UA"/>
        </w:rPr>
        <w:t>) і замовників (графа 1</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відповідно до теми скарги (претензії) (рядки 005 – 155):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005 «Приєднання до мережі» вказується сумарна кількість скарг (претензій) з питань приєднання до мережі;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 у рядку 010 «Облік» вказується сумарна кількість скарг (претензій) з питань комерційного обліку електричної енергії, що визначається як сума рядків 015 – 020, зокрема</w:t>
      </w: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015) або функцій адміністратора комерційного обліку (рядок 020);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 у рядку 025 «Якість  електропостачання» вказується сумарна кількість скарг (претензій) з питань якості електропостачання, що визначається як сума рядків 030 – 040;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045 «Планування розвитку системи передачі» вказується сумарна кількість скарг (претензій) з питань планування розвитку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050 «Експлуатація системи передачі та електроустановок користувачів системи передачі» вказується сумарна кількість скарг (претензій) з питань експлуатації системи передачі та електроустановок користувачів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6) у рядку 055 «Оперативне планування роботи системи передачі» вказується кількість скарг (претензій) з питань оперативного планування роботи системи передачі (планування зміни стану обладнання системи передачі та </w:t>
      </w:r>
      <w:r>
        <w:rPr>
          <w:rFonts w:ascii="Times New Roman" w:hAnsi="Times New Roman" w:cs="Times New Roman"/>
          <w:sz w:val="28"/>
          <w:szCs w:val="28"/>
          <w:lang w:val="uk-UA"/>
        </w:rPr>
        <w:t>к</w:t>
      </w:r>
      <w:r w:rsidRPr="00121192">
        <w:rPr>
          <w:rFonts w:ascii="Times New Roman" w:hAnsi="Times New Roman" w:cs="Times New Roman"/>
          <w:sz w:val="28"/>
          <w:szCs w:val="28"/>
          <w:lang w:val="uk-UA"/>
        </w:rPr>
        <w:t>ористувачів, координація виведення з роботи, введення в роботу обладнання, прогнозування споживання та виробництва електричної енергії тощо);</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060 «Диспетчерське (оперативно-технологічне) управління» вказується сумарна кількість скарг (претензій) з питань диспетчерського (оперативно-технологічного) управління;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8) у рядку 065 «Надання/використання допоміжних послуг» вказується сумарна кількість скарг (претензій) з питань надання/використання допоміжних послуг;</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 xml:space="preserve">9)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070 «Функціонування балансуючого ринку» вказується кількість скарг (претензій) з питань функціонування балансуючого ринку;</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075 «Розподіл пропускної спроможності» вказується сумарна кількість скарг (претензій) з питань розподілу пропускної спроможності;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11) </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080 «Договір про надання послуг з передачі електричної енергії» вказується кількість скарг (претензій) з питань договірних умов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у рядку 085 «Договір про надання послуг з диспетчерського (оперативно-технологічного) управління» вказується кількість скарг (претензій) з питань договірних умов надання послуг з диспетчерського (оперативно-технологічного) управління;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090 «Припинення/обмеження передачі електричної енергії» вказується кількість скарг (претензій) з питань припинення/обмеження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095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скарг (претензій)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100 «Виставлення рахунків за послуги з диспетчерського управління ОЕС» вказується кількість скарг (претензій) з питань виставлення рахунків за послуги з диспетчерського управління ОЕС; </w:t>
      </w:r>
    </w:p>
    <w:p w:rsidR="0014743F" w:rsidRPr="00121192" w:rsidRDefault="0014743F"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CC60EB">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105 «Тарифи» вказується кількість скарг (претензій) з питань тарифів на передачу електричної енергії та на послуги з централізованого диспетчерського управління, що визначається як сума рядків 110 – 115;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 у рядку 120 «Відшкодування  збитків, компенсація» вказується кількість скарг (претензій) з питань відшкодування завданих користувачам збитків та/або компенсації споживачам;</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18) у рядку 125 «Неконкурентна поведінка» вказується кількість скарг (претензій) з питань неконкурентної поведінки на ринку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 xml:space="preserve">19) у рядку 130 «Зміна постачальника» вказується кількість скарг (претензій) з питань зміни споживачем </w:t>
      </w:r>
      <w:proofErr w:type="spellStart"/>
      <w:r w:rsidRPr="00121192">
        <w:rPr>
          <w:rFonts w:ascii="Times New Roman" w:hAnsi="Times New Roman" w:cs="Times New Roman"/>
          <w:sz w:val="28"/>
          <w:szCs w:val="28"/>
          <w:lang w:val="uk-UA"/>
        </w:rPr>
        <w:t>електропостачальника</w:t>
      </w:r>
      <w:proofErr w:type="spellEnd"/>
      <w:r w:rsidRPr="00121192">
        <w:rPr>
          <w:rFonts w:ascii="Times New Roman" w:hAnsi="Times New Roman" w:cs="Times New Roman"/>
          <w:sz w:val="28"/>
          <w:szCs w:val="28"/>
          <w:lang w:val="uk-UA"/>
        </w:rPr>
        <w:t>;</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20)</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135 «Скарги на працівників компанії» вказується кількість скарг (претензій) на працівників ОСП;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140 «Додаткові послуги» вказується кількість скарг (претензій) з питань надання додаткових послуг користувачам;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 xml:space="preserve">) у рядку 145 «Надання іншої довідкової інформації» вказується кількість скарг (претензій) з інших питань передачі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Pr="00121192">
        <w:rPr>
          <w:rFonts w:ascii="Times New Roman" w:hAnsi="Times New Roman" w:cs="Times New Roman"/>
          <w:sz w:val="28"/>
          <w:szCs w:val="28"/>
          <w:lang w:val="uk-UA"/>
        </w:rPr>
        <w:t>) у рядку 150 «Питання електропостачання, які не стосуються ОСП» вказується кількість скарг (претензій) з питань постачання, розподілу електричної енергії, діяльності оператора ринку тощо, які не стосуються ОСП;</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 у рядку 155 «Звернення, які не стосуються питань електропостачання» вказується кількість скарг (претензій) з питань, що не стосуються електропостачання.</w:t>
      </w:r>
    </w:p>
    <w:p w:rsidR="00FF4C20" w:rsidRPr="00121192" w:rsidRDefault="00FF4C20" w:rsidP="00FF4C20">
      <w:pPr>
        <w:tabs>
          <w:tab w:val="left" w:pos="567"/>
        </w:tab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3.2. У розділі ІІ «Інформація щодо  кількості звернень (запитів) у розрізі категорій користувачів» відображається інформація щодо</w:t>
      </w:r>
      <w:r>
        <w:rPr>
          <w:rFonts w:ascii="Times New Roman" w:hAnsi="Times New Roman" w:cs="Times New Roman"/>
          <w:sz w:val="28"/>
          <w:szCs w:val="28"/>
          <w:lang w:val="uk-UA"/>
        </w:rPr>
        <w:t xml:space="preserve"> загальної</w:t>
      </w:r>
      <w:r w:rsidRPr="00121192">
        <w:rPr>
          <w:rFonts w:ascii="Times New Roman" w:hAnsi="Times New Roman" w:cs="Times New Roman"/>
          <w:sz w:val="28"/>
          <w:szCs w:val="28"/>
          <w:lang w:val="uk-UA"/>
        </w:rPr>
        <w:t xml:space="preserve"> кількості зареєстрованих звернень (</w:t>
      </w:r>
      <w:r>
        <w:rPr>
          <w:rFonts w:ascii="Times New Roman" w:hAnsi="Times New Roman" w:cs="Times New Roman"/>
          <w:sz w:val="28"/>
          <w:szCs w:val="28"/>
          <w:lang w:val="uk-UA"/>
        </w:rPr>
        <w:t>окрім скарг та претензій</w:t>
      </w:r>
      <w:r w:rsidRPr="00121192">
        <w:rPr>
          <w:rFonts w:ascii="Times New Roman" w:hAnsi="Times New Roman" w:cs="Times New Roman"/>
          <w:sz w:val="28"/>
          <w:szCs w:val="28"/>
          <w:lang w:val="uk-UA"/>
        </w:rPr>
        <w:t xml:space="preserve">) протягом звітного періоду </w:t>
      </w:r>
      <w:r w:rsidRPr="002127C0">
        <w:rPr>
          <w:rFonts w:ascii="Times New Roman" w:hAnsi="Times New Roman" w:cs="Times New Roman"/>
          <w:sz w:val="28"/>
          <w:szCs w:val="28"/>
          <w:lang w:val="uk-UA"/>
        </w:rPr>
        <w:t>(</w:t>
      </w:r>
      <w:r>
        <w:rPr>
          <w:rFonts w:ascii="Times New Roman" w:hAnsi="Times New Roman" w:cs="Times New Roman"/>
          <w:sz w:val="28"/>
          <w:szCs w:val="28"/>
          <w:lang w:val="uk-UA"/>
        </w:rPr>
        <w:t>графа 1) в</w:t>
      </w:r>
      <w:r w:rsidRPr="00121192">
        <w:rPr>
          <w:rFonts w:ascii="Times New Roman" w:hAnsi="Times New Roman" w:cs="Times New Roman"/>
          <w:sz w:val="28"/>
          <w:szCs w:val="28"/>
          <w:lang w:val="uk-UA"/>
        </w:rPr>
        <w:t xml:space="preserve"> розрізі категорій користувачів (графи </w:t>
      </w:r>
      <w:r>
        <w:rPr>
          <w:rFonts w:ascii="Times New Roman" w:hAnsi="Times New Roman" w:cs="Times New Roman"/>
          <w:sz w:val="28"/>
          <w:szCs w:val="28"/>
          <w:lang w:val="uk-UA"/>
        </w:rPr>
        <w:t>2</w:t>
      </w:r>
      <w:r w:rsidRPr="00121192">
        <w:rPr>
          <w:rFonts w:ascii="Times New Roman" w:hAnsi="Times New Roman" w:cs="Times New Roman"/>
          <w:sz w:val="28"/>
          <w:szCs w:val="28"/>
          <w:lang w:val="uk-UA"/>
        </w:rPr>
        <w:t xml:space="preserve"> – </w:t>
      </w:r>
      <w:r w:rsidR="0008631C">
        <w:rPr>
          <w:rFonts w:ascii="Times New Roman" w:hAnsi="Times New Roman" w:cs="Times New Roman"/>
          <w:sz w:val="28"/>
          <w:szCs w:val="28"/>
          <w:lang w:val="uk-UA"/>
        </w:rPr>
        <w:t>8</w:t>
      </w:r>
      <w:r w:rsidRPr="00121192">
        <w:rPr>
          <w:rFonts w:ascii="Times New Roman" w:hAnsi="Times New Roman" w:cs="Times New Roman"/>
          <w:sz w:val="28"/>
          <w:szCs w:val="28"/>
          <w:lang w:val="uk-UA"/>
        </w:rPr>
        <w:t xml:space="preserve">) і замовників (графа </w:t>
      </w:r>
      <w:r w:rsidR="0008631C">
        <w:rPr>
          <w:rFonts w:ascii="Times New Roman" w:hAnsi="Times New Roman" w:cs="Times New Roman"/>
          <w:sz w:val="28"/>
          <w:szCs w:val="28"/>
          <w:lang w:val="uk-UA"/>
        </w:rPr>
        <w:t>9</w:t>
      </w:r>
      <w:r w:rsidRPr="00121192">
        <w:rPr>
          <w:rFonts w:ascii="Times New Roman" w:hAnsi="Times New Roman" w:cs="Times New Roman"/>
          <w:sz w:val="28"/>
          <w:szCs w:val="28"/>
          <w:lang w:val="uk-UA"/>
        </w:rPr>
        <w:t xml:space="preserve">) та </w:t>
      </w:r>
      <w:r>
        <w:rPr>
          <w:rFonts w:ascii="Times New Roman" w:hAnsi="Times New Roman" w:cs="Times New Roman"/>
          <w:sz w:val="28"/>
          <w:szCs w:val="28"/>
          <w:lang w:val="uk-UA"/>
        </w:rPr>
        <w:t>в</w:t>
      </w:r>
      <w:r w:rsidRPr="002127C0">
        <w:rPr>
          <w:rFonts w:ascii="Times New Roman" w:hAnsi="Times New Roman" w:cs="Times New Roman"/>
          <w:sz w:val="28"/>
          <w:szCs w:val="28"/>
          <w:lang w:val="uk-UA"/>
        </w:rPr>
        <w:t>ід інших осіб, що не є користувачами/замовниками</w:t>
      </w:r>
      <w:r>
        <w:rPr>
          <w:rFonts w:ascii="Times New Roman" w:hAnsi="Times New Roman" w:cs="Times New Roman"/>
          <w:sz w:val="28"/>
          <w:szCs w:val="28"/>
          <w:lang w:val="uk-UA"/>
        </w:rPr>
        <w:t xml:space="preserve"> (графа </w:t>
      </w:r>
      <w:r w:rsidR="0008631C">
        <w:rPr>
          <w:rFonts w:ascii="Times New Roman" w:hAnsi="Times New Roman" w:cs="Times New Roman"/>
          <w:sz w:val="28"/>
          <w:szCs w:val="28"/>
          <w:lang w:val="uk-UA"/>
        </w:rPr>
        <w:t>10</w:t>
      </w:r>
      <w:r>
        <w:rPr>
          <w:rFonts w:ascii="Times New Roman" w:hAnsi="Times New Roman" w:cs="Times New Roman"/>
          <w:sz w:val="28"/>
          <w:szCs w:val="28"/>
          <w:lang w:val="uk-UA"/>
        </w:rPr>
        <w:t>),</w:t>
      </w:r>
      <w:r w:rsidRPr="00121192">
        <w:rPr>
          <w:rFonts w:ascii="Times New Roman" w:hAnsi="Times New Roman" w:cs="Times New Roman"/>
          <w:sz w:val="28"/>
          <w:szCs w:val="28"/>
          <w:lang w:val="uk-UA"/>
        </w:rPr>
        <w:t xml:space="preserve"> відповідно до теми скарги (претензії) (рядки 160 – 310):</w:t>
      </w:r>
    </w:p>
    <w:p w:rsidR="0008631C" w:rsidRPr="00121192" w:rsidRDefault="0008631C"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 у рядку 160 «Приєднання до мережі» вказується сумарна кількість звернень (запитів) з питань приєднання до мережі;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 у рядку 165 «Облік» вказується сумарна кількість звернень (запитів) з питань комерційного обліку електричної енергії, що визначається як сума рядків 170 – 175, зокрема питань виконання ОСП функцій </w:t>
      </w:r>
      <w:r>
        <w:rPr>
          <w:rFonts w:ascii="Times New Roman" w:hAnsi="Times New Roman" w:cs="Times New Roman"/>
          <w:sz w:val="28"/>
          <w:szCs w:val="28"/>
          <w:lang w:val="uk-UA"/>
        </w:rPr>
        <w:t>ППКО</w:t>
      </w:r>
      <w:r w:rsidRPr="00121192">
        <w:rPr>
          <w:rFonts w:ascii="Times New Roman" w:hAnsi="Times New Roman" w:cs="Times New Roman"/>
          <w:sz w:val="28"/>
          <w:szCs w:val="28"/>
          <w:lang w:val="uk-UA"/>
        </w:rPr>
        <w:t xml:space="preserve"> (рядок 170) або функцій адміністратора комерційного обліку (рядок 175);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3) у рядку 180 «Якість  електропостачання» вказується сумарна кількість звернень (запитів) з питань якості електропостачання, що визначається як сума рядків 185 – 195;</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4) у рядку 200 «Планування розвитку системи передачі» вказується сумарна кількість звернень (запитів) з питань планування розвитку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5) у рядку 205 «Експлуатація системи передачі та електроустановок користувачів системи передачі» вказується сумарна кількість звернень (запитів) з питань експлуатації системи передачі та електроустановок користувачів системи передачі;</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6) у рядку 210 «Оперативне планування роботи системи передачі» вказується кількість звернень (запитів) з питань оперативного планування роботи системи передачі (планування зміни стану обладнання системи передачі та користувачів, координація виведення з роботи, введення в роботу обладнання, прогнозування споживання та виробництва електричної енергії тощо);</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7) у рядку 215 «Диспетчерське (оперативно-технологічне) управління» вказується сумарна кількість звернень (запитів) з питань диспетчерського (оперативно-технологічного) управління;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8) у рядку 220 «Надання/використання допоміжних послуг» вказується сумарна кількість звернень (запитів) з питань надання/використання допоміжних послуг;</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9) у рядку 225 «Функціонування балансуючого ринку» вказується кількість звернень (запитів) з питань функціонування балансуючого ринку;</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10) у рядку 230 «Розподіл пропускної спроможності» вказується сумарна кількість звернень (запитів) з питань розподілу пропускної спроможності; </w:t>
      </w:r>
    </w:p>
    <w:p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235 «Договір про надання послуг з передачі електричної енергії» вказується кількість звернень (запитів) з питань договірних умов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lastRenderedPageBreak/>
        <w:t>12) у рядку 240 «Договір про надання послуг з диспетчерського (оперативно-технологічного) управління» вказується кількість звернень (запитів) з питань договірних умов надання послуг з диспетчерського (оперативно-технологічного) управління;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у рядку 245 «Припинення/обмеження передачі електричної енергії» вказується кількість звернень (запитів) з питань припинення/обмеження передачі електричної 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14) у рядку 250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 вказується кількість звернень (запитів) з питань виставлення рахунків за передачу електр</w:t>
      </w:r>
      <w:r>
        <w:rPr>
          <w:rFonts w:ascii="Times New Roman" w:hAnsi="Times New Roman" w:cs="Times New Roman"/>
          <w:sz w:val="28"/>
          <w:szCs w:val="28"/>
          <w:lang w:val="uk-UA"/>
        </w:rPr>
        <w:t xml:space="preserve">ичної </w:t>
      </w:r>
      <w:r w:rsidRPr="00121192">
        <w:rPr>
          <w:rFonts w:ascii="Times New Roman" w:hAnsi="Times New Roman" w:cs="Times New Roman"/>
          <w:sz w:val="28"/>
          <w:szCs w:val="28"/>
          <w:lang w:val="uk-UA"/>
        </w:rPr>
        <w:t>енергії;</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15) у рядку 255 «Виставлення рахунків за послуги з диспетчерського управління ОЕС» вказується кількість звернень (запитів) з питань виставлення рахунків за послуги з диспетчерського управління ОЕС;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16) у рядку 260 «Тарифи» вказується кількість звернень (запитів) з питань тарифів на передачу електричної енергії та на послуги з централізованого диспетчерського управління, що визначається як сума рядків 265 – 270;</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17) у рядку 275 «Відшкодування  збитків, компенсація» вказується кількість звернень (запитів) з питань відшкодування завданих користувачам збитків та/або компенсації споживачам;</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18) у рядку 280 «Неконкурентна поведінка» вказується кількість звернень (запитів) з питань неконкурентної поведінки на ринку електричної енергії; </w:t>
      </w:r>
    </w:p>
    <w:p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19) у рядку 285 «Зміна постачальника» вказується кількість звернень (запитів) з питань зміни споживачем </w:t>
      </w:r>
      <w:proofErr w:type="spellStart"/>
      <w:r w:rsidRPr="00121192">
        <w:rPr>
          <w:rFonts w:ascii="Times New Roman" w:hAnsi="Times New Roman" w:cs="Times New Roman"/>
          <w:sz w:val="28"/>
          <w:szCs w:val="28"/>
          <w:lang w:val="uk-UA"/>
        </w:rPr>
        <w:t>електропостачальника</w:t>
      </w:r>
      <w:proofErr w:type="spellEnd"/>
      <w:r w:rsidRPr="00121192">
        <w:rPr>
          <w:rFonts w:ascii="Times New Roman" w:hAnsi="Times New Roman" w:cs="Times New Roman"/>
          <w:sz w:val="28"/>
          <w:szCs w:val="28"/>
          <w:lang w:val="uk-UA"/>
        </w:rPr>
        <w:t>;</w:t>
      </w:r>
    </w:p>
    <w:p w:rsidR="00FF4C20" w:rsidRPr="00CC60EB" w:rsidRDefault="00FF4C20" w:rsidP="00FF4C20">
      <w:pPr>
        <w:tabs>
          <w:tab w:val="left" w:pos="993"/>
        </w:tabs>
        <w:spacing w:after="0" w:line="276" w:lineRule="auto"/>
        <w:ind w:firstLine="567"/>
        <w:jc w:val="both"/>
        <w:rPr>
          <w:rFonts w:ascii="Times New Roman" w:hAnsi="Times New Roman" w:cs="Times New Roman"/>
          <w:sz w:val="24"/>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20) у рядку 290 «Скарги на працівників компанії» вказується кількість звернень (запитів) на працівників ОСП; </w:t>
      </w:r>
    </w:p>
    <w:p w:rsidR="003351E6" w:rsidRPr="00121192" w:rsidRDefault="003351E6" w:rsidP="00FF4C20">
      <w:pPr>
        <w:tabs>
          <w:tab w:val="left" w:pos="993"/>
        </w:tabs>
        <w:spacing w:after="0" w:line="276" w:lineRule="auto"/>
        <w:ind w:firstLine="567"/>
        <w:jc w:val="both"/>
        <w:rPr>
          <w:rFonts w:ascii="Times New Roman" w:hAnsi="Times New Roman" w:cs="Times New Roman"/>
          <w:sz w:val="28"/>
          <w:szCs w:val="28"/>
          <w:lang w:val="uk-UA"/>
        </w:rPr>
      </w:pPr>
    </w:p>
    <w:p w:rsidR="00FF4C20"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21) у рядку 295 «Додаткові послуги» вказується кількість звернень (запитів) з питань надання додаткових послуг користувачам; </w:t>
      </w:r>
    </w:p>
    <w:p w:rsidR="005C1A50" w:rsidRPr="00121192" w:rsidRDefault="005C1A5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 xml:space="preserve">у рядку 300 «Надання іншої довідкової інформації» вказується кількість звернень (запитів) з інших питань передачі електричної енергії; </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23</w:t>
      </w:r>
      <w:r w:rsidRPr="00121192">
        <w:rPr>
          <w:rFonts w:ascii="Times New Roman" w:hAnsi="Times New Roman" w:cs="Times New Roman"/>
          <w:sz w:val="28"/>
          <w:szCs w:val="28"/>
          <w:lang w:val="uk-UA"/>
        </w:rPr>
        <w:t>) у рядку 305 «Питання електропостачання, які не стосуються ОСП» вказується кількість звернень (запитів) з питань постачання, розподілу електричної енергії, діяльності оператора ринку тощо, які не стосуються ОСП;</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 </w:t>
      </w:r>
      <w:r>
        <w:rPr>
          <w:rFonts w:ascii="Times New Roman" w:hAnsi="Times New Roman" w:cs="Times New Roman"/>
          <w:sz w:val="28"/>
          <w:szCs w:val="28"/>
          <w:lang w:val="uk-UA"/>
        </w:rPr>
        <w:t>24</w:t>
      </w:r>
      <w:r w:rsidRPr="00121192">
        <w:rPr>
          <w:rFonts w:ascii="Times New Roman" w:hAnsi="Times New Roman" w:cs="Times New Roman"/>
          <w:sz w:val="28"/>
          <w:szCs w:val="28"/>
          <w:lang w:val="uk-UA"/>
        </w:rPr>
        <w:t>)</w:t>
      </w:r>
      <w:r w:rsidR="00CC60EB">
        <w:rPr>
          <w:rFonts w:ascii="Times New Roman" w:hAnsi="Times New Roman" w:cs="Times New Roman"/>
          <w:sz w:val="28"/>
          <w:szCs w:val="28"/>
          <w:lang w:val="uk-UA"/>
        </w:rPr>
        <w:t xml:space="preserve"> </w:t>
      </w:r>
      <w:r w:rsidRPr="00121192">
        <w:rPr>
          <w:rFonts w:ascii="Times New Roman" w:hAnsi="Times New Roman" w:cs="Times New Roman"/>
          <w:sz w:val="28"/>
          <w:szCs w:val="28"/>
          <w:lang w:val="uk-UA"/>
        </w:rPr>
        <w:t>у рядку 310 «Звернення, які не стосуються питань електропостачання» вказується кількість звернень (запитів) з питань, що не стосуються електропостачання.</w:t>
      </w:r>
    </w:p>
    <w:p w:rsidR="00FF4C20" w:rsidRPr="00121192" w:rsidRDefault="00FF4C20" w:rsidP="00FF4C20">
      <w:pPr>
        <w:tabs>
          <w:tab w:val="left" w:pos="993"/>
        </w:tabs>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rsidR="00FF4C20" w:rsidRPr="00121192" w:rsidRDefault="00FF4C20" w:rsidP="0008631C">
      <w:pPr>
        <w:spacing w:after="0" w:line="276" w:lineRule="auto"/>
        <w:jc w:val="both"/>
        <w:rPr>
          <w:rFonts w:ascii="Times New Roman" w:hAnsi="Times New Roman" w:cs="Times New Roman"/>
          <w:sz w:val="28"/>
          <w:szCs w:val="28"/>
          <w:lang w:val="uk-UA"/>
        </w:rPr>
      </w:pPr>
    </w:p>
    <w:p w:rsidR="0008631C" w:rsidRDefault="0008631C" w:rsidP="0008631C">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08631C" w:rsidRPr="00353F2A" w:rsidRDefault="0008631C" w:rsidP="0008631C">
      <w:pPr>
        <w:spacing w:after="0" w:line="240" w:lineRule="auto"/>
        <w:ind w:firstLine="567"/>
        <w:jc w:val="center"/>
        <w:rPr>
          <w:rFonts w:ascii="Times New Roman" w:hAnsi="Times New Roman" w:cs="Times New Roman"/>
          <w:sz w:val="28"/>
          <w:szCs w:val="28"/>
          <w:lang w:val="uk-UA"/>
        </w:rPr>
      </w:pPr>
    </w:p>
    <w:p w:rsidR="0008631C" w:rsidRDefault="0008631C" w:rsidP="0008631C">
      <w:pPr>
        <w:pStyle w:val="af6"/>
        <w:ind w:firstLine="709"/>
        <w:rPr>
          <w:szCs w:val="28"/>
        </w:rPr>
      </w:pPr>
      <w:r w:rsidRPr="00353F2A">
        <w:rPr>
          <w:szCs w:val="28"/>
        </w:rPr>
        <w:t xml:space="preserve">4.1. </w:t>
      </w:r>
      <w:r>
        <w:rPr>
          <w:szCs w:val="28"/>
        </w:rPr>
        <w:t>Електронний бланк форми звітності № 14</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8631C" w:rsidRDefault="0008631C" w:rsidP="0008631C">
      <w:pPr>
        <w:pStyle w:val="af6"/>
        <w:ind w:firstLine="709"/>
        <w:rPr>
          <w:szCs w:val="28"/>
        </w:rPr>
      </w:pPr>
    </w:p>
    <w:p w:rsidR="0008631C" w:rsidRPr="00CB35BE" w:rsidRDefault="0008631C" w:rsidP="0008631C">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14 </w:t>
      </w:r>
      <w:r w:rsidRPr="00CB35BE">
        <w:rPr>
          <w:szCs w:val="28"/>
        </w:rPr>
        <w:t xml:space="preserve">здійснюється </w:t>
      </w:r>
      <w:r>
        <w:rPr>
          <w:szCs w:val="28"/>
        </w:rPr>
        <w:t>таким чином:</w:t>
      </w:r>
    </w:p>
    <w:p w:rsidR="0008631C" w:rsidRPr="00422C0D" w:rsidRDefault="0008631C" w:rsidP="0008631C">
      <w:pPr>
        <w:pStyle w:val="af6"/>
        <w:ind w:firstLine="709"/>
        <w:rPr>
          <w:szCs w:val="28"/>
        </w:rPr>
      </w:pPr>
      <w:r w:rsidRPr="00422C0D">
        <w:rPr>
          <w:szCs w:val="28"/>
        </w:rPr>
        <w:t>ХХХХХХХХ_1</w:t>
      </w:r>
      <w:r>
        <w:rPr>
          <w:szCs w:val="28"/>
        </w:rPr>
        <w:t>4Т</w:t>
      </w:r>
      <w:r>
        <w:rPr>
          <w:szCs w:val="28"/>
          <w:lang w:val="en-US"/>
        </w:rPr>
        <w:t>_</w:t>
      </w:r>
      <w:r w:rsidRPr="00422C0D">
        <w:rPr>
          <w:szCs w:val="28"/>
          <w:lang w:val="en-US"/>
        </w:rPr>
        <w:t>YY</w:t>
      </w:r>
      <w:r w:rsidRPr="00422C0D">
        <w:rPr>
          <w:szCs w:val="28"/>
        </w:rPr>
        <w:t xml:space="preserve">, </w:t>
      </w:r>
    </w:p>
    <w:p w:rsidR="0008631C" w:rsidRPr="00CB59B1" w:rsidRDefault="0008631C" w:rsidP="0008631C">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8631C" w:rsidRDefault="0008631C" w:rsidP="0008631C">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8631C" w:rsidRDefault="0008631C" w:rsidP="0008631C">
      <w:pPr>
        <w:pStyle w:val="af6"/>
        <w:ind w:firstLine="709"/>
        <w:rPr>
          <w:szCs w:val="28"/>
        </w:rPr>
      </w:pPr>
    </w:p>
    <w:p w:rsidR="0008631C" w:rsidRPr="00581FDF" w:rsidRDefault="0008631C" w:rsidP="0008631C">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14</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08631C" w:rsidRPr="00121192" w:rsidRDefault="0008631C" w:rsidP="0008631C">
      <w:pPr>
        <w:spacing w:after="0" w:line="240" w:lineRule="auto"/>
        <w:ind w:firstLine="709"/>
        <w:jc w:val="both"/>
        <w:rPr>
          <w:rFonts w:ascii="Times New Roman" w:hAnsi="Times New Roman" w:cs="Times New Roman"/>
          <w:sz w:val="28"/>
          <w:szCs w:val="28"/>
          <w:lang w:val="uk-UA"/>
        </w:rPr>
      </w:pPr>
    </w:p>
    <w:p w:rsidR="0008631C" w:rsidRDefault="0008631C" w:rsidP="0008631C">
      <w:pPr>
        <w:tabs>
          <w:tab w:val="left" w:pos="0"/>
        </w:tabs>
        <w:spacing w:after="0" w:line="276" w:lineRule="auto"/>
        <w:jc w:val="both"/>
        <w:rPr>
          <w:rFonts w:ascii="Times New Roman" w:hAnsi="Times New Roman" w:cs="Times New Roman"/>
          <w:sz w:val="28"/>
          <w:szCs w:val="28"/>
          <w:lang w:val="uk-UA"/>
        </w:rPr>
      </w:pPr>
    </w:p>
    <w:p w:rsidR="0008631C" w:rsidRPr="0084720A" w:rsidRDefault="0008631C" w:rsidP="0008631C">
      <w:pPr>
        <w:tabs>
          <w:tab w:val="left" w:pos="0"/>
        </w:tabs>
        <w:spacing w:after="0" w:line="276" w:lineRule="auto"/>
        <w:jc w:val="both"/>
        <w:rPr>
          <w:rFonts w:ascii="Times New Roman" w:hAnsi="Times New Roman" w:cs="Times New Roman"/>
          <w:sz w:val="18"/>
          <w:szCs w:val="28"/>
          <w:lang w:val="uk-UA"/>
        </w:rPr>
      </w:pPr>
    </w:p>
    <w:p w:rsidR="0008631C" w:rsidRPr="0063599D" w:rsidRDefault="0008631C" w:rsidP="0008631C">
      <w:pPr>
        <w:spacing w:after="0" w:line="276" w:lineRule="auto"/>
        <w:jc w:val="both"/>
        <w:rPr>
          <w:rFonts w:ascii="Times New Roman" w:hAnsi="Times New Roman"/>
          <w:sz w:val="28"/>
          <w:szCs w:val="28"/>
          <w:lang w:val="uk-UA"/>
        </w:rPr>
      </w:pPr>
      <w:r w:rsidRPr="0063599D">
        <w:rPr>
          <w:rFonts w:ascii="Times New Roman" w:hAnsi="Times New Roman"/>
          <w:sz w:val="28"/>
          <w:szCs w:val="28"/>
          <w:lang w:val="uk-UA"/>
        </w:rPr>
        <w:t xml:space="preserve">Директор Департаменту                                                                            </w:t>
      </w:r>
    </w:p>
    <w:p w:rsidR="0008631C" w:rsidRDefault="0008631C" w:rsidP="0008631C">
      <w:pPr>
        <w:spacing w:after="0" w:line="276" w:lineRule="auto"/>
        <w:jc w:val="both"/>
        <w:rPr>
          <w:rFonts w:ascii="Calibri" w:hAnsi="Calibri"/>
          <w:lang w:val="uk-UA"/>
        </w:rPr>
      </w:pPr>
      <w:r w:rsidRPr="0063599D">
        <w:rPr>
          <w:rFonts w:ascii="Times New Roman" w:hAnsi="Times New Roman"/>
          <w:sz w:val="28"/>
          <w:szCs w:val="28"/>
          <w:lang w:val="uk-UA"/>
        </w:rPr>
        <w:t xml:space="preserve">ліцензійного контролю                                                             </w:t>
      </w:r>
      <w:r>
        <w:rPr>
          <w:rFonts w:ascii="Times New Roman" w:hAnsi="Times New Roman"/>
          <w:sz w:val="28"/>
          <w:szCs w:val="28"/>
          <w:lang w:val="uk-UA"/>
        </w:rPr>
        <w:t xml:space="preserve">  </w:t>
      </w:r>
      <w:r w:rsidRPr="0063599D">
        <w:rPr>
          <w:rFonts w:ascii="Times New Roman" w:hAnsi="Times New Roman"/>
          <w:sz w:val="28"/>
          <w:szCs w:val="28"/>
          <w:lang w:val="uk-UA"/>
        </w:rPr>
        <w:t>Я</w:t>
      </w:r>
      <w:r>
        <w:rPr>
          <w:rFonts w:ascii="Times New Roman" w:hAnsi="Times New Roman"/>
          <w:sz w:val="28"/>
          <w:szCs w:val="28"/>
          <w:lang w:val="uk-UA"/>
        </w:rPr>
        <w:t>рослав</w:t>
      </w:r>
      <w:r w:rsidRPr="0063599D">
        <w:rPr>
          <w:rFonts w:ascii="Times New Roman" w:hAnsi="Times New Roman"/>
          <w:sz w:val="28"/>
          <w:szCs w:val="28"/>
          <w:lang w:val="uk-UA"/>
        </w:rPr>
        <w:t xml:space="preserve"> ЗЕЛЕНЮК</w:t>
      </w:r>
    </w:p>
    <w:p w:rsidR="00FF4C20" w:rsidRDefault="00FF4C20" w:rsidP="00FF4C20"/>
    <w:p w:rsidR="00FF4C20" w:rsidRPr="00EF61DB" w:rsidRDefault="00FF4C20" w:rsidP="00FF4C20"/>
    <w:p w:rsidR="00CB03F3" w:rsidRPr="00FF4C20" w:rsidRDefault="00CB03F3" w:rsidP="00FF4C20"/>
    <w:sectPr w:rsidR="00CB03F3" w:rsidRPr="00FF4C20"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69F" w:rsidRDefault="005F069F" w:rsidP="00F737E8">
      <w:pPr>
        <w:spacing w:after="0" w:line="240" w:lineRule="auto"/>
      </w:pPr>
      <w:r>
        <w:separator/>
      </w:r>
    </w:p>
  </w:endnote>
  <w:endnote w:type="continuationSeparator" w:id="0">
    <w:p w:rsidR="005F069F" w:rsidRDefault="005F069F"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69F" w:rsidRDefault="005F069F" w:rsidP="00F737E8">
      <w:pPr>
        <w:spacing w:after="0" w:line="240" w:lineRule="auto"/>
      </w:pPr>
      <w:r>
        <w:separator/>
      </w:r>
    </w:p>
  </w:footnote>
  <w:footnote w:type="continuationSeparator" w:id="0">
    <w:p w:rsidR="005F069F" w:rsidRDefault="005F069F"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5C0A9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5C1A50" w:rsidRPr="005C1A50">
          <w:rPr>
            <w:rFonts w:ascii="Times New Roman" w:hAnsi="Times New Roman" w:cs="Times New Roman"/>
            <w:noProof/>
            <w:sz w:val="28"/>
            <w:szCs w:val="28"/>
            <w:lang w:val="uk-UA"/>
          </w:rPr>
          <w:t>8</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1"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6"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18"/>
  </w:num>
  <w:num w:numId="3">
    <w:abstractNumId w:val="13"/>
  </w:num>
  <w:num w:numId="4">
    <w:abstractNumId w:val="11"/>
  </w:num>
  <w:num w:numId="5">
    <w:abstractNumId w:val="3"/>
  </w:num>
  <w:num w:numId="6">
    <w:abstractNumId w:val="21"/>
  </w:num>
  <w:num w:numId="7">
    <w:abstractNumId w:val="2"/>
  </w:num>
  <w:num w:numId="8">
    <w:abstractNumId w:val="23"/>
  </w:num>
  <w:num w:numId="9">
    <w:abstractNumId w:val="8"/>
  </w:num>
  <w:num w:numId="10">
    <w:abstractNumId w:val="1"/>
  </w:num>
  <w:num w:numId="11">
    <w:abstractNumId w:val="4"/>
  </w:num>
  <w:num w:numId="12">
    <w:abstractNumId w:val="19"/>
  </w:num>
  <w:num w:numId="13">
    <w:abstractNumId w:val="20"/>
  </w:num>
  <w:num w:numId="14">
    <w:abstractNumId w:val="5"/>
  </w:num>
  <w:num w:numId="15">
    <w:abstractNumId w:val="6"/>
  </w:num>
  <w:num w:numId="16">
    <w:abstractNumId w:val="16"/>
  </w:num>
  <w:num w:numId="17">
    <w:abstractNumId w:val="14"/>
  </w:num>
  <w:num w:numId="18">
    <w:abstractNumId w:val="12"/>
  </w:num>
  <w:num w:numId="19">
    <w:abstractNumId w:val="9"/>
  </w:num>
  <w:num w:numId="20">
    <w:abstractNumId w:val="0"/>
  </w:num>
  <w:num w:numId="21">
    <w:abstractNumId w:val="17"/>
  </w:num>
  <w:num w:numId="22">
    <w:abstractNumId w:val="7"/>
  </w:num>
  <w:num w:numId="23">
    <w:abstractNumId w:val="24"/>
  </w:num>
  <w:num w:numId="24">
    <w:abstractNumId w:val="15"/>
  </w:num>
  <w:num w:numId="25">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337D6"/>
    <w:rsid w:val="00055A0D"/>
    <w:rsid w:val="00061FE3"/>
    <w:rsid w:val="000755EE"/>
    <w:rsid w:val="00083D32"/>
    <w:rsid w:val="0008631C"/>
    <w:rsid w:val="000901EB"/>
    <w:rsid w:val="000A630A"/>
    <w:rsid w:val="000D0B77"/>
    <w:rsid w:val="000D16E9"/>
    <w:rsid w:val="001142E0"/>
    <w:rsid w:val="001175D8"/>
    <w:rsid w:val="00120BD6"/>
    <w:rsid w:val="00121192"/>
    <w:rsid w:val="00142BD9"/>
    <w:rsid w:val="0014743F"/>
    <w:rsid w:val="00162DD5"/>
    <w:rsid w:val="00164775"/>
    <w:rsid w:val="00167F64"/>
    <w:rsid w:val="001748BC"/>
    <w:rsid w:val="0018315D"/>
    <w:rsid w:val="001A5FA5"/>
    <w:rsid w:val="001B0836"/>
    <w:rsid w:val="001B31FF"/>
    <w:rsid w:val="001D722B"/>
    <w:rsid w:val="001E0C7D"/>
    <w:rsid w:val="001F2511"/>
    <w:rsid w:val="00211E9D"/>
    <w:rsid w:val="002127C0"/>
    <w:rsid w:val="002210DF"/>
    <w:rsid w:val="00243EB7"/>
    <w:rsid w:val="002670C7"/>
    <w:rsid w:val="002A010B"/>
    <w:rsid w:val="002B0159"/>
    <w:rsid w:val="002B6015"/>
    <w:rsid w:val="002C79D5"/>
    <w:rsid w:val="002D06C3"/>
    <w:rsid w:val="002E1060"/>
    <w:rsid w:val="002E3E34"/>
    <w:rsid w:val="00327BC7"/>
    <w:rsid w:val="003351E6"/>
    <w:rsid w:val="003371B7"/>
    <w:rsid w:val="00375038"/>
    <w:rsid w:val="003823F6"/>
    <w:rsid w:val="003A1AC9"/>
    <w:rsid w:val="003B1ACB"/>
    <w:rsid w:val="003F6084"/>
    <w:rsid w:val="00411E2A"/>
    <w:rsid w:val="0043049E"/>
    <w:rsid w:val="00447F04"/>
    <w:rsid w:val="004702DD"/>
    <w:rsid w:val="00473B75"/>
    <w:rsid w:val="004823EC"/>
    <w:rsid w:val="004A076D"/>
    <w:rsid w:val="004B4829"/>
    <w:rsid w:val="004E28A0"/>
    <w:rsid w:val="004E55C9"/>
    <w:rsid w:val="004F67F9"/>
    <w:rsid w:val="00505620"/>
    <w:rsid w:val="005113C3"/>
    <w:rsid w:val="00523958"/>
    <w:rsid w:val="0054282B"/>
    <w:rsid w:val="00544346"/>
    <w:rsid w:val="0057682F"/>
    <w:rsid w:val="0058688B"/>
    <w:rsid w:val="0058735E"/>
    <w:rsid w:val="005A7D7F"/>
    <w:rsid w:val="005B29E0"/>
    <w:rsid w:val="005C0A99"/>
    <w:rsid w:val="005C1A50"/>
    <w:rsid w:val="005C655F"/>
    <w:rsid w:val="005D5842"/>
    <w:rsid w:val="005F069F"/>
    <w:rsid w:val="00603196"/>
    <w:rsid w:val="00651E47"/>
    <w:rsid w:val="00657C8B"/>
    <w:rsid w:val="006620A8"/>
    <w:rsid w:val="006675E9"/>
    <w:rsid w:val="00680C50"/>
    <w:rsid w:val="006B1B62"/>
    <w:rsid w:val="006B7A0B"/>
    <w:rsid w:val="006C0F83"/>
    <w:rsid w:val="006D7A0E"/>
    <w:rsid w:val="0070109B"/>
    <w:rsid w:val="0072299A"/>
    <w:rsid w:val="0072349D"/>
    <w:rsid w:val="007671A8"/>
    <w:rsid w:val="00772C25"/>
    <w:rsid w:val="0077466D"/>
    <w:rsid w:val="00796ECA"/>
    <w:rsid w:val="007C584B"/>
    <w:rsid w:val="007D1F89"/>
    <w:rsid w:val="007D5746"/>
    <w:rsid w:val="007D6549"/>
    <w:rsid w:val="007E168B"/>
    <w:rsid w:val="007F1B3E"/>
    <w:rsid w:val="008440B3"/>
    <w:rsid w:val="00854BDA"/>
    <w:rsid w:val="00874F13"/>
    <w:rsid w:val="00880858"/>
    <w:rsid w:val="008A12D8"/>
    <w:rsid w:val="008A46A7"/>
    <w:rsid w:val="008C6393"/>
    <w:rsid w:val="008D04B3"/>
    <w:rsid w:val="008E4000"/>
    <w:rsid w:val="008E419F"/>
    <w:rsid w:val="008F4A53"/>
    <w:rsid w:val="008F5F61"/>
    <w:rsid w:val="008F7FEE"/>
    <w:rsid w:val="00903630"/>
    <w:rsid w:val="0091452D"/>
    <w:rsid w:val="00916EDA"/>
    <w:rsid w:val="009212A5"/>
    <w:rsid w:val="00936A84"/>
    <w:rsid w:val="00937330"/>
    <w:rsid w:val="009456AA"/>
    <w:rsid w:val="0095312C"/>
    <w:rsid w:val="0098094C"/>
    <w:rsid w:val="009865F1"/>
    <w:rsid w:val="009B4498"/>
    <w:rsid w:val="009B77D0"/>
    <w:rsid w:val="009C77B9"/>
    <w:rsid w:val="009E4A86"/>
    <w:rsid w:val="009F1153"/>
    <w:rsid w:val="00A3458E"/>
    <w:rsid w:val="00A55862"/>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C042A0"/>
    <w:rsid w:val="00C21107"/>
    <w:rsid w:val="00C344F9"/>
    <w:rsid w:val="00C50497"/>
    <w:rsid w:val="00C67356"/>
    <w:rsid w:val="00C843D0"/>
    <w:rsid w:val="00CA0BAD"/>
    <w:rsid w:val="00CA0EE2"/>
    <w:rsid w:val="00CB03F3"/>
    <w:rsid w:val="00CC60EB"/>
    <w:rsid w:val="00CE2247"/>
    <w:rsid w:val="00CF5CDC"/>
    <w:rsid w:val="00D114F3"/>
    <w:rsid w:val="00D25DCF"/>
    <w:rsid w:val="00D31384"/>
    <w:rsid w:val="00D33A98"/>
    <w:rsid w:val="00D42CF8"/>
    <w:rsid w:val="00D57676"/>
    <w:rsid w:val="00D74BCD"/>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C25F4"/>
    <w:rsid w:val="00ED084E"/>
    <w:rsid w:val="00EE710C"/>
    <w:rsid w:val="00EF3964"/>
    <w:rsid w:val="00EF61DB"/>
    <w:rsid w:val="00F048F3"/>
    <w:rsid w:val="00F320E3"/>
    <w:rsid w:val="00F33359"/>
    <w:rsid w:val="00F37E8A"/>
    <w:rsid w:val="00F725DC"/>
    <w:rsid w:val="00F737E8"/>
    <w:rsid w:val="00F971F2"/>
    <w:rsid w:val="00FD01AF"/>
    <w:rsid w:val="00FD2F0B"/>
    <w:rsid w:val="00FD60AD"/>
    <w:rsid w:val="00FE7DA7"/>
    <w:rsid w:val="00FF3448"/>
    <w:rsid w:val="00FF4C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4294E8-78A4-49AF-A034-2B3521E11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8631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8631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8631C"/>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546984470">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322DA-B862-4379-872F-AA30C728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9</Pages>
  <Words>10605</Words>
  <Characters>6045</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26</cp:revision>
  <cp:lastPrinted>2019-10-01T08:37:00Z</cp:lastPrinted>
  <dcterms:created xsi:type="dcterms:W3CDTF">2019-09-18T07:49:00Z</dcterms:created>
  <dcterms:modified xsi:type="dcterms:W3CDTF">2024-02-06T12:33:00Z</dcterms:modified>
</cp:coreProperties>
</file>