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6E97A" w14:textId="77777777" w:rsidR="002C5F8D" w:rsidRDefault="002C5F8D" w:rsidP="002C5F8D">
      <w:pPr>
        <w:pStyle w:val="a5"/>
        <w:framePr w:h="3046" w:hRule="exact" w:hSpace="45" w:wrap="around" w:vAnchor="text" w:hAnchor="text" w:xAlign="right" w:y="1"/>
        <w:tabs>
          <w:tab w:val="left" w:pos="9072"/>
        </w:tabs>
        <w:spacing w:before="0" w:beforeAutospacing="0" w:after="0" w:afterAutospacing="0"/>
        <w:ind w:left="5954"/>
        <w:rPr>
          <w:sz w:val="28"/>
          <w:szCs w:val="28"/>
        </w:rPr>
      </w:pPr>
    </w:p>
    <w:p w14:paraId="3497A61E" w14:textId="77777777" w:rsidR="002C5F8D" w:rsidRDefault="002C5F8D" w:rsidP="002C5F8D">
      <w:pPr>
        <w:pStyle w:val="a5"/>
        <w:framePr w:h="3046" w:hRule="exact" w:hSpace="45" w:wrap="around" w:vAnchor="text" w:hAnchor="text" w:xAlign="right" w:y="1"/>
        <w:tabs>
          <w:tab w:val="left" w:pos="9072"/>
        </w:tabs>
        <w:spacing w:before="0" w:beforeAutospacing="0" w:after="0" w:afterAutospacing="0"/>
        <w:ind w:left="5954"/>
        <w:rPr>
          <w:sz w:val="28"/>
          <w:szCs w:val="28"/>
        </w:rPr>
      </w:pPr>
    </w:p>
    <w:p w14:paraId="1397CF1C" w14:textId="77777777" w:rsidR="00BC3B92" w:rsidRDefault="002C5F8D" w:rsidP="00BC3B92">
      <w:pPr>
        <w:pStyle w:val="a5"/>
        <w:framePr w:h="4222" w:hRule="exact" w:hSpace="45" w:wrap="around" w:vAnchor="text" w:hAnchor="text" w:xAlign="right" w:y="1"/>
        <w:tabs>
          <w:tab w:val="left" w:pos="9072"/>
        </w:tabs>
        <w:spacing w:before="0" w:beforeAutospacing="0" w:after="0" w:afterAutospacing="0"/>
        <w:ind w:left="5812"/>
        <w:rPr>
          <w:sz w:val="28"/>
          <w:szCs w:val="28"/>
        </w:rPr>
      </w:pPr>
      <w:r w:rsidRPr="009138A3">
        <w:rPr>
          <w:sz w:val="28"/>
          <w:szCs w:val="28"/>
        </w:rPr>
        <w:t>ЗАТВЕРДЖЕНО</w:t>
      </w:r>
      <w:r w:rsidRPr="009138A3">
        <w:rPr>
          <w:sz w:val="28"/>
          <w:szCs w:val="28"/>
        </w:rPr>
        <w:br/>
        <w:t>Постанова Національної комісії, що здійснює державне регулювання у сферах</w:t>
      </w:r>
      <w:r w:rsidRPr="009138A3">
        <w:rPr>
          <w:sz w:val="28"/>
          <w:szCs w:val="28"/>
          <w:lang w:val="ru-RU"/>
        </w:rPr>
        <w:t xml:space="preserve"> </w:t>
      </w:r>
      <w:r w:rsidRPr="009138A3">
        <w:rPr>
          <w:sz w:val="28"/>
          <w:szCs w:val="28"/>
        </w:rPr>
        <w:t>енергетики та комунальних</w:t>
      </w:r>
      <w:r w:rsidRPr="009138A3">
        <w:rPr>
          <w:sz w:val="28"/>
          <w:szCs w:val="28"/>
          <w:lang w:val="ru-RU"/>
        </w:rPr>
        <w:t xml:space="preserve"> </w:t>
      </w:r>
      <w:r w:rsidRPr="009138A3">
        <w:rPr>
          <w:sz w:val="28"/>
          <w:szCs w:val="28"/>
        </w:rPr>
        <w:t xml:space="preserve">послуг </w:t>
      </w:r>
    </w:p>
    <w:p w14:paraId="5A0361B3" w14:textId="77777777" w:rsidR="00BC3B92" w:rsidRDefault="00BC3B92" w:rsidP="00BC3B92">
      <w:pPr>
        <w:pStyle w:val="a5"/>
        <w:framePr w:h="4222" w:hRule="exact" w:hSpace="45" w:wrap="around" w:vAnchor="text" w:hAnchor="text" w:xAlign="right" w:y="1"/>
        <w:tabs>
          <w:tab w:val="left" w:pos="9072"/>
        </w:tabs>
        <w:spacing w:before="0" w:beforeAutospacing="0" w:after="0" w:afterAutospacing="0"/>
        <w:ind w:left="5812"/>
        <w:rPr>
          <w:sz w:val="28"/>
          <w:szCs w:val="28"/>
        </w:rPr>
      </w:pPr>
    </w:p>
    <w:p w14:paraId="6D7C86C1" w14:textId="41F11D71" w:rsidR="00BC3B92" w:rsidRDefault="00BC3B92" w:rsidP="00BC3B92">
      <w:pPr>
        <w:pStyle w:val="a5"/>
        <w:framePr w:h="4222" w:hRule="exact" w:hSpace="45" w:wrap="around" w:vAnchor="text" w:hAnchor="text" w:xAlign="right" w:y="1"/>
        <w:tabs>
          <w:tab w:val="left" w:pos="9072"/>
        </w:tabs>
        <w:spacing w:before="0" w:beforeAutospacing="0" w:after="0" w:afterAutospacing="0"/>
        <w:ind w:left="5812"/>
        <w:rPr>
          <w:sz w:val="28"/>
          <w:szCs w:val="28"/>
        </w:rPr>
      </w:pPr>
      <w:r>
        <w:rPr>
          <w:sz w:val="28"/>
          <w:szCs w:val="28"/>
        </w:rPr>
        <w:t>(у редакції постанови НКРЕКП</w:t>
      </w:r>
    </w:p>
    <w:p w14:paraId="5D4A8CE7" w14:textId="1311C909" w:rsidR="00BC3B92" w:rsidRDefault="00BC3B92" w:rsidP="00BC3B92">
      <w:pPr>
        <w:pStyle w:val="a5"/>
        <w:framePr w:h="4222" w:hRule="exact" w:hSpace="45" w:wrap="around" w:vAnchor="text" w:hAnchor="text" w:xAlign="right" w:y="1"/>
        <w:tabs>
          <w:tab w:val="left" w:pos="9072"/>
        </w:tabs>
        <w:spacing w:before="0" w:beforeAutospacing="0" w:after="0" w:afterAutospacing="0"/>
        <w:ind w:left="5812"/>
        <w:rPr>
          <w:sz w:val="28"/>
          <w:szCs w:val="28"/>
        </w:rPr>
      </w:pPr>
      <w:r>
        <w:rPr>
          <w:sz w:val="28"/>
          <w:szCs w:val="28"/>
        </w:rPr>
        <w:t xml:space="preserve">від </w:t>
      </w:r>
      <w:r w:rsidR="0052441B" w:rsidRPr="0052441B">
        <w:rPr>
          <w:sz w:val="28"/>
          <w:szCs w:val="28"/>
        </w:rPr>
        <w:t>03.02.2021 № 173</w:t>
      </w:r>
      <w:r>
        <w:rPr>
          <w:sz w:val="28"/>
          <w:szCs w:val="28"/>
        </w:rPr>
        <w:t>)</w:t>
      </w:r>
    </w:p>
    <w:p w14:paraId="38CC9A9A" w14:textId="100C5E40" w:rsidR="002C5F8D" w:rsidRDefault="002C5F8D" w:rsidP="00BC3B92">
      <w:pPr>
        <w:pStyle w:val="a5"/>
        <w:framePr w:h="4222" w:hRule="exact" w:hSpace="45" w:wrap="around" w:vAnchor="text" w:hAnchor="text" w:xAlign="right" w:y="1"/>
        <w:tabs>
          <w:tab w:val="left" w:pos="9072"/>
        </w:tabs>
        <w:spacing w:before="0" w:beforeAutospacing="0" w:after="0" w:afterAutospacing="0"/>
        <w:ind w:left="5954"/>
        <w:rPr>
          <w:sz w:val="28"/>
          <w:szCs w:val="28"/>
        </w:rPr>
      </w:pPr>
    </w:p>
    <w:p w14:paraId="1C53C749" w14:textId="77777777" w:rsidR="001D707B" w:rsidRDefault="001D707B" w:rsidP="00F37E75">
      <w:pPr>
        <w:pStyle w:val="a5"/>
        <w:framePr w:hSpace="45" w:wrap="around" w:vAnchor="text" w:hAnchor="page" w:x="7216" w:y="1956"/>
        <w:tabs>
          <w:tab w:val="left" w:pos="9072"/>
        </w:tabs>
        <w:spacing w:before="0" w:beforeAutospacing="0" w:after="0" w:afterAutospacing="0"/>
        <w:ind w:left="-142" w:firstLine="142"/>
        <w:rPr>
          <w:sz w:val="28"/>
          <w:szCs w:val="28"/>
        </w:rPr>
      </w:pPr>
      <w:r>
        <w:rPr>
          <w:sz w:val="28"/>
          <w:szCs w:val="28"/>
        </w:rPr>
        <w:t>2</w:t>
      </w:r>
      <w:r w:rsidR="004A758E">
        <w:rPr>
          <w:sz w:val="28"/>
          <w:szCs w:val="28"/>
        </w:rPr>
        <w:t>9</w:t>
      </w:r>
      <w:r>
        <w:rPr>
          <w:sz w:val="28"/>
          <w:szCs w:val="28"/>
        </w:rPr>
        <w:t>.0</w:t>
      </w:r>
      <w:r w:rsidR="004A758E">
        <w:rPr>
          <w:sz w:val="28"/>
          <w:szCs w:val="28"/>
        </w:rPr>
        <w:t>3</w:t>
      </w:r>
      <w:r>
        <w:rPr>
          <w:sz w:val="28"/>
          <w:szCs w:val="28"/>
        </w:rPr>
        <w:t xml:space="preserve">.2019 № </w:t>
      </w:r>
      <w:r w:rsidR="004A758E">
        <w:rPr>
          <w:sz w:val="28"/>
          <w:szCs w:val="28"/>
        </w:rPr>
        <w:t>45</w:t>
      </w:r>
      <w:r>
        <w:rPr>
          <w:sz w:val="28"/>
          <w:szCs w:val="28"/>
        </w:rPr>
        <w:t>0</w:t>
      </w:r>
    </w:p>
    <w:p w14:paraId="07EC6472" w14:textId="77777777" w:rsidR="002C5F8D" w:rsidRDefault="002C5F8D" w:rsidP="005540C4">
      <w:pPr>
        <w:spacing w:after="0" w:line="276" w:lineRule="auto"/>
        <w:ind w:firstLine="567"/>
        <w:jc w:val="center"/>
        <w:rPr>
          <w:rFonts w:ascii="Times New Roman" w:hAnsi="Times New Roman" w:cs="Times New Roman"/>
          <w:b/>
          <w:color w:val="000000" w:themeColor="text1"/>
          <w:sz w:val="28"/>
          <w:szCs w:val="28"/>
          <w:lang w:val="uk-UA"/>
        </w:rPr>
      </w:pPr>
    </w:p>
    <w:p w14:paraId="12D63039" w14:textId="77777777" w:rsidR="005540C4" w:rsidRPr="00324E77" w:rsidRDefault="005540C4" w:rsidP="005540C4">
      <w:pPr>
        <w:spacing w:after="0" w:line="276" w:lineRule="auto"/>
        <w:ind w:firstLine="567"/>
        <w:jc w:val="center"/>
        <w:rPr>
          <w:rFonts w:ascii="Times New Roman" w:hAnsi="Times New Roman" w:cs="Times New Roman"/>
          <w:b/>
          <w:color w:val="000000" w:themeColor="text1"/>
          <w:sz w:val="28"/>
          <w:szCs w:val="28"/>
          <w:lang w:val="uk-UA"/>
        </w:rPr>
      </w:pPr>
      <w:r w:rsidRPr="00324E77">
        <w:rPr>
          <w:rFonts w:ascii="Times New Roman" w:hAnsi="Times New Roman" w:cs="Times New Roman"/>
          <w:b/>
          <w:color w:val="000000" w:themeColor="text1"/>
          <w:sz w:val="28"/>
          <w:szCs w:val="28"/>
          <w:lang w:val="uk-UA"/>
        </w:rPr>
        <w:t xml:space="preserve">ІНСТРУКЦІЯ </w:t>
      </w:r>
    </w:p>
    <w:p w14:paraId="3E04C722" w14:textId="77777777" w:rsidR="005540C4" w:rsidRPr="00324E77" w:rsidRDefault="005540C4" w:rsidP="005540C4">
      <w:pPr>
        <w:spacing w:after="0" w:line="276" w:lineRule="auto"/>
        <w:ind w:firstLine="567"/>
        <w:jc w:val="center"/>
        <w:rPr>
          <w:rFonts w:ascii="Times New Roman" w:hAnsi="Times New Roman" w:cs="Times New Roman"/>
          <w:b/>
          <w:color w:val="000000" w:themeColor="text1"/>
          <w:sz w:val="28"/>
          <w:szCs w:val="28"/>
          <w:lang w:val="uk-UA"/>
        </w:rPr>
      </w:pPr>
      <w:r w:rsidRPr="00324E77">
        <w:rPr>
          <w:rFonts w:ascii="Times New Roman" w:hAnsi="Times New Roman" w:cs="Times New Roman"/>
          <w:b/>
          <w:color w:val="000000" w:themeColor="text1"/>
          <w:sz w:val="28"/>
          <w:szCs w:val="28"/>
          <w:lang w:val="uk-UA"/>
        </w:rPr>
        <w:t>щодо заповнення форми звітності № </w:t>
      </w:r>
      <w:r w:rsidR="008B25D9" w:rsidRPr="00324E77">
        <w:rPr>
          <w:rFonts w:ascii="Times New Roman" w:hAnsi="Times New Roman" w:cs="Times New Roman"/>
          <w:b/>
          <w:color w:val="000000" w:themeColor="text1"/>
          <w:sz w:val="28"/>
          <w:szCs w:val="28"/>
          <w:lang w:val="uk-UA"/>
        </w:rPr>
        <w:t>12</w:t>
      </w:r>
      <w:r w:rsidRPr="00324E77">
        <w:rPr>
          <w:rFonts w:ascii="Times New Roman" w:hAnsi="Times New Roman" w:cs="Times New Roman"/>
          <w:b/>
          <w:color w:val="000000" w:themeColor="text1"/>
          <w:sz w:val="28"/>
          <w:szCs w:val="28"/>
          <w:lang w:val="uk-UA"/>
        </w:rPr>
        <w:t>-НКРЕКП-моніторинг-</w:t>
      </w:r>
      <w:r w:rsidRPr="00324E77">
        <w:rPr>
          <w:color w:val="000000" w:themeColor="text1"/>
          <w:lang w:val="uk-UA"/>
        </w:rPr>
        <w:t xml:space="preserve"> </w:t>
      </w:r>
      <w:r w:rsidRPr="00324E77">
        <w:rPr>
          <w:rFonts w:ascii="Times New Roman" w:hAnsi="Times New Roman" w:cs="Times New Roman"/>
          <w:b/>
          <w:color w:val="000000" w:themeColor="text1"/>
          <w:sz w:val="28"/>
          <w:szCs w:val="28"/>
          <w:lang w:val="uk-UA"/>
        </w:rPr>
        <w:t>постачання (квартальна) «</w:t>
      </w:r>
      <w:r w:rsidR="008B25D9" w:rsidRPr="00324E77">
        <w:rPr>
          <w:rFonts w:ascii="Times New Roman" w:hAnsi="Times New Roman" w:cs="Times New Roman"/>
          <w:b/>
          <w:color w:val="000000" w:themeColor="text1"/>
          <w:sz w:val="28"/>
          <w:szCs w:val="28"/>
          <w:lang w:val="uk-UA"/>
        </w:rPr>
        <w:t>Звіт про ціни на роздрібному ринку електричної енергії</w:t>
      </w:r>
      <w:r w:rsidRPr="00324E77">
        <w:rPr>
          <w:rFonts w:ascii="Times New Roman" w:hAnsi="Times New Roman" w:cs="Times New Roman"/>
          <w:b/>
          <w:color w:val="000000" w:themeColor="text1"/>
          <w:sz w:val="28"/>
          <w:szCs w:val="28"/>
          <w:lang w:val="uk-UA"/>
        </w:rPr>
        <w:t>»</w:t>
      </w:r>
    </w:p>
    <w:p w14:paraId="585847AE" w14:textId="77777777" w:rsidR="005540C4" w:rsidRPr="00324E77" w:rsidRDefault="005540C4" w:rsidP="005540C4">
      <w:pPr>
        <w:spacing w:after="0" w:line="276" w:lineRule="auto"/>
        <w:ind w:firstLine="567"/>
        <w:jc w:val="center"/>
        <w:rPr>
          <w:rFonts w:ascii="Times New Roman" w:hAnsi="Times New Roman" w:cs="Times New Roman"/>
          <w:b/>
          <w:color w:val="000000" w:themeColor="text1"/>
          <w:sz w:val="28"/>
          <w:szCs w:val="28"/>
          <w:lang w:val="uk-UA"/>
        </w:rPr>
      </w:pPr>
    </w:p>
    <w:p w14:paraId="4DC2C05E" w14:textId="1A80A553" w:rsidR="005540C4" w:rsidRPr="00324E77" w:rsidRDefault="005540C4" w:rsidP="00F37E75">
      <w:pPr>
        <w:pStyle w:val="a3"/>
        <w:numPr>
          <w:ilvl w:val="0"/>
          <w:numId w:val="14"/>
        </w:numPr>
        <w:spacing w:after="0" w:line="276" w:lineRule="auto"/>
        <w:jc w:val="center"/>
        <w:rPr>
          <w:rFonts w:ascii="Times New Roman" w:hAnsi="Times New Roman" w:cs="Times New Roman"/>
          <w:b/>
          <w:color w:val="000000" w:themeColor="text1"/>
          <w:sz w:val="28"/>
          <w:szCs w:val="28"/>
          <w:lang w:val="uk-UA"/>
        </w:rPr>
      </w:pPr>
      <w:r w:rsidRPr="00324E77">
        <w:rPr>
          <w:rFonts w:ascii="Times New Roman" w:hAnsi="Times New Roman" w:cs="Times New Roman"/>
          <w:b/>
          <w:color w:val="000000" w:themeColor="text1"/>
          <w:sz w:val="28"/>
          <w:szCs w:val="28"/>
          <w:lang w:val="uk-UA"/>
        </w:rPr>
        <w:t>Загальні положення</w:t>
      </w:r>
    </w:p>
    <w:p w14:paraId="435AAE0A" w14:textId="77777777" w:rsidR="005540C4" w:rsidRPr="00324E77" w:rsidRDefault="005540C4" w:rsidP="005540C4">
      <w:pPr>
        <w:pStyle w:val="a3"/>
        <w:spacing w:after="0" w:line="276" w:lineRule="auto"/>
        <w:ind w:left="1287"/>
        <w:rPr>
          <w:rFonts w:ascii="Times New Roman" w:hAnsi="Times New Roman" w:cs="Times New Roman"/>
          <w:b/>
          <w:color w:val="000000" w:themeColor="text1"/>
          <w:sz w:val="28"/>
          <w:szCs w:val="28"/>
          <w:lang w:val="uk-UA"/>
        </w:rPr>
      </w:pPr>
    </w:p>
    <w:p w14:paraId="08D391F3" w14:textId="184673A9" w:rsidR="005540C4" w:rsidRPr="00324E77" w:rsidRDefault="005540C4" w:rsidP="005540C4">
      <w:pPr>
        <w:spacing w:after="0" w:line="276" w:lineRule="auto"/>
        <w:ind w:firstLine="567"/>
        <w:jc w:val="both"/>
        <w:rPr>
          <w:rFonts w:ascii="Times New Roman" w:hAnsi="Times New Roman" w:cs="Times New Roman"/>
          <w:color w:val="000000" w:themeColor="text1"/>
          <w:sz w:val="28"/>
          <w:szCs w:val="28"/>
          <w:lang w:val="uk-UA"/>
        </w:rPr>
      </w:pPr>
      <w:r w:rsidRPr="00324E77">
        <w:rPr>
          <w:rFonts w:ascii="Times New Roman" w:hAnsi="Times New Roman" w:cs="Times New Roman"/>
          <w:color w:val="000000" w:themeColor="text1"/>
          <w:sz w:val="28"/>
          <w:szCs w:val="28"/>
          <w:lang w:val="uk-UA"/>
        </w:rPr>
        <w:t xml:space="preserve">1.1. </w:t>
      </w:r>
      <w:r w:rsidR="00214C0A" w:rsidRPr="00214C0A">
        <w:rPr>
          <w:rFonts w:ascii="Times New Roman" w:hAnsi="Times New Roman" w:cs="Times New Roman"/>
          <w:color w:val="000000" w:themeColor="text1"/>
          <w:sz w:val="28"/>
          <w:szCs w:val="28"/>
          <w:lang w:val="uk-UA"/>
        </w:rPr>
        <w:t>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та включені оператором системи передачі до реєстру учасників ринку відповідно до глави 1.3 розділу І Правил ринку, затверджених постановою НКРЕКП від 14 березня 2018 року № 307 (далі – електропостачальники, ліцензіати).</w:t>
      </w:r>
    </w:p>
    <w:p w14:paraId="3792C25D" w14:textId="77777777" w:rsidR="005540C4" w:rsidRPr="00324E77" w:rsidRDefault="005540C4" w:rsidP="005540C4">
      <w:pPr>
        <w:spacing w:after="0" w:line="276" w:lineRule="auto"/>
        <w:ind w:firstLine="567"/>
        <w:jc w:val="both"/>
        <w:rPr>
          <w:rFonts w:ascii="Times New Roman" w:hAnsi="Times New Roman" w:cs="Times New Roman"/>
          <w:color w:val="000000" w:themeColor="text1"/>
          <w:sz w:val="28"/>
          <w:szCs w:val="28"/>
          <w:lang w:val="uk-UA"/>
        </w:rPr>
      </w:pPr>
    </w:p>
    <w:p w14:paraId="14372E46" w14:textId="77777777" w:rsidR="005540C4" w:rsidRPr="00324E77" w:rsidRDefault="005540C4" w:rsidP="005540C4">
      <w:pPr>
        <w:spacing w:after="0" w:line="276" w:lineRule="auto"/>
        <w:ind w:firstLine="567"/>
        <w:jc w:val="both"/>
        <w:rPr>
          <w:rFonts w:ascii="Times New Roman" w:hAnsi="Times New Roman" w:cs="Times New Roman"/>
          <w:color w:val="000000" w:themeColor="text1"/>
          <w:sz w:val="28"/>
          <w:szCs w:val="28"/>
          <w:lang w:val="uk-UA"/>
        </w:rPr>
      </w:pPr>
      <w:r w:rsidRPr="00324E77">
        <w:rPr>
          <w:rFonts w:ascii="Times New Roman" w:hAnsi="Times New Roman" w:cs="Times New Roman"/>
          <w:color w:val="000000" w:themeColor="text1"/>
          <w:sz w:val="28"/>
          <w:szCs w:val="28"/>
          <w:lang w:val="uk-UA"/>
        </w:rPr>
        <w:t>1.2. Ця Інструкція визначає порядок заповнення форми звітності</w:t>
      </w:r>
      <w:r w:rsidR="008B25D9" w:rsidRPr="00324E77">
        <w:rPr>
          <w:rFonts w:ascii="Times New Roman" w:hAnsi="Times New Roman" w:cs="Times New Roman"/>
          <w:color w:val="000000" w:themeColor="text1"/>
          <w:sz w:val="28"/>
          <w:szCs w:val="28"/>
          <w:lang w:val="uk-UA"/>
        </w:rPr>
        <w:t xml:space="preserve"> </w:t>
      </w:r>
      <w:r w:rsidR="00503FB0">
        <w:rPr>
          <w:rFonts w:ascii="Times New Roman" w:hAnsi="Times New Roman" w:cs="Times New Roman"/>
          <w:color w:val="000000" w:themeColor="text1"/>
          <w:sz w:val="28"/>
          <w:szCs w:val="28"/>
          <w:lang w:val="uk-UA"/>
        </w:rPr>
        <w:br/>
      </w:r>
      <w:r w:rsidRPr="00324E77">
        <w:rPr>
          <w:rFonts w:ascii="Times New Roman" w:hAnsi="Times New Roman" w:cs="Times New Roman"/>
          <w:color w:val="000000" w:themeColor="text1"/>
          <w:sz w:val="28"/>
          <w:szCs w:val="28"/>
          <w:lang w:val="uk-UA"/>
        </w:rPr>
        <w:t>№ </w:t>
      </w:r>
      <w:r w:rsidR="008B25D9" w:rsidRPr="00324E77">
        <w:rPr>
          <w:rFonts w:ascii="Times New Roman" w:hAnsi="Times New Roman" w:cs="Times New Roman"/>
          <w:color w:val="000000" w:themeColor="text1"/>
          <w:sz w:val="28"/>
          <w:szCs w:val="28"/>
          <w:lang w:val="uk-UA"/>
        </w:rPr>
        <w:t>12</w:t>
      </w:r>
      <w:r w:rsidRPr="00324E77">
        <w:rPr>
          <w:rFonts w:ascii="Times New Roman" w:hAnsi="Times New Roman" w:cs="Times New Roman"/>
          <w:color w:val="000000" w:themeColor="text1"/>
          <w:sz w:val="28"/>
          <w:szCs w:val="28"/>
          <w:lang w:val="uk-UA"/>
        </w:rPr>
        <w:t>-НКРЕКП-моніторинг-постачання (квартальна) «</w:t>
      </w:r>
      <w:r w:rsidR="008B25D9" w:rsidRPr="00324E77">
        <w:rPr>
          <w:rFonts w:ascii="Times New Roman" w:hAnsi="Times New Roman" w:cs="Times New Roman"/>
          <w:color w:val="000000" w:themeColor="text1"/>
          <w:sz w:val="28"/>
          <w:szCs w:val="28"/>
          <w:lang w:val="uk-UA"/>
        </w:rPr>
        <w:t>Звіт про ціни на роздрібному ринку електричної енергії</w:t>
      </w:r>
      <w:r w:rsidRPr="00324E77">
        <w:rPr>
          <w:rFonts w:ascii="Times New Roman" w:hAnsi="Times New Roman" w:cs="Times New Roman"/>
          <w:color w:val="000000" w:themeColor="text1"/>
          <w:sz w:val="28"/>
          <w:szCs w:val="28"/>
          <w:lang w:val="uk-UA"/>
        </w:rPr>
        <w:t>» (далі – форма звітності № </w:t>
      </w:r>
      <w:r w:rsidR="008B25D9" w:rsidRPr="00324E77">
        <w:rPr>
          <w:rFonts w:ascii="Times New Roman" w:hAnsi="Times New Roman" w:cs="Times New Roman"/>
          <w:color w:val="000000" w:themeColor="text1"/>
          <w:sz w:val="28"/>
          <w:szCs w:val="28"/>
          <w:lang w:val="uk-UA"/>
        </w:rPr>
        <w:t>12</w:t>
      </w:r>
      <w:r w:rsidR="004A40BB" w:rsidRPr="00324E77">
        <w:rPr>
          <w:rFonts w:ascii="Times New Roman" w:hAnsi="Times New Roman" w:cs="Times New Roman"/>
          <w:color w:val="000000" w:themeColor="text1"/>
          <w:sz w:val="28"/>
          <w:szCs w:val="28"/>
          <w:lang w:val="uk-UA"/>
        </w:rPr>
        <w:t>), а також термін її подання до НКРЕКП</w:t>
      </w:r>
      <w:r w:rsidRPr="00324E77">
        <w:rPr>
          <w:rFonts w:ascii="Times New Roman" w:hAnsi="Times New Roman" w:cs="Times New Roman"/>
          <w:color w:val="000000" w:themeColor="text1"/>
          <w:sz w:val="28"/>
          <w:szCs w:val="28"/>
          <w:lang w:val="uk-UA"/>
        </w:rPr>
        <w:t>.</w:t>
      </w:r>
    </w:p>
    <w:p w14:paraId="23F6E7A8" w14:textId="77777777" w:rsidR="005540C4" w:rsidRPr="00324E77" w:rsidRDefault="005540C4" w:rsidP="005540C4">
      <w:pPr>
        <w:spacing w:after="0" w:line="276" w:lineRule="auto"/>
        <w:ind w:firstLine="567"/>
        <w:jc w:val="both"/>
        <w:rPr>
          <w:rFonts w:ascii="Times New Roman" w:hAnsi="Times New Roman" w:cs="Times New Roman"/>
          <w:color w:val="000000" w:themeColor="text1"/>
          <w:sz w:val="28"/>
          <w:szCs w:val="28"/>
          <w:lang w:val="uk-UA"/>
        </w:rPr>
      </w:pPr>
    </w:p>
    <w:p w14:paraId="5221E2A9" w14:textId="77777777" w:rsidR="005540C4" w:rsidRPr="00324E77" w:rsidRDefault="005540C4" w:rsidP="005540C4">
      <w:pPr>
        <w:spacing w:after="0" w:line="276" w:lineRule="auto"/>
        <w:ind w:firstLine="567"/>
        <w:jc w:val="both"/>
        <w:rPr>
          <w:rFonts w:ascii="Times New Roman" w:hAnsi="Times New Roman" w:cs="Times New Roman"/>
          <w:color w:val="000000" w:themeColor="text1"/>
          <w:sz w:val="28"/>
          <w:szCs w:val="28"/>
          <w:lang w:val="uk-UA"/>
        </w:rPr>
      </w:pPr>
      <w:r w:rsidRPr="00324E77">
        <w:rPr>
          <w:rFonts w:ascii="Times New Roman" w:hAnsi="Times New Roman" w:cs="Times New Roman"/>
          <w:color w:val="000000" w:themeColor="text1"/>
          <w:sz w:val="28"/>
          <w:szCs w:val="28"/>
        </w:rPr>
        <w:t>1.</w:t>
      </w:r>
      <w:r w:rsidRPr="00324E77">
        <w:rPr>
          <w:rFonts w:ascii="Times New Roman" w:hAnsi="Times New Roman" w:cs="Times New Roman"/>
          <w:color w:val="000000" w:themeColor="text1"/>
          <w:sz w:val="28"/>
          <w:szCs w:val="28"/>
          <w:lang w:val="uk-UA"/>
        </w:rPr>
        <w:t>3. Цю Інструкцію розроблено відповідно до:</w:t>
      </w:r>
    </w:p>
    <w:p w14:paraId="790143EF" w14:textId="77777777" w:rsidR="005540C4" w:rsidRPr="00324E77" w:rsidRDefault="005540C4" w:rsidP="005540C4">
      <w:pPr>
        <w:spacing w:after="0" w:line="276" w:lineRule="auto"/>
        <w:ind w:firstLine="567"/>
        <w:jc w:val="both"/>
        <w:rPr>
          <w:rFonts w:ascii="Times New Roman" w:hAnsi="Times New Roman" w:cs="Times New Roman"/>
          <w:color w:val="000000" w:themeColor="text1"/>
          <w:sz w:val="28"/>
          <w:szCs w:val="28"/>
          <w:lang w:val="uk-UA"/>
        </w:rPr>
      </w:pPr>
      <w:r w:rsidRPr="00324E77">
        <w:rPr>
          <w:rFonts w:ascii="Times New Roman" w:hAnsi="Times New Roman" w:cs="Times New Roman"/>
          <w:color w:val="000000" w:themeColor="text1"/>
          <w:sz w:val="28"/>
          <w:szCs w:val="28"/>
          <w:lang w:val="uk-UA"/>
        </w:rPr>
        <w:t xml:space="preserve">законів України «Про ринок електричної енергії», «Про </w:t>
      </w:r>
      <w:hyperlink r:id="rId7" w:tgtFrame="_blank" w:history="1">
        <w:r w:rsidRPr="00324E77">
          <w:rPr>
            <w:rFonts w:ascii="Times New Roman" w:hAnsi="Times New Roman" w:cs="Times New Roman"/>
            <w:color w:val="000000" w:themeColor="text1"/>
            <w:sz w:val="28"/>
            <w:szCs w:val="28"/>
            <w:lang w:val="uk-UA"/>
          </w:rPr>
          <w:t>Національну комісію, що здійснює державне регулювання у сферах енергетики та комунальних послуг»</w:t>
        </w:r>
      </w:hyperlink>
      <w:r w:rsidRPr="00324E77">
        <w:rPr>
          <w:rFonts w:ascii="Times New Roman" w:hAnsi="Times New Roman" w:cs="Times New Roman"/>
          <w:color w:val="000000" w:themeColor="text1"/>
          <w:sz w:val="28"/>
          <w:szCs w:val="28"/>
          <w:lang w:val="uk-UA"/>
        </w:rPr>
        <w:t>, </w:t>
      </w:r>
      <w:hyperlink r:id="rId8" w:tgtFrame="_blank" w:history="1">
        <w:r w:rsidRPr="00324E77">
          <w:rPr>
            <w:rFonts w:ascii="Times New Roman" w:hAnsi="Times New Roman" w:cs="Times New Roman"/>
            <w:color w:val="000000" w:themeColor="text1"/>
            <w:sz w:val="28"/>
            <w:szCs w:val="28"/>
            <w:lang w:val="uk-UA"/>
          </w:rPr>
          <w:t>«Про інформацію»</w:t>
        </w:r>
      </w:hyperlink>
      <w:r w:rsidRPr="00324E77">
        <w:rPr>
          <w:rFonts w:ascii="Times New Roman" w:hAnsi="Times New Roman" w:cs="Times New Roman"/>
          <w:color w:val="000000" w:themeColor="text1"/>
          <w:sz w:val="28"/>
          <w:szCs w:val="28"/>
          <w:lang w:val="uk-UA"/>
        </w:rPr>
        <w:t>, </w:t>
      </w:r>
      <w:hyperlink r:id="rId9" w:tgtFrame="_blank" w:history="1">
        <w:r w:rsidRPr="00324E77">
          <w:rPr>
            <w:rFonts w:ascii="Times New Roman" w:hAnsi="Times New Roman" w:cs="Times New Roman"/>
            <w:color w:val="000000" w:themeColor="text1"/>
            <w:sz w:val="28"/>
            <w:szCs w:val="28"/>
            <w:lang w:val="uk-UA"/>
          </w:rPr>
          <w:t>«Про доступ до публічної інформації»</w:t>
        </w:r>
      </w:hyperlink>
      <w:r w:rsidRPr="00324E77">
        <w:rPr>
          <w:rFonts w:ascii="Times New Roman" w:hAnsi="Times New Roman" w:cs="Times New Roman"/>
          <w:color w:val="000000" w:themeColor="text1"/>
          <w:sz w:val="28"/>
          <w:szCs w:val="28"/>
          <w:lang w:val="uk-UA"/>
        </w:rPr>
        <w:t>;</w:t>
      </w:r>
    </w:p>
    <w:p w14:paraId="40982029" w14:textId="77777777" w:rsidR="005540C4" w:rsidRPr="00324E77" w:rsidRDefault="005540C4" w:rsidP="005540C4">
      <w:pPr>
        <w:spacing w:after="0" w:line="276" w:lineRule="auto"/>
        <w:ind w:firstLine="567"/>
        <w:jc w:val="both"/>
        <w:rPr>
          <w:rFonts w:ascii="Times New Roman" w:hAnsi="Times New Roman" w:cs="Times New Roman"/>
          <w:color w:val="000000" w:themeColor="text1"/>
          <w:sz w:val="28"/>
          <w:szCs w:val="28"/>
          <w:lang w:val="uk-UA"/>
        </w:rPr>
      </w:pPr>
      <w:r w:rsidRPr="00324E77">
        <w:rPr>
          <w:rFonts w:ascii="Times New Roman" w:hAnsi="Times New Roman" w:cs="Times New Roman"/>
          <w:color w:val="000000" w:themeColor="text1"/>
          <w:sz w:val="28"/>
          <w:szCs w:val="28"/>
          <w:lang w:val="uk-UA"/>
        </w:rPr>
        <w:t xml:space="preserve">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w:t>
      </w:r>
      <w:r w:rsidRPr="00324E77">
        <w:rPr>
          <w:rFonts w:ascii="Times New Roman" w:hAnsi="Times New Roman" w:cs="Times New Roman"/>
          <w:color w:val="000000" w:themeColor="text1"/>
          <w:sz w:val="28"/>
          <w:szCs w:val="28"/>
          <w:lang w:val="uk-UA"/>
        </w:rPr>
        <w:lastRenderedPageBreak/>
        <w:t>умов провадження господарської діяльності з постачання електричної енергії споживачу, затверджених постановою НКРЕКП від 27 грудня 2017 року № 1469;</w:t>
      </w:r>
    </w:p>
    <w:p w14:paraId="271693F2" w14:textId="77777777" w:rsidR="005540C4" w:rsidRPr="00324E77" w:rsidRDefault="005540C4" w:rsidP="005540C4">
      <w:pPr>
        <w:spacing w:after="0" w:line="276" w:lineRule="auto"/>
        <w:ind w:firstLine="567"/>
        <w:jc w:val="both"/>
        <w:rPr>
          <w:rFonts w:ascii="Times New Roman" w:hAnsi="Times New Roman" w:cs="Times New Roman"/>
          <w:color w:val="000000" w:themeColor="text1"/>
          <w:sz w:val="28"/>
          <w:szCs w:val="28"/>
          <w:lang w:val="uk-UA"/>
        </w:rPr>
      </w:pPr>
      <w:r w:rsidRPr="00324E77">
        <w:rPr>
          <w:rFonts w:ascii="Times New Roman" w:hAnsi="Times New Roman" w:cs="Times New Roman"/>
          <w:color w:val="000000" w:themeColor="text1"/>
          <w:sz w:val="28"/>
          <w:szCs w:val="28"/>
          <w:lang w:val="uk-UA"/>
        </w:rPr>
        <w:t>інших нормативно-правових актів, якими регулюється ліцензована діяльність суб’єктів господарської діяльності з постачання електричної енергії споживачу.</w:t>
      </w:r>
    </w:p>
    <w:p w14:paraId="28367698" w14:textId="77777777" w:rsidR="00F763C6" w:rsidRPr="00444333" w:rsidRDefault="00F763C6" w:rsidP="005540C4">
      <w:pPr>
        <w:spacing w:after="0" w:line="276" w:lineRule="auto"/>
        <w:rPr>
          <w:rFonts w:ascii="Times New Roman" w:hAnsi="Times New Roman" w:cs="Times New Roman"/>
          <w:color w:val="000000" w:themeColor="text1"/>
          <w:szCs w:val="28"/>
          <w:lang w:val="uk-UA"/>
        </w:rPr>
      </w:pPr>
    </w:p>
    <w:p w14:paraId="4C706A3A" w14:textId="1429FD0F" w:rsidR="005540C4" w:rsidRPr="00324E77" w:rsidRDefault="005540C4" w:rsidP="00F37E75">
      <w:pPr>
        <w:pStyle w:val="a3"/>
        <w:numPr>
          <w:ilvl w:val="0"/>
          <w:numId w:val="14"/>
        </w:numPr>
        <w:spacing w:after="0" w:line="276" w:lineRule="auto"/>
        <w:jc w:val="center"/>
        <w:rPr>
          <w:rFonts w:ascii="Times New Roman" w:hAnsi="Times New Roman" w:cs="Times New Roman"/>
          <w:b/>
          <w:color w:val="000000" w:themeColor="text1"/>
          <w:sz w:val="28"/>
          <w:szCs w:val="28"/>
          <w:lang w:val="uk-UA"/>
        </w:rPr>
      </w:pPr>
      <w:r w:rsidRPr="00324E77">
        <w:rPr>
          <w:rFonts w:ascii="Times New Roman" w:hAnsi="Times New Roman" w:cs="Times New Roman"/>
          <w:b/>
          <w:color w:val="000000" w:themeColor="text1"/>
          <w:sz w:val="28"/>
          <w:szCs w:val="28"/>
          <w:lang w:val="uk-UA"/>
        </w:rPr>
        <w:t>Порядок та термін надання інформації</w:t>
      </w:r>
    </w:p>
    <w:p w14:paraId="0FA81814" w14:textId="77777777" w:rsidR="005540C4" w:rsidRPr="00444333" w:rsidRDefault="005540C4" w:rsidP="005540C4">
      <w:pPr>
        <w:pStyle w:val="a3"/>
        <w:spacing w:after="0" w:line="276" w:lineRule="auto"/>
        <w:ind w:left="1287"/>
        <w:rPr>
          <w:rFonts w:ascii="Times New Roman" w:hAnsi="Times New Roman" w:cs="Times New Roman"/>
          <w:b/>
          <w:color w:val="000000" w:themeColor="text1"/>
          <w:szCs w:val="28"/>
          <w:lang w:val="uk-UA"/>
        </w:rPr>
      </w:pPr>
    </w:p>
    <w:p w14:paraId="3EB0650C" w14:textId="268977A4" w:rsidR="005540C4" w:rsidRPr="00324E77" w:rsidRDefault="005540C4" w:rsidP="005540C4">
      <w:pPr>
        <w:spacing w:after="0" w:line="276" w:lineRule="auto"/>
        <w:ind w:firstLine="567"/>
        <w:jc w:val="both"/>
        <w:rPr>
          <w:rFonts w:ascii="Times New Roman" w:hAnsi="Times New Roman" w:cs="Times New Roman"/>
          <w:color w:val="000000" w:themeColor="text1"/>
          <w:sz w:val="28"/>
          <w:szCs w:val="28"/>
          <w:lang w:val="uk-UA"/>
        </w:rPr>
      </w:pPr>
      <w:r w:rsidRPr="00324E77">
        <w:rPr>
          <w:rFonts w:ascii="Times New Roman" w:hAnsi="Times New Roman" w:cs="Times New Roman"/>
          <w:color w:val="000000" w:themeColor="text1"/>
          <w:sz w:val="28"/>
          <w:szCs w:val="28"/>
        </w:rPr>
        <w:t>2.</w:t>
      </w:r>
      <w:r w:rsidRPr="00324E77">
        <w:rPr>
          <w:rFonts w:ascii="Times New Roman" w:hAnsi="Times New Roman" w:cs="Times New Roman"/>
          <w:color w:val="000000" w:themeColor="text1"/>
          <w:sz w:val="28"/>
          <w:szCs w:val="28"/>
          <w:lang w:val="uk-UA"/>
        </w:rPr>
        <w:t>1. Форму звітності № </w:t>
      </w:r>
      <w:r w:rsidR="008B25D9" w:rsidRPr="00324E77">
        <w:rPr>
          <w:rFonts w:ascii="Times New Roman" w:hAnsi="Times New Roman" w:cs="Times New Roman"/>
          <w:color w:val="000000" w:themeColor="text1"/>
          <w:sz w:val="28"/>
          <w:szCs w:val="28"/>
          <w:lang w:val="uk-UA"/>
        </w:rPr>
        <w:t>12</w:t>
      </w:r>
      <w:r w:rsidRPr="00324E77">
        <w:rPr>
          <w:rFonts w:ascii="Times New Roman" w:hAnsi="Times New Roman" w:cs="Times New Roman"/>
          <w:color w:val="000000" w:themeColor="text1"/>
          <w:sz w:val="28"/>
          <w:szCs w:val="28"/>
          <w:lang w:val="uk-UA"/>
        </w:rPr>
        <w:t xml:space="preserve"> електропостачальники подають що</w:t>
      </w:r>
      <w:r w:rsidR="0053732F" w:rsidRPr="00324E77">
        <w:rPr>
          <w:rFonts w:ascii="Times New Roman" w:hAnsi="Times New Roman" w:cs="Times New Roman"/>
          <w:color w:val="000000" w:themeColor="text1"/>
          <w:sz w:val="28"/>
          <w:szCs w:val="28"/>
          <w:lang w:val="uk-UA"/>
        </w:rPr>
        <w:t>кварталу</w:t>
      </w:r>
      <w:r w:rsidRPr="00324E77">
        <w:rPr>
          <w:rFonts w:ascii="Times New Roman" w:hAnsi="Times New Roman" w:cs="Times New Roman"/>
          <w:color w:val="000000" w:themeColor="text1"/>
          <w:sz w:val="28"/>
          <w:szCs w:val="28"/>
          <w:lang w:val="uk-UA"/>
        </w:rPr>
        <w:t xml:space="preserve"> до 25 числа місяця, наступного за звітним періодом.</w:t>
      </w:r>
      <w:r w:rsidR="00482964" w:rsidRPr="00482964">
        <w:t xml:space="preserve"> </w:t>
      </w:r>
      <w:r w:rsidR="00482964">
        <w:rPr>
          <w:lang w:val="uk-UA"/>
        </w:rPr>
        <w:t xml:space="preserve"> </w:t>
      </w:r>
      <w:r w:rsidR="00482964" w:rsidRPr="00482964">
        <w:rPr>
          <w:rFonts w:ascii="Times New Roman" w:hAnsi="Times New Roman" w:cs="Times New Roman"/>
          <w:color w:val="000000" w:themeColor="text1"/>
          <w:sz w:val="28"/>
          <w:szCs w:val="28"/>
          <w:lang w:val="uk-UA"/>
        </w:rPr>
        <w:t xml:space="preserve">НКРЕКП протягом 10 робочих днів з дня надходження </w:t>
      </w:r>
      <w:r w:rsidR="00B83701">
        <w:rPr>
          <w:rFonts w:ascii="Times New Roman" w:hAnsi="Times New Roman" w:cs="Times New Roman"/>
          <w:color w:val="000000" w:themeColor="text1"/>
          <w:sz w:val="28"/>
          <w:szCs w:val="28"/>
          <w:lang w:val="uk-UA"/>
        </w:rPr>
        <w:t>до</w:t>
      </w:r>
      <w:r w:rsidR="00482964" w:rsidRPr="00482964">
        <w:rPr>
          <w:rFonts w:ascii="Times New Roman" w:hAnsi="Times New Roman" w:cs="Times New Roman"/>
          <w:color w:val="000000" w:themeColor="text1"/>
          <w:sz w:val="28"/>
          <w:szCs w:val="28"/>
          <w:lang w:val="uk-UA"/>
        </w:rPr>
        <w:t xml:space="preserve"> НКРЕКП форми звітності № 12 надсилає електропостачальнику повідомлення в електронній формі про одержання форми звітності № 12 (на електронну адресу</w:t>
      </w:r>
      <w:r w:rsidR="00B83701">
        <w:rPr>
          <w:rFonts w:ascii="Times New Roman" w:hAnsi="Times New Roman" w:cs="Times New Roman"/>
          <w:color w:val="000000" w:themeColor="text1"/>
          <w:sz w:val="28"/>
          <w:szCs w:val="28"/>
          <w:lang w:val="uk-UA"/>
        </w:rPr>
        <w:t>,</w:t>
      </w:r>
      <w:r w:rsidR="00482964" w:rsidRPr="00482964">
        <w:rPr>
          <w:rFonts w:ascii="Times New Roman" w:hAnsi="Times New Roman" w:cs="Times New Roman"/>
          <w:color w:val="000000" w:themeColor="text1"/>
          <w:sz w:val="28"/>
          <w:szCs w:val="28"/>
          <w:lang w:val="uk-UA"/>
        </w:rPr>
        <w:t xml:space="preserve"> з якої було надіслано зазначену форму звітності).</w:t>
      </w:r>
      <w:r w:rsidRPr="00324E77">
        <w:rPr>
          <w:rFonts w:ascii="Times New Roman" w:hAnsi="Times New Roman" w:cs="Times New Roman"/>
          <w:color w:val="000000" w:themeColor="text1"/>
          <w:sz w:val="28"/>
          <w:szCs w:val="28"/>
          <w:lang w:val="uk-UA"/>
        </w:rPr>
        <w:t xml:space="preserve"> Датою подання форми звітності № </w:t>
      </w:r>
      <w:r w:rsidR="00595A67">
        <w:rPr>
          <w:rFonts w:ascii="Times New Roman" w:hAnsi="Times New Roman" w:cs="Times New Roman"/>
          <w:color w:val="000000" w:themeColor="text1"/>
          <w:sz w:val="28"/>
          <w:szCs w:val="28"/>
          <w:lang w:val="uk-UA"/>
        </w:rPr>
        <w:t>12</w:t>
      </w:r>
      <w:r w:rsidRPr="00324E77">
        <w:rPr>
          <w:rFonts w:ascii="Times New Roman" w:hAnsi="Times New Roman" w:cs="Times New Roman"/>
          <w:color w:val="000000" w:themeColor="text1"/>
          <w:sz w:val="28"/>
          <w:szCs w:val="28"/>
          <w:lang w:val="uk-UA"/>
        </w:rPr>
        <w:t xml:space="preserve"> вважається дата її </w:t>
      </w:r>
      <w:r w:rsidR="005518E4">
        <w:rPr>
          <w:rFonts w:ascii="Times New Roman" w:hAnsi="Times New Roman" w:cs="Times New Roman"/>
          <w:color w:val="000000" w:themeColor="text1"/>
          <w:sz w:val="28"/>
          <w:szCs w:val="28"/>
          <w:lang w:val="uk-UA"/>
        </w:rPr>
        <w:t>надходження</w:t>
      </w:r>
      <w:r w:rsidR="005518E4" w:rsidRPr="00324E77">
        <w:rPr>
          <w:rFonts w:ascii="Times New Roman" w:hAnsi="Times New Roman" w:cs="Times New Roman"/>
          <w:color w:val="000000" w:themeColor="text1"/>
          <w:sz w:val="28"/>
          <w:szCs w:val="28"/>
          <w:lang w:val="uk-UA"/>
        </w:rPr>
        <w:t xml:space="preserve"> </w:t>
      </w:r>
      <w:r w:rsidR="00B83701">
        <w:rPr>
          <w:rFonts w:ascii="Times New Roman" w:hAnsi="Times New Roman" w:cs="Times New Roman"/>
          <w:color w:val="000000" w:themeColor="text1"/>
          <w:sz w:val="28"/>
          <w:szCs w:val="28"/>
          <w:lang w:val="uk-UA"/>
        </w:rPr>
        <w:t>до</w:t>
      </w:r>
      <w:r w:rsidRPr="00324E77">
        <w:rPr>
          <w:rFonts w:ascii="Times New Roman" w:hAnsi="Times New Roman" w:cs="Times New Roman"/>
          <w:color w:val="000000" w:themeColor="text1"/>
          <w:sz w:val="28"/>
          <w:szCs w:val="28"/>
          <w:lang w:val="uk-UA"/>
        </w:rPr>
        <w:t xml:space="preserve"> НКРЕКП.</w:t>
      </w:r>
    </w:p>
    <w:p w14:paraId="10215687" w14:textId="77777777" w:rsidR="005540C4" w:rsidRPr="00444333" w:rsidRDefault="005540C4" w:rsidP="005540C4">
      <w:pPr>
        <w:spacing w:after="0" w:line="276" w:lineRule="auto"/>
        <w:ind w:firstLine="567"/>
        <w:jc w:val="both"/>
        <w:rPr>
          <w:rFonts w:ascii="Times New Roman" w:hAnsi="Times New Roman" w:cs="Times New Roman"/>
          <w:color w:val="000000" w:themeColor="text1"/>
          <w:szCs w:val="28"/>
          <w:lang w:val="uk-UA"/>
        </w:rPr>
      </w:pPr>
    </w:p>
    <w:p w14:paraId="6A01325C" w14:textId="77777777" w:rsidR="005540C4" w:rsidRPr="00324E77" w:rsidRDefault="005540C4" w:rsidP="005540C4">
      <w:pPr>
        <w:spacing w:after="0" w:line="276" w:lineRule="auto"/>
        <w:ind w:firstLine="567"/>
        <w:jc w:val="both"/>
        <w:rPr>
          <w:rFonts w:ascii="Times New Roman" w:hAnsi="Times New Roman" w:cs="Times New Roman"/>
          <w:color w:val="000000" w:themeColor="text1"/>
          <w:sz w:val="28"/>
          <w:szCs w:val="28"/>
          <w:lang w:val="uk-UA"/>
        </w:rPr>
      </w:pPr>
      <w:r w:rsidRPr="00324E77">
        <w:rPr>
          <w:rFonts w:ascii="Times New Roman" w:hAnsi="Times New Roman" w:cs="Times New Roman"/>
          <w:color w:val="000000" w:themeColor="text1"/>
          <w:sz w:val="28"/>
          <w:szCs w:val="28"/>
        </w:rPr>
        <w:t>2.</w:t>
      </w:r>
      <w:r w:rsidRPr="00324E77">
        <w:rPr>
          <w:rFonts w:ascii="Times New Roman" w:hAnsi="Times New Roman" w:cs="Times New Roman"/>
          <w:color w:val="000000" w:themeColor="text1"/>
          <w:sz w:val="28"/>
          <w:szCs w:val="28"/>
          <w:lang w:val="uk-UA"/>
        </w:rPr>
        <w:t>2. Звітним періодом є квартал.</w:t>
      </w:r>
    </w:p>
    <w:p w14:paraId="4AF5F1E7" w14:textId="77777777" w:rsidR="005540C4" w:rsidRPr="00444333" w:rsidRDefault="005540C4" w:rsidP="005540C4">
      <w:pPr>
        <w:spacing w:after="0" w:line="276" w:lineRule="auto"/>
        <w:ind w:firstLine="567"/>
        <w:jc w:val="both"/>
        <w:rPr>
          <w:rFonts w:ascii="Times New Roman" w:hAnsi="Times New Roman" w:cs="Times New Roman"/>
          <w:color w:val="000000" w:themeColor="text1"/>
          <w:szCs w:val="28"/>
          <w:lang w:val="uk-UA"/>
        </w:rPr>
      </w:pPr>
    </w:p>
    <w:p w14:paraId="7605648D" w14:textId="7C5558C7" w:rsidR="005518E4" w:rsidRDefault="005540C4" w:rsidP="005518E4">
      <w:pPr>
        <w:spacing w:after="0" w:line="276" w:lineRule="auto"/>
        <w:ind w:firstLine="567"/>
        <w:jc w:val="both"/>
        <w:rPr>
          <w:rFonts w:ascii="Times New Roman" w:hAnsi="Times New Roman" w:cs="Times New Roman"/>
          <w:sz w:val="28"/>
          <w:szCs w:val="28"/>
          <w:lang w:val="uk-UA"/>
        </w:rPr>
      </w:pPr>
      <w:r w:rsidRPr="00324E77">
        <w:rPr>
          <w:rFonts w:ascii="Times New Roman" w:hAnsi="Times New Roman" w:cs="Times New Roman"/>
          <w:color w:val="000000" w:themeColor="text1"/>
          <w:sz w:val="28"/>
          <w:szCs w:val="28"/>
        </w:rPr>
        <w:t>2.</w:t>
      </w:r>
      <w:r w:rsidRPr="00324E77">
        <w:rPr>
          <w:rFonts w:ascii="Times New Roman" w:hAnsi="Times New Roman" w:cs="Times New Roman"/>
          <w:color w:val="000000" w:themeColor="text1"/>
          <w:sz w:val="28"/>
          <w:szCs w:val="28"/>
          <w:lang w:val="uk-UA"/>
        </w:rPr>
        <w:t>3.</w:t>
      </w:r>
      <w:r w:rsidRPr="00324E77">
        <w:rPr>
          <w:rFonts w:ascii="Times New Roman" w:hAnsi="Times New Roman" w:cs="Times New Roman"/>
          <w:color w:val="000000" w:themeColor="text1"/>
          <w:sz w:val="28"/>
          <w:szCs w:val="28"/>
        </w:rPr>
        <w:t xml:space="preserve"> </w:t>
      </w:r>
      <w:r w:rsidRPr="00324E77">
        <w:rPr>
          <w:rFonts w:ascii="Times New Roman" w:hAnsi="Times New Roman" w:cs="Times New Roman"/>
          <w:color w:val="000000" w:themeColor="text1"/>
          <w:sz w:val="28"/>
          <w:szCs w:val="28"/>
          <w:lang w:val="uk-UA"/>
        </w:rPr>
        <w:t>Форма звітності № </w:t>
      </w:r>
      <w:r w:rsidR="0053732F" w:rsidRPr="00324E77">
        <w:rPr>
          <w:rFonts w:ascii="Times New Roman" w:hAnsi="Times New Roman" w:cs="Times New Roman"/>
          <w:color w:val="000000" w:themeColor="text1"/>
          <w:sz w:val="28"/>
          <w:szCs w:val="28"/>
          <w:lang w:val="uk-UA"/>
        </w:rPr>
        <w:t>12</w:t>
      </w:r>
      <w:r w:rsidRPr="00324E77">
        <w:rPr>
          <w:rFonts w:ascii="Times New Roman" w:hAnsi="Times New Roman" w:cs="Times New Roman"/>
          <w:color w:val="000000" w:themeColor="text1"/>
          <w:sz w:val="28"/>
          <w:szCs w:val="28"/>
          <w:lang w:val="uk-UA"/>
        </w:rPr>
        <w:t xml:space="preserve"> надсилається електропостачальником до </w:t>
      </w:r>
      <w:bookmarkStart w:id="0" w:name="_Hlk59007674"/>
      <w:r w:rsidR="00F37E75">
        <w:rPr>
          <w:rFonts w:ascii="Times New Roman" w:hAnsi="Times New Roman" w:cs="Times New Roman"/>
          <w:color w:val="000000" w:themeColor="text1"/>
          <w:sz w:val="28"/>
          <w:szCs w:val="28"/>
          <w:lang w:val="uk-UA"/>
        </w:rPr>
        <w:t xml:space="preserve">НКРЕКП </w:t>
      </w:r>
      <w:r w:rsidR="005518E4" w:rsidRPr="009138A3">
        <w:rPr>
          <w:rFonts w:ascii="Times New Roman" w:hAnsi="Times New Roman" w:cs="Times New Roman"/>
          <w:sz w:val="28"/>
          <w:szCs w:val="28"/>
          <w:lang w:val="uk-UA"/>
        </w:rPr>
        <w:t xml:space="preserve">в електронному вигляді у форматі </w:t>
      </w:r>
      <w:r w:rsidR="005518E4" w:rsidRPr="009138A3">
        <w:rPr>
          <w:rFonts w:ascii="Times New Roman" w:hAnsi="Times New Roman" w:cs="Times New Roman"/>
          <w:sz w:val="28"/>
          <w:szCs w:val="28"/>
        </w:rPr>
        <w:t>«xls» або «xlsx»</w:t>
      </w:r>
      <w:r w:rsidR="005518E4" w:rsidRPr="009138A3">
        <w:rPr>
          <w:rFonts w:ascii="Times New Roman" w:hAnsi="Times New Roman" w:cs="Times New Roman"/>
          <w:sz w:val="28"/>
          <w:szCs w:val="28"/>
          <w:lang w:val="uk-UA"/>
        </w:rPr>
        <w:t xml:space="preserve"> на</w:t>
      </w:r>
      <w:r w:rsidR="00482964">
        <w:rPr>
          <w:rFonts w:ascii="Times New Roman" w:hAnsi="Times New Roman" w:cs="Times New Roman"/>
          <w:sz w:val="28"/>
          <w:szCs w:val="28"/>
          <w:lang w:val="uk-UA"/>
        </w:rPr>
        <w:t xml:space="preserve"> </w:t>
      </w:r>
      <w:r w:rsidR="005518E4" w:rsidRPr="009138A3">
        <w:rPr>
          <w:rFonts w:ascii="Times New Roman" w:hAnsi="Times New Roman" w:cs="Times New Roman"/>
          <w:sz w:val="28"/>
          <w:szCs w:val="28"/>
          <w:lang w:val="uk-UA"/>
        </w:rPr>
        <w:t>адресу:</w:t>
      </w:r>
      <w:r w:rsidR="005518E4" w:rsidRPr="009138A3">
        <w:rPr>
          <w:rFonts w:ascii="Times New Roman" w:hAnsi="Times New Roman" w:cs="Times New Roman"/>
          <w:sz w:val="28"/>
          <w:szCs w:val="28"/>
        </w:rPr>
        <w:t xml:space="preserve"> </w:t>
      </w:r>
      <w:hyperlink r:id="rId10" w:history="1">
        <w:r w:rsidR="005518E4" w:rsidRPr="00482964">
          <w:rPr>
            <w:rStyle w:val="a4"/>
            <w:rFonts w:ascii="Times New Roman" w:hAnsi="Times New Roman" w:cs="Times New Roman"/>
            <w:color w:val="auto"/>
            <w:sz w:val="28"/>
            <w:szCs w:val="28"/>
            <w:u w:val="none"/>
            <w:lang w:val="en-US"/>
          </w:rPr>
          <w:t>monitoring</w:t>
        </w:r>
        <w:r w:rsidR="005518E4" w:rsidRPr="00482964">
          <w:rPr>
            <w:rStyle w:val="a4"/>
            <w:rFonts w:ascii="Times New Roman" w:hAnsi="Times New Roman" w:cs="Times New Roman"/>
            <w:color w:val="auto"/>
            <w:sz w:val="28"/>
            <w:szCs w:val="28"/>
            <w:u w:val="none"/>
          </w:rPr>
          <w:t>_</w:t>
        </w:r>
        <w:r w:rsidR="005518E4" w:rsidRPr="00482964">
          <w:rPr>
            <w:rStyle w:val="a4"/>
            <w:rFonts w:ascii="Times New Roman" w:hAnsi="Times New Roman" w:cs="Times New Roman"/>
            <w:color w:val="auto"/>
            <w:sz w:val="28"/>
            <w:szCs w:val="28"/>
            <w:u w:val="none"/>
            <w:lang w:val="en-US"/>
          </w:rPr>
          <w:t>E</w:t>
        </w:r>
        <w:r w:rsidR="005518E4" w:rsidRPr="00482964">
          <w:rPr>
            <w:rStyle w:val="a4"/>
            <w:rFonts w:ascii="Times New Roman" w:hAnsi="Times New Roman" w:cs="Times New Roman"/>
            <w:color w:val="auto"/>
            <w:sz w:val="28"/>
            <w:szCs w:val="28"/>
            <w:u w:val="none"/>
          </w:rPr>
          <w:t>@</w:t>
        </w:r>
        <w:r w:rsidR="005518E4" w:rsidRPr="00482964">
          <w:rPr>
            <w:rStyle w:val="a4"/>
            <w:rFonts w:ascii="Times New Roman" w:hAnsi="Times New Roman" w:cs="Times New Roman"/>
            <w:color w:val="auto"/>
            <w:sz w:val="28"/>
            <w:szCs w:val="28"/>
            <w:u w:val="none"/>
            <w:lang w:val="en-US"/>
          </w:rPr>
          <w:t>nerc</w:t>
        </w:r>
        <w:r w:rsidR="005518E4" w:rsidRPr="00482964">
          <w:rPr>
            <w:rStyle w:val="a4"/>
            <w:rFonts w:ascii="Times New Roman" w:hAnsi="Times New Roman" w:cs="Times New Roman"/>
            <w:color w:val="auto"/>
            <w:sz w:val="28"/>
            <w:szCs w:val="28"/>
            <w:u w:val="none"/>
          </w:rPr>
          <w:t>.</w:t>
        </w:r>
        <w:r w:rsidR="005518E4" w:rsidRPr="00482964">
          <w:rPr>
            <w:rStyle w:val="a4"/>
            <w:rFonts w:ascii="Times New Roman" w:hAnsi="Times New Roman" w:cs="Times New Roman"/>
            <w:color w:val="auto"/>
            <w:sz w:val="28"/>
            <w:szCs w:val="28"/>
            <w:u w:val="none"/>
            <w:lang w:val="en-US"/>
          </w:rPr>
          <w:t>gov</w:t>
        </w:r>
        <w:r w:rsidR="005518E4" w:rsidRPr="00482964">
          <w:rPr>
            <w:rStyle w:val="a4"/>
            <w:rFonts w:ascii="Times New Roman" w:hAnsi="Times New Roman" w:cs="Times New Roman"/>
            <w:color w:val="auto"/>
            <w:sz w:val="28"/>
            <w:szCs w:val="28"/>
            <w:u w:val="none"/>
          </w:rPr>
          <w:t>.</w:t>
        </w:r>
        <w:r w:rsidR="005518E4" w:rsidRPr="00482964">
          <w:rPr>
            <w:rStyle w:val="a4"/>
            <w:rFonts w:ascii="Times New Roman" w:hAnsi="Times New Roman" w:cs="Times New Roman"/>
            <w:color w:val="auto"/>
            <w:sz w:val="28"/>
            <w:szCs w:val="28"/>
            <w:u w:val="none"/>
            <w:lang w:val="en-US"/>
          </w:rPr>
          <w:t>ua</w:t>
        </w:r>
      </w:hyperlink>
      <w:r w:rsidR="005518E4" w:rsidRPr="00482964">
        <w:rPr>
          <w:rFonts w:ascii="Times New Roman" w:hAnsi="Times New Roman" w:cs="Times New Roman"/>
          <w:sz w:val="28"/>
          <w:szCs w:val="28"/>
        </w:rPr>
        <w:t xml:space="preserve"> </w:t>
      </w:r>
      <w:bookmarkStart w:id="1" w:name="_Hlk58937441"/>
      <w:r w:rsidR="005518E4">
        <w:rPr>
          <w:rFonts w:ascii="Times New Roman" w:hAnsi="Times New Roman" w:cs="Times New Roman"/>
          <w:sz w:val="28"/>
          <w:szCs w:val="28"/>
          <w:lang w:val="uk-UA"/>
        </w:rPr>
        <w:t>у двох примірниках:</w:t>
      </w:r>
    </w:p>
    <w:p w14:paraId="47EF5D4C" w14:textId="77777777" w:rsidR="005518E4" w:rsidRPr="0063421D" w:rsidRDefault="005518E4" w:rsidP="00E27F1B">
      <w:pPr>
        <w:tabs>
          <w:tab w:val="left" w:pos="993"/>
        </w:tabs>
        <w:spacing w:after="0" w:line="276" w:lineRule="auto"/>
        <w:ind w:firstLine="567"/>
        <w:jc w:val="both"/>
        <w:rPr>
          <w:rFonts w:ascii="Times New Roman" w:hAnsi="Times New Roman" w:cs="Times New Roman"/>
          <w:sz w:val="28"/>
          <w:szCs w:val="28"/>
          <w:lang w:val="uk-UA"/>
        </w:rPr>
      </w:pPr>
      <w:r w:rsidRPr="0063421D">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r>
        <w:rPr>
          <w:rFonts w:ascii="Times New Roman" w:hAnsi="Times New Roman" w:cs="Times New Roman"/>
          <w:sz w:val="28"/>
          <w:szCs w:val="28"/>
          <w:lang w:val="uk-UA"/>
        </w:rPr>
        <w:t>;</w:t>
      </w:r>
    </w:p>
    <w:p w14:paraId="584DF5C5" w14:textId="34507914" w:rsidR="005540C4" w:rsidRPr="00E27F1B" w:rsidRDefault="005518E4" w:rsidP="00E27F1B">
      <w:pPr>
        <w:spacing w:after="0" w:line="276" w:lineRule="auto"/>
        <w:ind w:firstLine="567"/>
        <w:jc w:val="both"/>
        <w:rPr>
          <w:rFonts w:ascii="Times New Roman" w:hAnsi="Times New Roman" w:cs="Times New Roman"/>
          <w:sz w:val="28"/>
          <w:szCs w:val="28"/>
          <w:lang w:val="uk-UA"/>
        </w:rPr>
      </w:pPr>
      <w:r w:rsidRPr="0063421D">
        <w:rPr>
          <w:rFonts w:ascii="Times New Roman" w:hAnsi="Times New Roman" w:cs="Times New Roman"/>
          <w:sz w:val="28"/>
          <w:szCs w:val="28"/>
          <w:lang w:val="uk-UA"/>
        </w:rPr>
        <w:t>без накладення кваліфікованого електронного підпису та/або кваліфікованої електронної печатки ліцензіата</w:t>
      </w:r>
      <w:bookmarkEnd w:id="1"/>
      <w:r w:rsidRPr="0063421D">
        <w:rPr>
          <w:rFonts w:ascii="Times New Roman" w:hAnsi="Times New Roman" w:cs="Times New Roman"/>
          <w:sz w:val="28"/>
          <w:szCs w:val="28"/>
          <w:lang w:val="uk-UA"/>
        </w:rPr>
        <w:t>.</w:t>
      </w:r>
      <w:bookmarkEnd w:id="0"/>
    </w:p>
    <w:p w14:paraId="41DA7204" w14:textId="488B84D2" w:rsidR="005540C4" w:rsidRPr="00324E77" w:rsidRDefault="005540C4" w:rsidP="00E27F1B">
      <w:pPr>
        <w:spacing w:after="0" w:line="276" w:lineRule="auto"/>
        <w:ind w:firstLine="567"/>
        <w:jc w:val="both"/>
        <w:rPr>
          <w:rFonts w:ascii="Times New Roman" w:hAnsi="Times New Roman" w:cs="Times New Roman"/>
          <w:color w:val="000000" w:themeColor="text1"/>
          <w:sz w:val="28"/>
          <w:szCs w:val="28"/>
          <w:lang w:val="uk-UA"/>
        </w:rPr>
      </w:pPr>
      <w:r w:rsidRPr="00324E77">
        <w:rPr>
          <w:rFonts w:ascii="Times New Roman" w:hAnsi="Times New Roman" w:cs="Times New Roman"/>
          <w:color w:val="000000" w:themeColor="text1"/>
          <w:sz w:val="28"/>
          <w:szCs w:val="28"/>
          <w:lang w:val="uk-UA"/>
        </w:rPr>
        <w:t>У випадку якщо форма звітності № </w:t>
      </w:r>
      <w:r w:rsidR="0053732F" w:rsidRPr="00324E77">
        <w:rPr>
          <w:rFonts w:ascii="Times New Roman" w:hAnsi="Times New Roman" w:cs="Times New Roman"/>
          <w:color w:val="000000" w:themeColor="text1"/>
          <w:sz w:val="28"/>
          <w:szCs w:val="28"/>
          <w:lang w:val="uk-UA"/>
        </w:rPr>
        <w:t>12</w:t>
      </w:r>
      <w:r w:rsidRPr="00324E77">
        <w:rPr>
          <w:rFonts w:ascii="Times New Roman" w:hAnsi="Times New Roman" w:cs="Times New Roman"/>
          <w:color w:val="000000" w:themeColor="text1"/>
          <w:sz w:val="28"/>
          <w:szCs w:val="28"/>
          <w:lang w:val="uk-UA"/>
        </w:rPr>
        <w:t xml:space="preserve"> містить інформацію та/або дані конфіденційного характеру, які становлять комерційну таємницю, з метою забезпечення НКРЕКП захисту конфіденційної інформації електропостачальник визначає перелік такої інформації, умови та порядок її поширення НКРЕКП та подає його разом із формою звітності № </w:t>
      </w:r>
      <w:r w:rsidR="0053732F" w:rsidRPr="00324E77">
        <w:rPr>
          <w:rFonts w:ascii="Times New Roman" w:hAnsi="Times New Roman" w:cs="Times New Roman"/>
          <w:color w:val="000000" w:themeColor="text1"/>
          <w:sz w:val="28"/>
          <w:szCs w:val="28"/>
          <w:lang w:val="uk-UA"/>
        </w:rPr>
        <w:t>12</w:t>
      </w:r>
      <w:r w:rsidRPr="00324E77">
        <w:rPr>
          <w:rFonts w:ascii="Times New Roman" w:hAnsi="Times New Roman" w:cs="Times New Roman"/>
          <w:color w:val="000000" w:themeColor="text1"/>
          <w:sz w:val="28"/>
          <w:szCs w:val="28"/>
          <w:lang w:val="uk-UA"/>
        </w:rPr>
        <w:t xml:space="preserve"> </w:t>
      </w:r>
      <w:bookmarkStart w:id="2" w:name="_Hlk86242516"/>
      <w:r w:rsidR="007622A8" w:rsidRPr="00640AD8">
        <w:rPr>
          <w:rFonts w:ascii="Times New Roman" w:hAnsi="Times New Roman" w:cs="Times New Roman"/>
          <w:sz w:val="28"/>
          <w:szCs w:val="28"/>
          <w:lang w:val="uk-UA"/>
        </w:rPr>
        <w:t>в електронному вигляді</w:t>
      </w:r>
      <w:r w:rsidR="007622A8" w:rsidRPr="001E16D2">
        <w:rPr>
          <w:rFonts w:ascii="Times New Roman" w:hAnsi="Times New Roman" w:cs="Times New Roman"/>
          <w:sz w:val="28"/>
          <w:szCs w:val="28"/>
          <w:lang w:val="uk-UA"/>
        </w:rPr>
        <w:t xml:space="preserve"> </w:t>
      </w:r>
      <w:r w:rsidR="007622A8" w:rsidRPr="00640AD8">
        <w:rPr>
          <w:rFonts w:ascii="Times New Roman" w:hAnsi="Times New Roman" w:cs="Times New Roman"/>
          <w:sz w:val="28"/>
          <w:szCs w:val="28"/>
          <w:lang w:val="uk-UA"/>
        </w:rPr>
        <w:t>(супровідним листом з накладенням кваліфікованого електронного підпису уповноваженої особи ліцензіата та/або кваліфікованої електронної печатки ліцензіата)</w:t>
      </w:r>
      <w:bookmarkEnd w:id="2"/>
      <w:r w:rsidRPr="00324E77">
        <w:rPr>
          <w:rFonts w:ascii="Times New Roman" w:hAnsi="Times New Roman" w:cs="Times New Roman"/>
          <w:color w:val="000000" w:themeColor="text1"/>
          <w:sz w:val="28"/>
          <w:szCs w:val="28"/>
          <w:lang w:val="uk-UA"/>
        </w:rPr>
        <w:t xml:space="preserve"> з урахуванням положень законів України </w:t>
      </w:r>
      <w:hyperlink r:id="rId11" w:tgtFrame="_blank" w:history="1">
        <w:r w:rsidRPr="00324E77">
          <w:rPr>
            <w:rFonts w:ascii="Times New Roman" w:hAnsi="Times New Roman" w:cs="Times New Roman"/>
            <w:color w:val="000000" w:themeColor="text1"/>
            <w:sz w:val="28"/>
            <w:szCs w:val="28"/>
            <w:lang w:val="uk-UA"/>
          </w:rPr>
          <w:t>«Про інформацію»</w:t>
        </w:r>
      </w:hyperlink>
      <w:r w:rsidRPr="00324E77">
        <w:rPr>
          <w:rFonts w:ascii="Times New Roman" w:hAnsi="Times New Roman" w:cs="Times New Roman"/>
          <w:color w:val="000000" w:themeColor="text1"/>
          <w:sz w:val="28"/>
          <w:szCs w:val="28"/>
          <w:lang w:val="uk-UA"/>
        </w:rPr>
        <w:t>, </w:t>
      </w:r>
      <w:hyperlink r:id="rId12" w:tgtFrame="_blank" w:history="1">
        <w:r w:rsidRPr="00324E77">
          <w:rPr>
            <w:rFonts w:ascii="Times New Roman" w:hAnsi="Times New Roman" w:cs="Times New Roman"/>
            <w:color w:val="000000" w:themeColor="text1"/>
            <w:sz w:val="28"/>
            <w:szCs w:val="28"/>
            <w:lang w:val="uk-UA"/>
          </w:rPr>
          <w:t>«Про доступ до публічної інформації»</w:t>
        </w:r>
      </w:hyperlink>
      <w:r w:rsidRPr="00324E77">
        <w:rPr>
          <w:rFonts w:ascii="Times New Roman" w:hAnsi="Times New Roman" w:cs="Times New Roman"/>
          <w:color w:val="000000" w:themeColor="text1"/>
          <w:sz w:val="28"/>
          <w:szCs w:val="28"/>
          <w:lang w:val="uk-UA"/>
        </w:rPr>
        <w:t> та інших актів законодавства.</w:t>
      </w:r>
    </w:p>
    <w:p w14:paraId="7454C90F" w14:textId="77777777" w:rsidR="005540C4" w:rsidRPr="00324E77" w:rsidRDefault="005540C4" w:rsidP="005540C4">
      <w:pPr>
        <w:spacing w:after="0" w:line="276" w:lineRule="auto"/>
        <w:ind w:firstLine="567"/>
        <w:jc w:val="both"/>
        <w:rPr>
          <w:rFonts w:ascii="Times New Roman" w:hAnsi="Times New Roman" w:cs="Times New Roman"/>
          <w:color w:val="000000" w:themeColor="text1"/>
          <w:sz w:val="28"/>
          <w:szCs w:val="28"/>
          <w:lang w:val="uk-UA"/>
        </w:rPr>
      </w:pPr>
      <w:r w:rsidRPr="00324E77">
        <w:rPr>
          <w:rFonts w:ascii="Times New Roman" w:hAnsi="Times New Roman" w:cs="Times New Roman"/>
          <w:color w:val="000000" w:themeColor="text1"/>
          <w:sz w:val="28"/>
          <w:szCs w:val="28"/>
          <w:lang w:val="uk-UA"/>
        </w:rPr>
        <w:t>Обмеженню доступу підлягає інформація, визначена як конфіденційна, а не форма звітності № </w:t>
      </w:r>
      <w:r w:rsidR="0053732F" w:rsidRPr="00324E77">
        <w:rPr>
          <w:rFonts w:ascii="Times New Roman" w:hAnsi="Times New Roman" w:cs="Times New Roman"/>
          <w:color w:val="000000" w:themeColor="text1"/>
          <w:sz w:val="28"/>
          <w:szCs w:val="28"/>
          <w:lang w:val="uk-UA"/>
        </w:rPr>
        <w:t>12</w:t>
      </w:r>
      <w:r w:rsidRPr="00324E77">
        <w:rPr>
          <w:rFonts w:ascii="Times New Roman" w:hAnsi="Times New Roman" w:cs="Times New Roman"/>
          <w:color w:val="000000" w:themeColor="text1"/>
          <w:sz w:val="28"/>
          <w:szCs w:val="28"/>
          <w:lang w:val="uk-UA"/>
        </w:rPr>
        <w:t xml:space="preserve"> у цілому.</w:t>
      </w:r>
    </w:p>
    <w:p w14:paraId="73B23AD5" w14:textId="0E41CD6F" w:rsidR="005540C4" w:rsidRPr="00324E77" w:rsidRDefault="005540C4" w:rsidP="005540C4">
      <w:pPr>
        <w:spacing w:after="0" w:line="276" w:lineRule="auto"/>
        <w:ind w:firstLine="567"/>
        <w:jc w:val="both"/>
        <w:rPr>
          <w:rFonts w:ascii="Times New Roman" w:hAnsi="Times New Roman" w:cs="Times New Roman"/>
          <w:color w:val="000000" w:themeColor="text1"/>
          <w:sz w:val="28"/>
          <w:szCs w:val="28"/>
          <w:lang w:val="uk-UA"/>
        </w:rPr>
      </w:pPr>
      <w:r w:rsidRPr="00324E77">
        <w:rPr>
          <w:rFonts w:ascii="Times New Roman" w:hAnsi="Times New Roman" w:cs="Times New Roman"/>
          <w:color w:val="000000" w:themeColor="text1"/>
          <w:sz w:val="28"/>
          <w:szCs w:val="28"/>
          <w:lang w:val="uk-UA"/>
        </w:rPr>
        <w:t xml:space="preserve">НКРЕКП не зобов’язана вважати інформацію та/або дані, надані електропостачальником, такими, що мають конфіденційний характер та/або </w:t>
      </w:r>
      <w:r w:rsidRPr="00324E77">
        <w:rPr>
          <w:rFonts w:ascii="Times New Roman" w:hAnsi="Times New Roman" w:cs="Times New Roman"/>
          <w:color w:val="000000" w:themeColor="text1"/>
          <w:sz w:val="28"/>
          <w:szCs w:val="28"/>
          <w:lang w:val="uk-UA"/>
        </w:rPr>
        <w:lastRenderedPageBreak/>
        <w:t>становлять комерційну таємницю, якщо постачальник не зазначив цього при поданні форми звітності № </w:t>
      </w:r>
      <w:r w:rsidR="0053732F" w:rsidRPr="00324E77">
        <w:rPr>
          <w:rFonts w:ascii="Times New Roman" w:hAnsi="Times New Roman" w:cs="Times New Roman"/>
          <w:color w:val="000000" w:themeColor="text1"/>
          <w:sz w:val="28"/>
          <w:szCs w:val="28"/>
          <w:lang w:val="uk-UA"/>
        </w:rPr>
        <w:t>12</w:t>
      </w:r>
      <w:r w:rsidRPr="00324E77">
        <w:rPr>
          <w:rFonts w:ascii="Times New Roman" w:hAnsi="Times New Roman" w:cs="Times New Roman"/>
          <w:color w:val="000000" w:themeColor="text1"/>
          <w:sz w:val="28"/>
          <w:szCs w:val="28"/>
          <w:lang w:val="uk-UA"/>
        </w:rPr>
        <w:t xml:space="preserve"> до НКРЕКП.</w:t>
      </w:r>
    </w:p>
    <w:p w14:paraId="68D5C096" w14:textId="09549610" w:rsidR="005540C4" w:rsidRPr="00324E77" w:rsidRDefault="005540C4" w:rsidP="005540C4">
      <w:pPr>
        <w:spacing w:after="0" w:line="276" w:lineRule="auto"/>
        <w:ind w:firstLine="567"/>
        <w:jc w:val="both"/>
        <w:rPr>
          <w:rFonts w:ascii="Times New Roman" w:hAnsi="Times New Roman" w:cs="Times New Roman"/>
          <w:color w:val="000000" w:themeColor="text1"/>
          <w:sz w:val="28"/>
          <w:szCs w:val="28"/>
          <w:lang w:val="uk-UA"/>
        </w:rPr>
      </w:pPr>
      <w:r w:rsidRPr="00324E77">
        <w:rPr>
          <w:rFonts w:ascii="Times New Roman" w:hAnsi="Times New Roman" w:cs="Times New Roman"/>
          <w:color w:val="000000" w:themeColor="text1"/>
          <w:sz w:val="28"/>
          <w:szCs w:val="28"/>
          <w:lang w:val="uk-UA"/>
        </w:rPr>
        <w:t>2.</w:t>
      </w:r>
      <w:r w:rsidR="00E27F1B">
        <w:rPr>
          <w:rFonts w:ascii="Times New Roman" w:hAnsi="Times New Roman" w:cs="Times New Roman"/>
          <w:color w:val="000000" w:themeColor="text1"/>
          <w:sz w:val="28"/>
          <w:szCs w:val="28"/>
          <w:lang w:val="uk-UA"/>
        </w:rPr>
        <w:t>4</w:t>
      </w:r>
      <w:r w:rsidRPr="00324E77">
        <w:rPr>
          <w:rFonts w:ascii="Times New Roman" w:hAnsi="Times New Roman" w:cs="Times New Roman"/>
          <w:color w:val="000000" w:themeColor="text1"/>
          <w:sz w:val="28"/>
          <w:szCs w:val="28"/>
          <w:lang w:val="uk-UA"/>
        </w:rPr>
        <w:t>. Усі дані форми звітності № </w:t>
      </w:r>
      <w:r w:rsidR="0053732F" w:rsidRPr="00324E77">
        <w:rPr>
          <w:rFonts w:ascii="Times New Roman" w:hAnsi="Times New Roman" w:cs="Times New Roman"/>
          <w:color w:val="000000" w:themeColor="text1"/>
          <w:sz w:val="28"/>
          <w:szCs w:val="28"/>
          <w:lang w:val="uk-UA"/>
        </w:rPr>
        <w:t>12</w:t>
      </w:r>
      <w:r w:rsidRPr="00324E77">
        <w:rPr>
          <w:rFonts w:ascii="Times New Roman" w:hAnsi="Times New Roman" w:cs="Times New Roman"/>
          <w:color w:val="000000" w:themeColor="text1"/>
          <w:sz w:val="28"/>
          <w:szCs w:val="28"/>
          <w:lang w:val="uk-UA"/>
        </w:rPr>
        <w:t xml:space="preserve"> мають бути наведені в тих одиницях виміру, які вказані в затвердженій формі звітності.</w:t>
      </w:r>
    </w:p>
    <w:p w14:paraId="6B4A3B11" w14:textId="77777777" w:rsidR="005540C4" w:rsidRPr="00324E77" w:rsidRDefault="005540C4" w:rsidP="005540C4">
      <w:pPr>
        <w:spacing w:after="0" w:line="276" w:lineRule="auto"/>
        <w:ind w:firstLine="567"/>
        <w:jc w:val="both"/>
        <w:rPr>
          <w:rFonts w:ascii="Times New Roman" w:hAnsi="Times New Roman" w:cs="Times New Roman"/>
          <w:color w:val="000000" w:themeColor="text1"/>
          <w:sz w:val="28"/>
          <w:szCs w:val="28"/>
          <w:lang w:val="uk-UA"/>
        </w:rPr>
      </w:pPr>
    </w:p>
    <w:p w14:paraId="19C8EFB1" w14:textId="624F9143" w:rsidR="005540C4" w:rsidRDefault="005540C4" w:rsidP="005540C4">
      <w:pPr>
        <w:spacing w:after="0" w:line="276" w:lineRule="auto"/>
        <w:ind w:firstLine="567"/>
        <w:jc w:val="both"/>
        <w:rPr>
          <w:rFonts w:ascii="Times New Roman" w:hAnsi="Times New Roman" w:cs="Times New Roman"/>
          <w:color w:val="000000" w:themeColor="text1"/>
          <w:sz w:val="28"/>
          <w:szCs w:val="28"/>
          <w:lang w:val="uk-UA"/>
        </w:rPr>
      </w:pPr>
      <w:r w:rsidRPr="00324E77">
        <w:rPr>
          <w:rFonts w:ascii="Times New Roman" w:hAnsi="Times New Roman" w:cs="Times New Roman"/>
          <w:color w:val="000000" w:themeColor="text1"/>
          <w:sz w:val="28"/>
          <w:szCs w:val="28"/>
        </w:rPr>
        <w:t>2.</w:t>
      </w:r>
      <w:r w:rsidR="00E27F1B">
        <w:rPr>
          <w:rFonts w:ascii="Times New Roman" w:hAnsi="Times New Roman" w:cs="Times New Roman"/>
          <w:color w:val="000000" w:themeColor="text1"/>
          <w:sz w:val="28"/>
          <w:szCs w:val="28"/>
          <w:lang w:val="uk-UA"/>
        </w:rPr>
        <w:t>5</w:t>
      </w:r>
      <w:r w:rsidRPr="00324E77">
        <w:rPr>
          <w:rFonts w:ascii="Times New Roman" w:hAnsi="Times New Roman" w:cs="Times New Roman"/>
          <w:color w:val="000000" w:themeColor="text1"/>
          <w:sz w:val="28"/>
          <w:szCs w:val="28"/>
          <w:lang w:val="uk-UA"/>
        </w:rPr>
        <w:t>. Електропостачальник не має права вносити зміни до затвердженого бланка форми звітності.</w:t>
      </w:r>
    </w:p>
    <w:p w14:paraId="4CA01E29" w14:textId="77777777" w:rsidR="005540C4" w:rsidRPr="00324E77" w:rsidRDefault="005540C4" w:rsidP="005540C4">
      <w:pPr>
        <w:spacing w:after="0" w:line="276" w:lineRule="auto"/>
        <w:ind w:firstLine="567"/>
        <w:jc w:val="both"/>
        <w:rPr>
          <w:rFonts w:ascii="Times New Roman" w:hAnsi="Times New Roman" w:cs="Times New Roman"/>
          <w:color w:val="000000" w:themeColor="text1"/>
          <w:sz w:val="28"/>
          <w:szCs w:val="28"/>
          <w:lang w:val="uk-UA"/>
        </w:rPr>
      </w:pPr>
    </w:p>
    <w:p w14:paraId="35B1E1F6" w14:textId="10E35651" w:rsidR="005540C4" w:rsidRDefault="005540C4" w:rsidP="005540C4">
      <w:pPr>
        <w:tabs>
          <w:tab w:val="left" w:pos="993"/>
        </w:tabs>
        <w:spacing w:after="0" w:line="276" w:lineRule="auto"/>
        <w:ind w:firstLine="567"/>
        <w:jc w:val="both"/>
        <w:rPr>
          <w:rFonts w:ascii="Times New Roman" w:hAnsi="Times New Roman" w:cs="Times New Roman"/>
          <w:color w:val="000000" w:themeColor="text1"/>
          <w:sz w:val="28"/>
          <w:szCs w:val="28"/>
          <w:lang w:val="uk-UA"/>
        </w:rPr>
      </w:pPr>
      <w:r w:rsidRPr="00324E77">
        <w:rPr>
          <w:rFonts w:ascii="Times New Roman" w:hAnsi="Times New Roman" w:cs="Times New Roman"/>
          <w:color w:val="000000" w:themeColor="text1"/>
          <w:sz w:val="28"/>
          <w:szCs w:val="28"/>
          <w:lang w:val="uk-UA"/>
        </w:rPr>
        <w:t>2.</w:t>
      </w:r>
      <w:r w:rsidR="00E27F1B">
        <w:rPr>
          <w:rFonts w:ascii="Times New Roman" w:hAnsi="Times New Roman" w:cs="Times New Roman"/>
          <w:color w:val="000000" w:themeColor="text1"/>
          <w:sz w:val="28"/>
          <w:szCs w:val="28"/>
          <w:lang w:val="uk-UA"/>
        </w:rPr>
        <w:t>6</w:t>
      </w:r>
      <w:r w:rsidRPr="00324E77">
        <w:rPr>
          <w:rFonts w:ascii="Times New Roman" w:hAnsi="Times New Roman" w:cs="Times New Roman"/>
          <w:color w:val="000000" w:themeColor="text1"/>
          <w:sz w:val="28"/>
          <w:szCs w:val="28"/>
          <w:lang w:val="uk-UA"/>
        </w:rPr>
        <w:t xml:space="preserve">. У разі відсутності ліцензованої діяльності у звітному періоді ліцензіат надає форму звітності № </w:t>
      </w:r>
      <w:r w:rsidR="0053732F" w:rsidRPr="00324E77">
        <w:rPr>
          <w:rFonts w:ascii="Times New Roman" w:hAnsi="Times New Roman" w:cs="Times New Roman"/>
          <w:color w:val="000000" w:themeColor="text1"/>
          <w:sz w:val="28"/>
          <w:szCs w:val="28"/>
          <w:lang w:val="uk-UA"/>
        </w:rPr>
        <w:t>12</w:t>
      </w:r>
      <w:r w:rsidRPr="00324E77">
        <w:rPr>
          <w:rFonts w:ascii="Times New Roman" w:hAnsi="Times New Roman" w:cs="Times New Roman"/>
          <w:color w:val="000000" w:themeColor="text1"/>
          <w:sz w:val="28"/>
          <w:szCs w:val="28"/>
          <w:lang w:val="uk-UA"/>
        </w:rPr>
        <w:t xml:space="preserve"> за встановленою формою, при цьому проставляє значення «0» у відповідних графах.</w:t>
      </w:r>
    </w:p>
    <w:p w14:paraId="345A7C9D" w14:textId="77777777" w:rsidR="007622A8" w:rsidRPr="00E860D0" w:rsidRDefault="007622A8" w:rsidP="007622A8">
      <w:pPr>
        <w:tabs>
          <w:tab w:val="left" w:pos="993"/>
        </w:tabs>
        <w:spacing w:after="0" w:line="276" w:lineRule="auto"/>
        <w:ind w:firstLine="567"/>
        <w:jc w:val="both"/>
        <w:rPr>
          <w:rFonts w:ascii="Times New Roman" w:hAnsi="Times New Roman" w:cs="Times New Roman"/>
          <w:sz w:val="28"/>
          <w:szCs w:val="28"/>
          <w:lang w:val="uk-UA"/>
        </w:rPr>
      </w:pPr>
      <w:bookmarkStart w:id="3" w:name="_Hlk86761538"/>
      <w:r w:rsidRPr="00BB2B5B">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bookmarkEnd w:id="3"/>
    </w:p>
    <w:p w14:paraId="7C731739" w14:textId="77777777" w:rsidR="00E27F1B" w:rsidRPr="00324E77" w:rsidRDefault="00E27F1B" w:rsidP="005540C4">
      <w:pPr>
        <w:tabs>
          <w:tab w:val="left" w:pos="993"/>
        </w:tabs>
        <w:spacing w:after="0" w:line="276" w:lineRule="auto"/>
        <w:ind w:firstLine="567"/>
        <w:jc w:val="both"/>
        <w:rPr>
          <w:rFonts w:ascii="Times New Roman" w:hAnsi="Times New Roman" w:cs="Times New Roman"/>
          <w:color w:val="000000" w:themeColor="text1"/>
          <w:sz w:val="28"/>
          <w:szCs w:val="28"/>
          <w:lang w:val="uk-UA"/>
        </w:rPr>
      </w:pPr>
    </w:p>
    <w:p w14:paraId="043676C2" w14:textId="121BCEB7" w:rsidR="005540C4" w:rsidRDefault="005540C4" w:rsidP="005540C4">
      <w:pPr>
        <w:spacing w:after="0" w:line="276" w:lineRule="auto"/>
        <w:ind w:firstLine="567"/>
        <w:jc w:val="both"/>
        <w:rPr>
          <w:rFonts w:ascii="Times New Roman" w:hAnsi="Times New Roman" w:cs="Times New Roman"/>
          <w:color w:val="000000" w:themeColor="text1"/>
          <w:sz w:val="28"/>
          <w:szCs w:val="28"/>
          <w:lang w:val="uk-UA"/>
        </w:rPr>
      </w:pPr>
      <w:r w:rsidRPr="00324E77">
        <w:rPr>
          <w:rFonts w:ascii="Times New Roman" w:hAnsi="Times New Roman" w:cs="Times New Roman"/>
          <w:color w:val="000000" w:themeColor="text1"/>
          <w:sz w:val="28"/>
          <w:szCs w:val="28"/>
          <w:lang w:val="uk-UA"/>
        </w:rPr>
        <w:t>2.</w:t>
      </w:r>
      <w:r w:rsidR="00E27F1B">
        <w:rPr>
          <w:rFonts w:ascii="Times New Roman" w:hAnsi="Times New Roman" w:cs="Times New Roman"/>
          <w:color w:val="000000" w:themeColor="text1"/>
          <w:sz w:val="28"/>
          <w:szCs w:val="28"/>
          <w:lang w:val="uk-UA"/>
        </w:rPr>
        <w:t>7</w:t>
      </w:r>
      <w:r w:rsidRPr="00324E77">
        <w:rPr>
          <w:rFonts w:ascii="Times New Roman" w:hAnsi="Times New Roman" w:cs="Times New Roman"/>
          <w:color w:val="000000" w:themeColor="text1"/>
          <w:sz w:val="28"/>
          <w:szCs w:val="28"/>
          <w:lang w:val="uk-UA"/>
        </w:rPr>
        <w:t>. У разі внесення змін до звіту після відправлення електропостачальник зобов'язаний терміново надіслати до НКРЕКП виправлений звіт, а також супровідний лист</w:t>
      </w:r>
      <w:r w:rsidR="007622A8">
        <w:rPr>
          <w:rFonts w:ascii="Times New Roman" w:hAnsi="Times New Roman" w:cs="Times New Roman"/>
          <w:color w:val="000000" w:themeColor="text1"/>
          <w:sz w:val="28"/>
          <w:szCs w:val="28"/>
          <w:lang w:val="uk-UA"/>
        </w:rPr>
        <w:t xml:space="preserve"> </w:t>
      </w:r>
      <w:bookmarkStart w:id="4" w:name="_Hlk86242544"/>
      <w:r w:rsidR="007622A8" w:rsidRPr="00640AD8">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w:t>
      </w:r>
      <w:bookmarkEnd w:id="4"/>
      <w:r w:rsidR="007622A8">
        <w:rPr>
          <w:rFonts w:ascii="Times New Roman" w:hAnsi="Times New Roman" w:cs="Times New Roman"/>
          <w:sz w:val="28"/>
          <w:szCs w:val="28"/>
          <w:lang w:val="uk-UA"/>
        </w:rPr>
        <w:t xml:space="preserve"> </w:t>
      </w:r>
      <w:r w:rsidRPr="00324E77">
        <w:rPr>
          <w:rFonts w:ascii="Times New Roman" w:hAnsi="Times New Roman" w:cs="Times New Roman"/>
          <w:color w:val="000000" w:themeColor="text1"/>
          <w:sz w:val="28"/>
          <w:szCs w:val="28"/>
          <w:lang w:val="uk-UA"/>
        </w:rPr>
        <w:t xml:space="preserve"> із зазначенням причини внесення змін.</w:t>
      </w:r>
    </w:p>
    <w:p w14:paraId="4FD60B29" w14:textId="61770513" w:rsidR="00C36ED5" w:rsidRDefault="00C36ED5" w:rsidP="005540C4">
      <w:pPr>
        <w:spacing w:after="0" w:line="276" w:lineRule="auto"/>
        <w:ind w:firstLine="567"/>
        <w:jc w:val="both"/>
        <w:rPr>
          <w:rFonts w:ascii="Times New Roman" w:hAnsi="Times New Roman" w:cs="Times New Roman"/>
          <w:color w:val="000000" w:themeColor="text1"/>
          <w:sz w:val="28"/>
          <w:szCs w:val="28"/>
          <w:lang w:val="uk-UA"/>
        </w:rPr>
      </w:pPr>
    </w:p>
    <w:p w14:paraId="67CE1AC4" w14:textId="77777777" w:rsidR="00C36ED5" w:rsidRPr="00C36ED5" w:rsidRDefault="00C36ED5" w:rsidP="00C36ED5">
      <w:pPr>
        <w:spacing w:after="0" w:line="276" w:lineRule="auto"/>
        <w:ind w:firstLine="709"/>
        <w:jc w:val="both"/>
        <w:rPr>
          <w:rStyle w:val="rvts0"/>
          <w:rFonts w:ascii="Times New Roman" w:hAnsi="Times New Roman" w:cs="Times New Roman"/>
          <w:sz w:val="28"/>
          <w:szCs w:val="28"/>
          <w:lang w:val="uk-UA"/>
        </w:rPr>
      </w:pPr>
      <w:r w:rsidRPr="00C36ED5">
        <w:rPr>
          <w:rStyle w:val="rvts0"/>
          <w:rFonts w:ascii="Times New Roman" w:hAnsi="Times New Roman" w:cs="Times New Roman"/>
          <w:sz w:val="28"/>
          <w:szCs w:val="28"/>
          <w:lang w:val="uk-UA"/>
        </w:rPr>
        <w:t xml:space="preserve">2.8. Первинні дані, які були внесені до звіту, а також звіт у цілому, що отриманий НКРЕКП від ліцензіата, за письмовою згодою ліцензіата може бути переданий органам державної статистики. </w:t>
      </w:r>
    </w:p>
    <w:p w14:paraId="68E5C424" w14:textId="77777777" w:rsidR="00C36ED5" w:rsidRDefault="00C36ED5" w:rsidP="00C36ED5">
      <w:pPr>
        <w:spacing w:after="0" w:line="276" w:lineRule="auto"/>
        <w:ind w:firstLine="709"/>
        <w:jc w:val="both"/>
        <w:rPr>
          <w:rStyle w:val="rvts0"/>
          <w:rFonts w:ascii="Times New Roman" w:hAnsi="Times New Roman" w:cs="Times New Roman"/>
          <w:sz w:val="28"/>
          <w:szCs w:val="28"/>
          <w:lang w:val="uk-UA"/>
        </w:rPr>
      </w:pPr>
      <w:r w:rsidRPr="00C36ED5">
        <w:rPr>
          <w:rStyle w:val="rvts0"/>
          <w:rFonts w:ascii="Times New Roman" w:hAnsi="Times New Roman" w:cs="Times New Roman"/>
          <w:sz w:val="28"/>
          <w:szCs w:val="28"/>
          <w:lang w:val="uk-UA"/>
        </w:rPr>
        <w:t>Адміністративні дані, отримані органами державної статистики від НКРЕКП, є конфіденційною інформацією, яка охороняється Законом України «Про державну статистику» і використовується виключно для статистичних цілей у зведеному знеособленому вигляді.</w:t>
      </w:r>
    </w:p>
    <w:p w14:paraId="3876A288" w14:textId="77777777" w:rsidR="005540C4" w:rsidRPr="00324E77" w:rsidRDefault="005540C4" w:rsidP="005540C4">
      <w:pPr>
        <w:spacing w:after="0" w:line="276" w:lineRule="auto"/>
        <w:ind w:firstLine="567"/>
        <w:jc w:val="both"/>
        <w:rPr>
          <w:rFonts w:ascii="Times New Roman" w:hAnsi="Times New Roman" w:cs="Times New Roman"/>
          <w:color w:val="000000" w:themeColor="text1"/>
          <w:sz w:val="28"/>
          <w:szCs w:val="28"/>
          <w:lang w:val="uk-UA"/>
        </w:rPr>
      </w:pPr>
    </w:p>
    <w:p w14:paraId="3A45FBC5" w14:textId="77777777" w:rsidR="005540C4" w:rsidRPr="00324E77" w:rsidRDefault="005540C4" w:rsidP="005540C4">
      <w:pPr>
        <w:spacing w:after="0" w:line="276" w:lineRule="auto"/>
        <w:ind w:firstLine="567"/>
        <w:jc w:val="center"/>
        <w:rPr>
          <w:rFonts w:ascii="Times New Roman" w:hAnsi="Times New Roman" w:cs="Times New Roman"/>
          <w:b/>
          <w:color w:val="000000" w:themeColor="text1"/>
          <w:sz w:val="28"/>
          <w:szCs w:val="28"/>
          <w:lang w:val="uk-UA"/>
        </w:rPr>
      </w:pPr>
      <w:r w:rsidRPr="00924065">
        <w:rPr>
          <w:rFonts w:ascii="Times New Roman" w:hAnsi="Times New Roman" w:cs="Times New Roman"/>
          <w:b/>
          <w:color w:val="000000" w:themeColor="text1"/>
          <w:sz w:val="28"/>
          <w:szCs w:val="28"/>
          <w:lang w:val="uk-UA"/>
        </w:rPr>
        <w:t>3</w:t>
      </w:r>
      <w:r w:rsidRPr="00324E77">
        <w:rPr>
          <w:rFonts w:ascii="Times New Roman" w:hAnsi="Times New Roman" w:cs="Times New Roman"/>
          <w:b/>
          <w:color w:val="000000" w:themeColor="text1"/>
          <w:sz w:val="28"/>
          <w:szCs w:val="28"/>
          <w:lang w:val="uk-UA"/>
        </w:rPr>
        <w:t>. Порядок заповнення форми звітності № </w:t>
      </w:r>
      <w:r w:rsidR="0053732F" w:rsidRPr="00324E77">
        <w:rPr>
          <w:rFonts w:ascii="Times New Roman" w:hAnsi="Times New Roman" w:cs="Times New Roman"/>
          <w:b/>
          <w:color w:val="000000" w:themeColor="text1"/>
          <w:sz w:val="28"/>
          <w:szCs w:val="28"/>
          <w:lang w:val="uk-UA"/>
        </w:rPr>
        <w:t>12</w:t>
      </w:r>
    </w:p>
    <w:p w14:paraId="29D88F88" w14:textId="77777777" w:rsidR="005540C4" w:rsidRPr="00324E77" w:rsidRDefault="005540C4" w:rsidP="005540C4">
      <w:pPr>
        <w:spacing w:after="0" w:line="276" w:lineRule="auto"/>
        <w:ind w:firstLine="567"/>
        <w:jc w:val="center"/>
        <w:rPr>
          <w:rFonts w:ascii="Times New Roman" w:hAnsi="Times New Roman" w:cs="Times New Roman"/>
          <w:b/>
          <w:color w:val="000000" w:themeColor="text1"/>
          <w:sz w:val="28"/>
          <w:szCs w:val="28"/>
          <w:lang w:val="uk-UA"/>
        </w:rPr>
      </w:pPr>
    </w:p>
    <w:p w14:paraId="74071B83" w14:textId="77777777" w:rsidR="005540C4" w:rsidRPr="00924065" w:rsidRDefault="005540C4" w:rsidP="00924065">
      <w:pPr>
        <w:tabs>
          <w:tab w:val="left" w:pos="0"/>
        </w:tabs>
        <w:spacing w:after="0" w:line="276" w:lineRule="auto"/>
        <w:ind w:firstLine="567"/>
        <w:jc w:val="both"/>
        <w:rPr>
          <w:rFonts w:ascii="Times New Roman" w:hAnsi="Times New Roman" w:cs="Times New Roman"/>
          <w:color w:val="000000" w:themeColor="text1"/>
          <w:sz w:val="28"/>
          <w:szCs w:val="28"/>
          <w:lang w:val="uk-UA"/>
        </w:rPr>
      </w:pPr>
      <w:r w:rsidRPr="00924065">
        <w:rPr>
          <w:rFonts w:ascii="Times New Roman" w:hAnsi="Times New Roman" w:cs="Times New Roman"/>
          <w:color w:val="000000" w:themeColor="text1"/>
          <w:sz w:val="28"/>
          <w:szCs w:val="28"/>
          <w:lang w:val="uk-UA"/>
        </w:rPr>
        <w:t xml:space="preserve"> </w:t>
      </w:r>
      <w:r w:rsidR="00924065">
        <w:rPr>
          <w:rFonts w:ascii="Times New Roman" w:hAnsi="Times New Roman" w:cs="Times New Roman"/>
          <w:color w:val="000000" w:themeColor="text1"/>
          <w:sz w:val="28"/>
          <w:szCs w:val="28"/>
          <w:lang w:val="uk-UA"/>
        </w:rPr>
        <w:t xml:space="preserve">3.1. </w:t>
      </w:r>
      <w:r w:rsidRPr="00924065">
        <w:rPr>
          <w:rFonts w:ascii="Times New Roman" w:hAnsi="Times New Roman" w:cs="Times New Roman"/>
          <w:color w:val="000000" w:themeColor="text1"/>
          <w:sz w:val="28"/>
          <w:szCs w:val="28"/>
          <w:lang w:val="uk-UA"/>
        </w:rPr>
        <w:t>У розділі І «</w:t>
      </w:r>
      <w:r w:rsidR="0053732F" w:rsidRPr="00924065">
        <w:rPr>
          <w:rFonts w:ascii="Times New Roman" w:hAnsi="Times New Roman" w:cs="Times New Roman"/>
          <w:color w:val="000000" w:themeColor="text1"/>
          <w:sz w:val="28"/>
          <w:szCs w:val="28"/>
          <w:lang w:val="uk-UA"/>
        </w:rPr>
        <w:t>Інформація щодо фактичних цін на електричну енергію протягом І кварталу» відобража</w:t>
      </w:r>
      <w:r w:rsidR="001952DA" w:rsidRPr="00924065">
        <w:rPr>
          <w:rFonts w:ascii="Times New Roman" w:hAnsi="Times New Roman" w:cs="Times New Roman"/>
          <w:color w:val="000000" w:themeColor="text1"/>
          <w:sz w:val="28"/>
          <w:szCs w:val="28"/>
          <w:lang w:val="uk-UA"/>
        </w:rPr>
        <w:t xml:space="preserve">ється інформація </w:t>
      </w:r>
      <w:r w:rsidRPr="00924065">
        <w:rPr>
          <w:rFonts w:ascii="Times New Roman" w:hAnsi="Times New Roman" w:cs="Times New Roman"/>
          <w:color w:val="000000" w:themeColor="text1"/>
          <w:sz w:val="28"/>
          <w:szCs w:val="28"/>
          <w:lang w:val="uk-UA"/>
        </w:rPr>
        <w:t xml:space="preserve">щодо </w:t>
      </w:r>
      <w:r w:rsidR="001952DA" w:rsidRPr="00924065">
        <w:rPr>
          <w:rFonts w:ascii="Times New Roman" w:hAnsi="Times New Roman" w:cs="Times New Roman"/>
          <w:color w:val="000000" w:themeColor="text1"/>
          <w:sz w:val="28"/>
          <w:szCs w:val="28"/>
          <w:lang w:val="uk-UA"/>
        </w:rPr>
        <w:t>мінімальної, середньозваженої та максимальної цін на електричну енергію виключно за договорами про постачанн</w:t>
      </w:r>
      <w:r w:rsidR="002C5F8D" w:rsidRPr="00924065">
        <w:rPr>
          <w:rFonts w:ascii="Times New Roman" w:hAnsi="Times New Roman" w:cs="Times New Roman"/>
          <w:color w:val="000000" w:themeColor="text1"/>
          <w:sz w:val="28"/>
          <w:szCs w:val="28"/>
          <w:lang w:val="uk-UA"/>
        </w:rPr>
        <w:t>я електричної енергії споживачу</w:t>
      </w:r>
      <w:r w:rsidR="001952DA" w:rsidRPr="00924065">
        <w:rPr>
          <w:rFonts w:ascii="Times New Roman" w:hAnsi="Times New Roman" w:cs="Times New Roman"/>
          <w:color w:val="000000" w:themeColor="text1"/>
          <w:sz w:val="28"/>
          <w:szCs w:val="28"/>
          <w:lang w:val="uk-UA"/>
        </w:rPr>
        <w:t xml:space="preserve">  за споживачами групи А (графа 1) та групи Б (графа 2)</w:t>
      </w:r>
      <w:r w:rsidRPr="00924065">
        <w:rPr>
          <w:rFonts w:ascii="Times New Roman" w:hAnsi="Times New Roman" w:cs="Times New Roman"/>
          <w:color w:val="000000" w:themeColor="text1"/>
          <w:sz w:val="28"/>
          <w:szCs w:val="28"/>
          <w:lang w:val="uk-UA"/>
        </w:rPr>
        <w:t>:</w:t>
      </w:r>
    </w:p>
    <w:p w14:paraId="4FB758E4" w14:textId="77777777" w:rsidR="005540C4" w:rsidRPr="00324E77" w:rsidRDefault="005540C4" w:rsidP="00924065">
      <w:pPr>
        <w:tabs>
          <w:tab w:val="left" w:pos="0"/>
        </w:tabs>
        <w:spacing w:after="0" w:line="276" w:lineRule="auto"/>
        <w:ind w:firstLine="567"/>
        <w:jc w:val="both"/>
        <w:rPr>
          <w:rFonts w:ascii="Times New Roman" w:hAnsi="Times New Roman" w:cs="Times New Roman"/>
          <w:color w:val="000000" w:themeColor="text1"/>
          <w:sz w:val="28"/>
          <w:szCs w:val="28"/>
          <w:lang w:val="uk-UA"/>
        </w:rPr>
      </w:pPr>
    </w:p>
    <w:p w14:paraId="47D9F6AC" w14:textId="34F99114" w:rsidR="005540C4" w:rsidRPr="00924065" w:rsidRDefault="00924065" w:rsidP="00924065">
      <w:pPr>
        <w:tabs>
          <w:tab w:val="left" w:pos="0"/>
        </w:tabs>
        <w:spacing w:after="0" w:line="276" w:lineRule="auto"/>
        <w:ind w:firstLine="567"/>
        <w:jc w:val="both"/>
        <w:rPr>
          <w:rFonts w:ascii="Times New Roman" w:hAnsi="Times New Roman" w:cs="Times New Roman"/>
          <w:color w:val="000000" w:themeColor="text1"/>
          <w:sz w:val="28"/>
          <w:szCs w:val="28"/>
          <w:lang w:val="uk-UA"/>
        </w:rPr>
      </w:pPr>
      <w:r w:rsidRPr="00924065">
        <w:rPr>
          <w:rFonts w:ascii="Times New Roman" w:hAnsi="Times New Roman" w:cs="Times New Roman"/>
          <w:color w:val="000000" w:themeColor="text1"/>
          <w:sz w:val="28"/>
          <w:szCs w:val="28"/>
          <w:lang w:val="uk-UA"/>
        </w:rPr>
        <w:t>1)</w:t>
      </w:r>
      <w:r>
        <w:rPr>
          <w:rFonts w:ascii="Times New Roman" w:hAnsi="Times New Roman" w:cs="Times New Roman"/>
          <w:color w:val="000000" w:themeColor="text1"/>
          <w:sz w:val="28"/>
          <w:szCs w:val="28"/>
          <w:lang w:val="uk-UA"/>
        </w:rPr>
        <w:t xml:space="preserve"> </w:t>
      </w:r>
      <w:r w:rsidR="005540C4" w:rsidRPr="00924065">
        <w:rPr>
          <w:rFonts w:ascii="Times New Roman" w:hAnsi="Times New Roman" w:cs="Times New Roman"/>
          <w:color w:val="000000" w:themeColor="text1"/>
          <w:sz w:val="28"/>
          <w:szCs w:val="28"/>
          <w:lang w:val="uk-UA"/>
        </w:rPr>
        <w:t>у рядк</w:t>
      </w:r>
      <w:r w:rsidR="004511A0" w:rsidRPr="00924065">
        <w:rPr>
          <w:rFonts w:ascii="Times New Roman" w:hAnsi="Times New Roman" w:cs="Times New Roman"/>
          <w:color w:val="000000" w:themeColor="text1"/>
          <w:sz w:val="28"/>
          <w:szCs w:val="28"/>
          <w:lang w:val="uk-UA"/>
        </w:rPr>
        <w:t xml:space="preserve">ах 010 – 025 зазначаються дані </w:t>
      </w:r>
      <w:r w:rsidR="00BB396A" w:rsidRPr="00924065">
        <w:rPr>
          <w:rFonts w:ascii="Times New Roman" w:hAnsi="Times New Roman" w:cs="Times New Roman"/>
          <w:color w:val="000000" w:themeColor="text1"/>
          <w:sz w:val="28"/>
          <w:szCs w:val="28"/>
          <w:lang w:val="uk-UA"/>
        </w:rPr>
        <w:t xml:space="preserve">щодо мінімальної </w:t>
      </w:r>
      <w:r w:rsidR="00275971" w:rsidRPr="00924065">
        <w:rPr>
          <w:rFonts w:ascii="Times New Roman" w:hAnsi="Times New Roman" w:cs="Times New Roman"/>
          <w:color w:val="000000" w:themeColor="text1"/>
          <w:sz w:val="28"/>
          <w:szCs w:val="28"/>
          <w:lang w:val="uk-UA"/>
        </w:rPr>
        <w:t xml:space="preserve">кінцевої </w:t>
      </w:r>
      <w:r w:rsidR="00BB396A" w:rsidRPr="00924065">
        <w:rPr>
          <w:rFonts w:ascii="Times New Roman" w:hAnsi="Times New Roman" w:cs="Times New Roman"/>
          <w:color w:val="000000" w:themeColor="text1"/>
          <w:sz w:val="28"/>
          <w:szCs w:val="28"/>
          <w:lang w:val="uk-UA"/>
        </w:rPr>
        <w:t>ціни</w:t>
      </w:r>
      <w:r w:rsidR="00275971" w:rsidRPr="00924065">
        <w:rPr>
          <w:rFonts w:ascii="Times New Roman" w:hAnsi="Times New Roman" w:cs="Times New Roman"/>
          <w:color w:val="000000" w:themeColor="text1"/>
          <w:sz w:val="28"/>
          <w:szCs w:val="28"/>
          <w:lang w:val="uk-UA"/>
        </w:rPr>
        <w:t xml:space="preserve"> електричної енергії за категоріями споживачів без урахування плати за послуги операторів систем</w:t>
      </w:r>
      <w:r w:rsidR="004F04D6" w:rsidRPr="00924065">
        <w:rPr>
          <w:rFonts w:ascii="Times New Roman" w:hAnsi="Times New Roman" w:cs="Times New Roman"/>
          <w:color w:val="000000" w:themeColor="text1"/>
          <w:sz w:val="28"/>
          <w:szCs w:val="28"/>
          <w:lang w:val="uk-UA"/>
        </w:rPr>
        <w:t xml:space="preserve"> (без ПДВ)</w:t>
      </w:r>
      <w:r w:rsidR="005540C4" w:rsidRPr="00924065">
        <w:rPr>
          <w:rFonts w:ascii="Times New Roman" w:hAnsi="Times New Roman" w:cs="Times New Roman"/>
          <w:color w:val="000000" w:themeColor="text1"/>
          <w:sz w:val="28"/>
          <w:szCs w:val="28"/>
          <w:lang w:val="uk-UA"/>
        </w:rPr>
        <w:t>;</w:t>
      </w:r>
    </w:p>
    <w:p w14:paraId="0FD90824" w14:textId="77777777" w:rsidR="00275971" w:rsidRPr="00324E77" w:rsidRDefault="00275971" w:rsidP="00924065">
      <w:pPr>
        <w:pStyle w:val="a3"/>
        <w:tabs>
          <w:tab w:val="left" w:pos="0"/>
        </w:tabs>
        <w:spacing w:after="0" w:line="276" w:lineRule="auto"/>
        <w:ind w:left="0" w:firstLine="567"/>
        <w:jc w:val="both"/>
        <w:rPr>
          <w:rFonts w:ascii="Times New Roman" w:hAnsi="Times New Roman" w:cs="Times New Roman"/>
          <w:color w:val="000000" w:themeColor="text1"/>
          <w:sz w:val="28"/>
          <w:szCs w:val="28"/>
          <w:lang w:val="uk-UA"/>
        </w:rPr>
      </w:pPr>
    </w:p>
    <w:p w14:paraId="141A16E3" w14:textId="653F777E" w:rsidR="00275971" w:rsidRPr="00924065" w:rsidRDefault="00924065" w:rsidP="00924065">
      <w:pPr>
        <w:tabs>
          <w:tab w:val="left" w:pos="0"/>
        </w:tabs>
        <w:spacing w:after="0" w:line="276"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2) </w:t>
      </w:r>
      <w:r w:rsidR="00275971" w:rsidRPr="00924065">
        <w:rPr>
          <w:rFonts w:ascii="Times New Roman" w:hAnsi="Times New Roman" w:cs="Times New Roman"/>
          <w:color w:val="000000" w:themeColor="text1"/>
          <w:sz w:val="28"/>
          <w:szCs w:val="28"/>
          <w:lang w:val="uk-UA"/>
        </w:rPr>
        <w:t>у рядках 035 – 050 зазначаються дані щодо середньозваженої (на обсяг постачання</w:t>
      </w:r>
      <w:r w:rsidR="004F04D6" w:rsidRPr="00924065">
        <w:rPr>
          <w:rFonts w:ascii="Times New Roman" w:hAnsi="Times New Roman" w:cs="Times New Roman"/>
          <w:color w:val="000000" w:themeColor="text1"/>
          <w:sz w:val="28"/>
          <w:szCs w:val="28"/>
        </w:rPr>
        <w:t xml:space="preserve"> </w:t>
      </w:r>
      <w:r w:rsidR="004F04D6" w:rsidRPr="00924065">
        <w:rPr>
          <w:rFonts w:ascii="Times New Roman" w:hAnsi="Times New Roman" w:cs="Times New Roman"/>
          <w:color w:val="000000" w:themeColor="text1"/>
          <w:sz w:val="28"/>
          <w:szCs w:val="28"/>
          <w:lang w:val="uk-UA"/>
        </w:rPr>
        <w:t>електричної енергії</w:t>
      </w:r>
      <w:r w:rsidR="00275971" w:rsidRPr="00924065">
        <w:rPr>
          <w:rFonts w:ascii="Times New Roman" w:hAnsi="Times New Roman" w:cs="Times New Roman"/>
          <w:color w:val="000000" w:themeColor="text1"/>
          <w:sz w:val="28"/>
          <w:szCs w:val="28"/>
          <w:lang w:val="uk-UA"/>
        </w:rPr>
        <w:t xml:space="preserve">) кінцевої ціни електричної енергії </w:t>
      </w:r>
      <w:r w:rsidR="00595A67" w:rsidRPr="00924065">
        <w:rPr>
          <w:rFonts w:ascii="Times New Roman" w:hAnsi="Times New Roman" w:cs="Times New Roman"/>
          <w:color w:val="000000" w:themeColor="text1"/>
          <w:sz w:val="28"/>
          <w:szCs w:val="28"/>
          <w:lang w:val="uk-UA"/>
        </w:rPr>
        <w:t xml:space="preserve">за </w:t>
      </w:r>
      <w:r w:rsidR="00275971" w:rsidRPr="00924065">
        <w:rPr>
          <w:rFonts w:ascii="Times New Roman" w:hAnsi="Times New Roman" w:cs="Times New Roman"/>
          <w:color w:val="000000" w:themeColor="text1"/>
          <w:sz w:val="28"/>
          <w:szCs w:val="28"/>
          <w:lang w:val="uk-UA"/>
        </w:rPr>
        <w:t>категоріями споживачів без урахування плати за послуги операторів систем</w:t>
      </w:r>
      <w:r w:rsidR="004F04D6" w:rsidRPr="00924065">
        <w:rPr>
          <w:rFonts w:ascii="Times New Roman" w:hAnsi="Times New Roman" w:cs="Times New Roman"/>
          <w:color w:val="000000" w:themeColor="text1"/>
          <w:sz w:val="28"/>
          <w:szCs w:val="28"/>
          <w:lang w:val="uk-UA"/>
        </w:rPr>
        <w:t xml:space="preserve"> (без ПДВ)</w:t>
      </w:r>
      <w:r w:rsidR="00275971" w:rsidRPr="00924065">
        <w:rPr>
          <w:rFonts w:ascii="Times New Roman" w:hAnsi="Times New Roman" w:cs="Times New Roman"/>
          <w:color w:val="000000" w:themeColor="text1"/>
          <w:sz w:val="28"/>
          <w:szCs w:val="28"/>
          <w:lang w:val="uk-UA"/>
        </w:rPr>
        <w:t>;</w:t>
      </w:r>
    </w:p>
    <w:p w14:paraId="47ECB2B8" w14:textId="77777777" w:rsidR="00275971" w:rsidRPr="00324E77" w:rsidRDefault="00275971" w:rsidP="00924065">
      <w:pPr>
        <w:pStyle w:val="a3"/>
        <w:tabs>
          <w:tab w:val="left" w:pos="0"/>
        </w:tabs>
        <w:ind w:left="0" w:firstLine="567"/>
        <w:rPr>
          <w:rFonts w:ascii="Times New Roman" w:hAnsi="Times New Roman" w:cs="Times New Roman"/>
          <w:color w:val="000000" w:themeColor="text1"/>
          <w:sz w:val="28"/>
          <w:szCs w:val="28"/>
          <w:lang w:val="uk-UA"/>
        </w:rPr>
      </w:pPr>
    </w:p>
    <w:p w14:paraId="5E9115C8" w14:textId="4ED804B3" w:rsidR="00275971" w:rsidRPr="00924065" w:rsidRDefault="00924065" w:rsidP="00924065">
      <w:pPr>
        <w:tabs>
          <w:tab w:val="left" w:pos="0"/>
        </w:tabs>
        <w:spacing w:after="0" w:line="276"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3) </w:t>
      </w:r>
      <w:r w:rsidR="00275971" w:rsidRPr="00924065">
        <w:rPr>
          <w:rFonts w:ascii="Times New Roman" w:hAnsi="Times New Roman" w:cs="Times New Roman"/>
          <w:color w:val="000000" w:themeColor="text1"/>
          <w:sz w:val="28"/>
          <w:szCs w:val="28"/>
          <w:lang w:val="uk-UA"/>
        </w:rPr>
        <w:t>у рядках 0</w:t>
      </w:r>
      <w:r w:rsidR="004F04D6" w:rsidRPr="00924065">
        <w:rPr>
          <w:rFonts w:ascii="Times New Roman" w:hAnsi="Times New Roman" w:cs="Times New Roman"/>
          <w:color w:val="000000" w:themeColor="text1"/>
          <w:sz w:val="28"/>
          <w:szCs w:val="28"/>
          <w:lang w:val="uk-UA"/>
        </w:rPr>
        <w:t>60</w:t>
      </w:r>
      <w:r w:rsidR="00275971" w:rsidRPr="00924065">
        <w:rPr>
          <w:rFonts w:ascii="Times New Roman" w:hAnsi="Times New Roman" w:cs="Times New Roman"/>
          <w:color w:val="000000" w:themeColor="text1"/>
          <w:sz w:val="28"/>
          <w:szCs w:val="28"/>
          <w:lang w:val="uk-UA"/>
        </w:rPr>
        <w:t xml:space="preserve"> – 0</w:t>
      </w:r>
      <w:r w:rsidR="004F04D6" w:rsidRPr="00924065">
        <w:rPr>
          <w:rFonts w:ascii="Times New Roman" w:hAnsi="Times New Roman" w:cs="Times New Roman"/>
          <w:color w:val="000000" w:themeColor="text1"/>
          <w:sz w:val="28"/>
          <w:szCs w:val="28"/>
          <w:lang w:val="uk-UA"/>
        </w:rPr>
        <w:t>75</w:t>
      </w:r>
      <w:r w:rsidR="00275971" w:rsidRPr="00924065">
        <w:rPr>
          <w:rFonts w:ascii="Times New Roman" w:hAnsi="Times New Roman" w:cs="Times New Roman"/>
          <w:color w:val="000000" w:themeColor="text1"/>
          <w:sz w:val="28"/>
          <w:szCs w:val="28"/>
          <w:lang w:val="uk-UA"/>
        </w:rPr>
        <w:t xml:space="preserve"> зазначаються дані щодо </w:t>
      </w:r>
      <w:r w:rsidR="00595A67" w:rsidRPr="00924065">
        <w:rPr>
          <w:rFonts w:ascii="Times New Roman" w:hAnsi="Times New Roman" w:cs="Times New Roman"/>
          <w:color w:val="000000" w:themeColor="text1"/>
          <w:sz w:val="28"/>
          <w:szCs w:val="28"/>
          <w:lang w:val="uk-UA"/>
        </w:rPr>
        <w:t>макси</w:t>
      </w:r>
      <w:r w:rsidR="004F04D6" w:rsidRPr="00924065">
        <w:rPr>
          <w:rFonts w:ascii="Times New Roman" w:hAnsi="Times New Roman" w:cs="Times New Roman"/>
          <w:color w:val="000000" w:themeColor="text1"/>
          <w:sz w:val="28"/>
          <w:szCs w:val="28"/>
          <w:lang w:val="uk-UA"/>
        </w:rPr>
        <w:t>мальної кінцевої ціни електричної енергії за категоріями споживачів без урахування плати за послуги операторів систем (без ПДВ)</w:t>
      </w:r>
      <w:r w:rsidR="00275971" w:rsidRPr="00924065">
        <w:rPr>
          <w:rFonts w:ascii="Times New Roman" w:hAnsi="Times New Roman" w:cs="Times New Roman"/>
          <w:color w:val="000000" w:themeColor="text1"/>
          <w:sz w:val="28"/>
          <w:szCs w:val="28"/>
          <w:lang w:val="uk-UA"/>
        </w:rPr>
        <w:t>.</w:t>
      </w:r>
    </w:p>
    <w:p w14:paraId="7EFD8ACB" w14:textId="77777777" w:rsidR="004F04D6" w:rsidRPr="00324E77" w:rsidRDefault="004F04D6" w:rsidP="00444333">
      <w:pPr>
        <w:pStyle w:val="a3"/>
        <w:tabs>
          <w:tab w:val="left" w:pos="0"/>
        </w:tabs>
        <w:spacing w:after="0"/>
        <w:ind w:left="0" w:firstLine="567"/>
        <w:rPr>
          <w:rFonts w:ascii="Times New Roman" w:hAnsi="Times New Roman" w:cs="Times New Roman"/>
          <w:color w:val="000000" w:themeColor="text1"/>
          <w:sz w:val="28"/>
          <w:szCs w:val="28"/>
          <w:lang w:val="uk-UA"/>
        </w:rPr>
      </w:pPr>
    </w:p>
    <w:p w14:paraId="0C11A652" w14:textId="067B71D7" w:rsidR="005540C4" w:rsidRPr="00924065" w:rsidRDefault="005540C4" w:rsidP="00444333">
      <w:pPr>
        <w:tabs>
          <w:tab w:val="left" w:pos="0"/>
        </w:tabs>
        <w:spacing w:after="0" w:line="276" w:lineRule="auto"/>
        <w:ind w:firstLine="567"/>
        <w:jc w:val="both"/>
        <w:rPr>
          <w:rFonts w:ascii="Times New Roman" w:hAnsi="Times New Roman" w:cs="Times New Roman"/>
          <w:color w:val="000000" w:themeColor="text1"/>
          <w:sz w:val="28"/>
          <w:szCs w:val="28"/>
          <w:lang w:val="uk-UA"/>
        </w:rPr>
      </w:pPr>
      <w:r w:rsidRPr="00924065">
        <w:rPr>
          <w:rFonts w:ascii="Times New Roman" w:hAnsi="Times New Roman" w:cs="Times New Roman"/>
          <w:color w:val="000000" w:themeColor="text1"/>
          <w:sz w:val="28"/>
          <w:szCs w:val="28"/>
          <w:lang w:val="uk-UA"/>
        </w:rPr>
        <w:t xml:space="preserve"> </w:t>
      </w:r>
      <w:r w:rsidR="00924065">
        <w:rPr>
          <w:rFonts w:ascii="Times New Roman" w:hAnsi="Times New Roman" w:cs="Times New Roman"/>
          <w:color w:val="000000" w:themeColor="text1"/>
          <w:sz w:val="28"/>
          <w:szCs w:val="28"/>
          <w:lang w:val="uk-UA"/>
        </w:rPr>
        <w:t xml:space="preserve">3.2. </w:t>
      </w:r>
      <w:r w:rsidRPr="00924065">
        <w:rPr>
          <w:rFonts w:ascii="Times New Roman" w:hAnsi="Times New Roman" w:cs="Times New Roman"/>
          <w:color w:val="000000" w:themeColor="text1"/>
          <w:sz w:val="28"/>
          <w:szCs w:val="28"/>
          <w:lang w:val="uk-UA"/>
        </w:rPr>
        <w:t>У розділі І</w:t>
      </w:r>
      <w:r w:rsidR="00316112" w:rsidRPr="00924065">
        <w:rPr>
          <w:rFonts w:ascii="Times New Roman" w:hAnsi="Times New Roman" w:cs="Times New Roman"/>
          <w:color w:val="000000" w:themeColor="text1"/>
          <w:sz w:val="28"/>
          <w:szCs w:val="28"/>
          <w:lang w:val="uk-UA"/>
        </w:rPr>
        <w:t>І</w:t>
      </w:r>
      <w:r w:rsidRPr="00924065">
        <w:rPr>
          <w:rFonts w:ascii="Times New Roman" w:hAnsi="Times New Roman" w:cs="Times New Roman"/>
          <w:color w:val="000000" w:themeColor="text1"/>
          <w:sz w:val="28"/>
          <w:szCs w:val="28"/>
          <w:lang w:val="uk-UA"/>
        </w:rPr>
        <w:t xml:space="preserve"> «</w:t>
      </w:r>
      <w:r w:rsidR="00316112" w:rsidRPr="00924065">
        <w:rPr>
          <w:rFonts w:ascii="Times New Roman" w:hAnsi="Times New Roman" w:cs="Times New Roman"/>
          <w:color w:val="000000" w:themeColor="text1"/>
          <w:sz w:val="28"/>
          <w:szCs w:val="28"/>
          <w:lang w:val="uk-UA"/>
        </w:rPr>
        <w:t>Інформація щодо кількості комерційних пропозицій</w:t>
      </w:r>
      <w:r w:rsidRPr="00924065">
        <w:rPr>
          <w:rFonts w:ascii="Times New Roman" w:hAnsi="Times New Roman" w:cs="Times New Roman"/>
          <w:color w:val="000000" w:themeColor="text1"/>
          <w:sz w:val="28"/>
          <w:szCs w:val="28"/>
          <w:lang w:val="uk-UA"/>
        </w:rPr>
        <w:t xml:space="preserve">» відображається інформація </w:t>
      </w:r>
      <w:r w:rsidR="00316112" w:rsidRPr="00924065">
        <w:rPr>
          <w:rFonts w:ascii="Times New Roman" w:hAnsi="Times New Roman" w:cs="Times New Roman"/>
          <w:color w:val="000000" w:themeColor="text1"/>
          <w:sz w:val="28"/>
          <w:szCs w:val="28"/>
          <w:lang w:val="uk-UA"/>
        </w:rPr>
        <w:t xml:space="preserve">щодо кількості </w:t>
      </w:r>
      <w:r w:rsidR="007077D6" w:rsidRPr="00924065">
        <w:rPr>
          <w:rFonts w:ascii="Times New Roman" w:hAnsi="Times New Roman" w:cs="Times New Roman"/>
          <w:color w:val="000000" w:themeColor="text1"/>
          <w:sz w:val="28"/>
          <w:szCs w:val="28"/>
          <w:lang w:val="uk-UA"/>
        </w:rPr>
        <w:t xml:space="preserve">пропонованих електропостачальником комерційних пропозицій </w:t>
      </w:r>
      <w:r w:rsidR="00316112" w:rsidRPr="00924065">
        <w:rPr>
          <w:rFonts w:ascii="Times New Roman" w:hAnsi="Times New Roman" w:cs="Times New Roman"/>
          <w:color w:val="000000" w:themeColor="text1"/>
          <w:sz w:val="28"/>
          <w:szCs w:val="28"/>
          <w:lang w:val="uk-UA"/>
        </w:rPr>
        <w:t>за договорами про постачання електричної енергії споживачу</w:t>
      </w:r>
      <w:r w:rsidR="007077D6" w:rsidRPr="00924065">
        <w:rPr>
          <w:rFonts w:ascii="Times New Roman" w:hAnsi="Times New Roman" w:cs="Times New Roman"/>
          <w:color w:val="000000" w:themeColor="text1"/>
          <w:sz w:val="28"/>
          <w:szCs w:val="28"/>
          <w:lang w:val="uk-UA"/>
        </w:rPr>
        <w:t xml:space="preserve"> (графи 1 </w:t>
      </w:r>
      <w:r w:rsidR="002C5F8D" w:rsidRPr="00924065">
        <w:rPr>
          <w:rFonts w:ascii="Times New Roman" w:hAnsi="Times New Roman" w:cs="Times New Roman"/>
          <w:color w:val="000000" w:themeColor="text1"/>
          <w:sz w:val="28"/>
          <w:szCs w:val="28"/>
          <w:lang w:val="uk-UA"/>
        </w:rPr>
        <w:t>–</w:t>
      </w:r>
      <w:r w:rsidR="007077D6" w:rsidRPr="00924065">
        <w:rPr>
          <w:rFonts w:ascii="Times New Roman" w:hAnsi="Times New Roman" w:cs="Times New Roman"/>
          <w:color w:val="000000" w:themeColor="text1"/>
          <w:sz w:val="28"/>
          <w:szCs w:val="28"/>
          <w:lang w:val="uk-UA"/>
        </w:rPr>
        <w:t xml:space="preserve"> 3)</w:t>
      </w:r>
      <w:r w:rsidR="00316112" w:rsidRPr="00924065">
        <w:rPr>
          <w:rFonts w:ascii="Times New Roman" w:hAnsi="Times New Roman" w:cs="Times New Roman"/>
          <w:color w:val="000000" w:themeColor="text1"/>
          <w:sz w:val="28"/>
          <w:szCs w:val="28"/>
          <w:lang w:val="uk-UA"/>
        </w:rPr>
        <w:t xml:space="preserve"> та про постачання електричної енергії постачальником універсально</w:t>
      </w:r>
      <w:r w:rsidR="00595A67" w:rsidRPr="00924065">
        <w:rPr>
          <w:rFonts w:ascii="Times New Roman" w:hAnsi="Times New Roman" w:cs="Times New Roman"/>
          <w:color w:val="000000" w:themeColor="text1"/>
          <w:sz w:val="28"/>
          <w:szCs w:val="28"/>
          <w:lang w:val="uk-UA"/>
        </w:rPr>
        <w:t>ї</w:t>
      </w:r>
      <w:r w:rsidR="00316112" w:rsidRPr="00924065">
        <w:rPr>
          <w:rFonts w:ascii="Times New Roman" w:hAnsi="Times New Roman" w:cs="Times New Roman"/>
          <w:color w:val="000000" w:themeColor="text1"/>
          <w:sz w:val="28"/>
          <w:szCs w:val="28"/>
          <w:lang w:val="uk-UA"/>
        </w:rPr>
        <w:t xml:space="preserve"> послуги</w:t>
      </w:r>
      <w:r w:rsidR="007077D6" w:rsidRPr="00924065">
        <w:rPr>
          <w:rFonts w:ascii="Times New Roman" w:hAnsi="Times New Roman" w:cs="Times New Roman"/>
          <w:color w:val="000000" w:themeColor="text1"/>
          <w:sz w:val="28"/>
          <w:szCs w:val="28"/>
          <w:lang w:val="uk-UA"/>
        </w:rPr>
        <w:t xml:space="preserve"> (графи 4 – 6) станом на кінець звітного періоду</w:t>
      </w:r>
      <w:r w:rsidRPr="00924065">
        <w:rPr>
          <w:rFonts w:ascii="Times New Roman" w:hAnsi="Times New Roman" w:cs="Times New Roman"/>
          <w:color w:val="000000" w:themeColor="text1"/>
          <w:sz w:val="28"/>
          <w:szCs w:val="28"/>
          <w:lang w:val="uk-UA"/>
        </w:rPr>
        <w:t>:</w:t>
      </w:r>
    </w:p>
    <w:p w14:paraId="1C264C6E" w14:textId="77777777" w:rsidR="005E3F3C" w:rsidRPr="00324E77" w:rsidRDefault="005E3F3C" w:rsidP="00924065">
      <w:pPr>
        <w:pStyle w:val="a3"/>
        <w:tabs>
          <w:tab w:val="left" w:pos="0"/>
        </w:tabs>
        <w:spacing w:after="0" w:line="276" w:lineRule="auto"/>
        <w:ind w:left="0" w:firstLine="567"/>
        <w:jc w:val="both"/>
        <w:rPr>
          <w:rFonts w:ascii="Times New Roman" w:hAnsi="Times New Roman" w:cs="Times New Roman"/>
          <w:color w:val="000000" w:themeColor="text1"/>
          <w:sz w:val="28"/>
          <w:szCs w:val="28"/>
          <w:lang w:val="uk-UA"/>
        </w:rPr>
      </w:pPr>
    </w:p>
    <w:p w14:paraId="044ECF60" w14:textId="77777777" w:rsidR="007077D6" w:rsidRPr="00924065" w:rsidRDefault="00924065" w:rsidP="00924065">
      <w:pPr>
        <w:tabs>
          <w:tab w:val="left" w:pos="0"/>
          <w:tab w:val="left" w:pos="1134"/>
        </w:tabs>
        <w:spacing w:after="0" w:line="276" w:lineRule="auto"/>
        <w:ind w:firstLine="567"/>
        <w:jc w:val="both"/>
        <w:rPr>
          <w:rFonts w:ascii="Times New Roman" w:hAnsi="Times New Roman" w:cs="Times New Roman"/>
          <w:color w:val="000000" w:themeColor="text1"/>
          <w:sz w:val="28"/>
          <w:szCs w:val="28"/>
          <w:lang w:val="uk-UA"/>
        </w:rPr>
      </w:pPr>
      <w:r w:rsidRPr="00924065">
        <w:rPr>
          <w:rFonts w:ascii="Times New Roman" w:hAnsi="Times New Roman" w:cs="Times New Roman"/>
          <w:color w:val="000000" w:themeColor="text1"/>
          <w:sz w:val="28"/>
          <w:szCs w:val="28"/>
          <w:lang w:val="uk-UA"/>
        </w:rPr>
        <w:t>1)</w:t>
      </w:r>
      <w:r>
        <w:rPr>
          <w:rFonts w:ascii="Times New Roman" w:hAnsi="Times New Roman" w:cs="Times New Roman"/>
          <w:color w:val="000000" w:themeColor="text1"/>
          <w:sz w:val="28"/>
          <w:szCs w:val="28"/>
          <w:lang w:val="uk-UA"/>
        </w:rPr>
        <w:t xml:space="preserve"> </w:t>
      </w:r>
      <w:r w:rsidR="007077D6" w:rsidRPr="00924065">
        <w:rPr>
          <w:rFonts w:ascii="Times New Roman" w:hAnsi="Times New Roman" w:cs="Times New Roman"/>
          <w:color w:val="000000" w:themeColor="text1"/>
          <w:sz w:val="28"/>
          <w:szCs w:val="28"/>
          <w:lang w:val="uk-UA"/>
        </w:rPr>
        <w:t>у графах 1</w:t>
      </w:r>
      <w:r w:rsidR="006266C3" w:rsidRPr="00924065">
        <w:rPr>
          <w:rFonts w:ascii="Times New Roman" w:hAnsi="Times New Roman" w:cs="Times New Roman"/>
          <w:color w:val="000000" w:themeColor="text1"/>
          <w:sz w:val="28"/>
          <w:szCs w:val="28"/>
          <w:lang w:val="uk-UA"/>
        </w:rPr>
        <w:t xml:space="preserve"> та</w:t>
      </w:r>
      <w:r w:rsidR="007077D6" w:rsidRPr="00924065">
        <w:rPr>
          <w:rFonts w:ascii="Times New Roman" w:hAnsi="Times New Roman" w:cs="Times New Roman"/>
          <w:color w:val="000000" w:themeColor="text1"/>
          <w:sz w:val="28"/>
          <w:szCs w:val="28"/>
          <w:lang w:val="uk-UA"/>
        </w:rPr>
        <w:t xml:space="preserve"> 4 «загальна  кількість» зазначається сумарна кількість комерційних пропозицій, пропонованих електропостачальником;</w:t>
      </w:r>
    </w:p>
    <w:p w14:paraId="5E764291" w14:textId="77777777" w:rsidR="007077D6" w:rsidRPr="00324E77" w:rsidRDefault="007077D6" w:rsidP="00924065">
      <w:pPr>
        <w:pStyle w:val="a3"/>
        <w:tabs>
          <w:tab w:val="left" w:pos="0"/>
          <w:tab w:val="left" w:pos="1134"/>
        </w:tabs>
        <w:spacing w:after="0" w:line="276" w:lineRule="auto"/>
        <w:ind w:left="0" w:firstLine="567"/>
        <w:jc w:val="both"/>
        <w:rPr>
          <w:rFonts w:ascii="Times New Roman" w:hAnsi="Times New Roman" w:cs="Times New Roman"/>
          <w:color w:val="000000" w:themeColor="text1"/>
          <w:sz w:val="28"/>
          <w:szCs w:val="28"/>
          <w:lang w:val="uk-UA"/>
        </w:rPr>
      </w:pPr>
    </w:p>
    <w:p w14:paraId="79E4AF11" w14:textId="77777777" w:rsidR="007077D6" w:rsidRPr="00924065" w:rsidRDefault="00924065" w:rsidP="00924065">
      <w:pPr>
        <w:tabs>
          <w:tab w:val="left" w:pos="0"/>
          <w:tab w:val="left" w:pos="1134"/>
        </w:tabs>
        <w:spacing w:after="0" w:line="276"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2) </w:t>
      </w:r>
      <w:r w:rsidR="007077D6" w:rsidRPr="00924065">
        <w:rPr>
          <w:rFonts w:ascii="Times New Roman" w:hAnsi="Times New Roman" w:cs="Times New Roman"/>
          <w:color w:val="000000" w:themeColor="text1"/>
          <w:sz w:val="28"/>
          <w:szCs w:val="28"/>
          <w:lang w:val="uk-UA"/>
        </w:rPr>
        <w:t>у графах 2</w:t>
      </w:r>
      <w:r w:rsidR="006266C3" w:rsidRPr="00924065">
        <w:rPr>
          <w:rFonts w:ascii="Times New Roman" w:hAnsi="Times New Roman" w:cs="Times New Roman"/>
          <w:color w:val="000000" w:themeColor="text1"/>
          <w:sz w:val="28"/>
          <w:szCs w:val="28"/>
          <w:lang w:val="uk-UA"/>
        </w:rPr>
        <w:t xml:space="preserve"> та</w:t>
      </w:r>
      <w:r w:rsidR="007077D6" w:rsidRPr="00924065">
        <w:rPr>
          <w:rFonts w:ascii="Times New Roman" w:hAnsi="Times New Roman" w:cs="Times New Roman"/>
          <w:color w:val="000000" w:themeColor="text1"/>
          <w:sz w:val="28"/>
          <w:szCs w:val="28"/>
          <w:lang w:val="uk-UA"/>
        </w:rPr>
        <w:t xml:space="preserve"> 5 «з них розміщені на вебсайті» зазначається кількість комерційних пропозицій, розміщених на вебсайті електропостачальника;</w:t>
      </w:r>
    </w:p>
    <w:p w14:paraId="551D2765" w14:textId="77777777" w:rsidR="007077D6" w:rsidRPr="00324E77" w:rsidRDefault="007077D6" w:rsidP="00924065">
      <w:pPr>
        <w:pStyle w:val="a3"/>
        <w:tabs>
          <w:tab w:val="left" w:pos="0"/>
          <w:tab w:val="left" w:pos="1134"/>
        </w:tabs>
        <w:spacing w:after="0"/>
        <w:ind w:left="0" w:firstLine="567"/>
        <w:rPr>
          <w:rFonts w:ascii="Times New Roman" w:hAnsi="Times New Roman" w:cs="Times New Roman"/>
          <w:color w:val="000000" w:themeColor="text1"/>
          <w:sz w:val="28"/>
          <w:szCs w:val="28"/>
          <w:lang w:val="uk-UA"/>
        </w:rPr>
      </w:pPr>
    </w:p>
    <w:p w14:paraId="5A7D3039" w14:textId="77777777" w:rsidR="007077D6" w:rsidRPr="00924065" w:rsidRDefault="00924065" w:rsidP="00924065">
      <w:pPr>
        <w:tabs>
          <w:tab w:val="left" w:pos="0"/>
          <w:tab w:val="left" w:pos="1134"/>
        </w:tabs>
        <w:spacing w:after="0" w:line="276"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3) </w:t>
      </w:r>
      <w:r w:rsidR="007077D6" w:rsidRPr="00924065">
        <w:rPr>
          <w:rFonts w:ascii="Times New Roman" w:hAnsi="Times New Roman" w:cs="Times New Roman"/>
          <w:color w:val="000000" w:themeColor="text1"/>
          <w:sz w:val="28"/>
          <w:szCs w:val="28"/>
          <w:lang w:val="uk-UA"/>
        </w:rPr>
        <w:t>у графах 3</w:t>
      </w:r>
      <w:r w:rsidR="006266C3" w:rsidRPr="00924065">
        <w:rPr>
          <w:rFonts w:ascii="Times New Roman" w:hAnsi="Times New Roman" w:cs="Times New Roman"/>
          <w:color w:val="000000" w:themeColor="text1"/>
          <w:sz w:val="28"/>
          <w:szCs w:val="28"/>
          <w:lang w:val="uk-UA"/>
        </w:rPr>
        <w:t xml:space="preserve"> та</w:t>
      </w:r>
      <w:r w:rsidR="007077D6" w:rsidRPr="00924065">
        <w:rPr>
          <w:rFonts w:ascii="Times New Roman" w:hAnsi="Times New Roman" w:cs="Times New Roman"/>
          <w:color w:val="000000" w:themeColor="text1"/>
          <w:sz w:val="28"/>
          <w:szCs w:val="28"/>
          <w:lang w:val="uk-UA"/>
        </w:rPr>
        <w:t xml:space="preserve"> 6 «з них обрані споживачами» зазначається кількість комерційних пропозицій, які були обрані </w:t>
      </w:r>
      <w:r w:rsidR="002E4386" w:rsidRPr="00924065">
        <w:rPr>
          <w:rFonts w:ascii="Times New Roman" w:hAnsi="Times New Roman" w:cs="Times New Roman"/>
          <w:color w:val="000000" w:themeColor="text1"/>
          <w:sz w:val="28"/>
          <w:szCs w:val="28"/>
          <w:lang w:val="uk-UA"/>
        </w:rPr>
        <w:t>споживачами</w:t>
      </w:r>
      <w:r w:rsidR="007077D6" w:rsidRPr="00924065">
        <w:rPr>
          <w:rFonts w:ascii="Times New Roman" w:hAnsi="Times New Roman" w:cs="Times New Roman"/>
          <w:color w:val="000000" w:themeColor="text1"/>
          <w:sz w:val="28"/>
          <w:szCs w:val="28"/>
          <w:lang w:val="uk-UA"/>
        </w:rPr>
        <w:t xml:space="preserve"> електропостачальника;</w:t>
      </w:r>
    </w:p>
    <w:p w14:paraId="0FAFCF14" w14:textId="77777777" w:rsidR="002E4386" w:rsidRPr="00324E77" w:rsidRDefault="002E4386" w:rsidP="00924065">
      <w:pPr>
        <w:pStyle w:val="a3"/>
        <w:tabs>
          <w:tab w:val="left" w:pos="0"/>
          <w:tab w:val="left" w:pos="1134"/>
        </w:tabs>
        <w:ind w:left="0" w:firstLine="567"/>
        <w:rPr>
          <w:rFonts w:ascii="Times New Roman" w:hAnsi="Times New Roman" w:cs="Times New Roman"/>
          <w:color w:val="000000" w:themeColor="text1"/>
          <w:sz w:val="28"/>
          <w:szCs w:val="28"/>
          <w:lang w:val="uk-UA"/>
        </w:rPr>
      </w:pPr>
    </w:p>
    <w:p w14:paraId="66A7F9F8" w14:textId="77777777" w:rsidR="002E4386" w:rsidRPr="00924065" w:rsidRDefault="00924065" w:rsidP="00924065">
      <w:pPr>
        <w:tabs>
          <w:tab w:val="left" w:pos="0"/>
          <w:tab w:val="left" w:pos="720"/>
          <w:tab w:val="left" w:pos="1134"/>
        </w:tabs>
        <w:spacing w:after="0" w:line="276"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4) </w:t>
      </w:r>
      <w:r w:rsidR="002E4386" w:rsidRPr="00924065">
        <w:rPr>
          <w:rFonts w:ascii="Times New Roman" w:hAnsi="Times New Roman" w:cs="Times New Roman"/>
          <w:color w:val="000000" w:themeColor="text1"/>
          <w:sz w:val="28"/>
          <w:szCs w:val="28"/>
          <w:lang w:val="uk-UA"/>
        </w:rPr>
        <w:t>у рядку 145 «</w:t>
      </w:r>
      <w:r w:rsidR="002C5F8D" w:rsidRPr="00924065">
        <w:rPr>
          <w:rFonts w:ascii="Times New Roman" w:hAnsi="Times New Roman" w:cs="Times New Roman"/>
          <w:color w:val="000000" w:themeColor="text1"/>
          <w:sz w:val="28"/>
          <w:szCs w:val="28"/>
          <w:lang w:val="uk-UA"/>
        </w:rPr>
        <w:t>У</w:t>
      </w:r>
      <w:r w:rsidR="002E4386" w:rsidRPr="00924065">
        <w:rPr>
          <w:rFonts w:ascii="Times New Roman" w:hAnsi="Times New Roman" w:cs="Times New Roman"/>
          <w:color w:val="000000" w:themeColor="text1"/>
          <w:sz w:val="28"/>
          <w:szCs w:val="28"/>
          <w:lang w:val="uk-UA"/>
        </w:rPr>
        <w:t>сього, з них для:» зазначаються сумарні дані щодо кількості пропонованих електропостачальником комерційних пропозицій. У випадку застосування однієї комерційної пропозиції для декількох категорій споживачів така комерційна пропозиція в цьому рядку відображається як одна комерційна пропозиція;</w:t>
      </w:r>
    </w:p>
    <w:p w14:paraId="552D98C7" w14:textId="77777777" w:rsidR="002E4386" w:rsidRPr="00324E77" w:rsidRDefault="002E4386" w:rsidP="00924065">
      <w:pPr>
        <w:pStyle w:val="a3"/>
        <w:tabs>
          <w:tab w:val="left" w:pos="0"/>
          <w:tab w:val="left" w:pos="1134"/>
        </w:tabs>
        <w:spacing w:after="0"/>
        <w:ind w:left="0" w:firstLine="567"/>
        <w:rPr>
          <w:rFonts w:ascii="Times New Roman" w:hAnsi="Times New Roman" w:cs="Times New Roman"/>
          <w:color w:val="000000" w:themeColor="text1"/>
          <w:sz w:val="28"/>
          <w:szCs w:val="28"/>
          <w:lang w:val="uk-UA"/>
        </w:rPr>
      </w:pPr>
    </w:p>
    <w:p w14:paraId="514AE388" w14:textId="77777777" w:rsidR="002E4386" w:rsidRPr="00924065" w:rsidRDefault="00924065" w:rsidP="00924065">
      <w:pPr>
        <w:tabs>
          <w:tab w:val="left" w:pos="0"/>
          <w:tab w:val="left" w:pos="720"/>
          <w:tab w:val="left" w:pos="1134"/>
        </w:tabs>
        <w:spacing w:after="0" w:line="276"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5) </w:t>
      </w:r>
      <w:r w:rsidR="002E4386" w:rsidRPr="00924065">
        <w:rPr>
          <w:rFonts w:ascii="Times New Roman" w:hAnsi="Times New Roman" w:cs="Times New Roman"/>
          <w:color w:val="000000" w:themeColor="text1"/>
          <w:sz w:val="28"/>
          <w:szCs w:val="28"/>
          <w:lang w:val="uk-UA"/>
        </w:rPr>
        <w:t xml:space="preserve">у рядку 150 «побутових споживачів, у тому числі:» зазначаються дані щодо побутових споживачів, у тому числі щодо індивідуальних (рядок 155) та колективних (160) побутових споживачів. У випадку застосування однієї комерційної пропозиції для декількох категорій споживачів така комерційна пропозиція в цьому рядку відображається як одна комерційна пропозиція; </w:t>
      </w:r>
    </w:p>
    <w:p w14:paraId="4107BF0F" w14:textId="77777777" w:rsidR="002E4386" w:rsidRPr="00324E77" w:rsidRDefault="002E4386" w:rsidP="00924065">
      <w:pPr>
        <w:pStyle w:val="a3"/>
        <w:tabs>
          <w:tab w:val="left" w:pos="0"/>
          <w:tab w:val="left" w:pos="1134"/>
        </w:tabs>
        <w:spacing w:after="0"/>
        <w:ind w:left="0" w:firstLine="567"/>
        <w:rPr>
          <w:rFonts w:ascii="Times New Roman" w:hAnsi="Times New Roman" w:cs="Times New Roman"/>
          <w:color w:val="000000" w:themeColor="text1"/>
          <w:sz w:val="28"/>
          <w:szCs w:val="28"/>
          <w:lang w:val="uk-UA"/>
        </w:rPr>
      </w:pPr>
    </w:p>
    <w:p w14:paraId="61397671" w14:textId="499694C0" w:rsidR="002E4386" w:rsidRPr="00924065" w:rsidRDefault="00924065" w:rsidP="00924065">
      <w:pPr>
        <w:tabs>
          <w:tab w:val="left" w:pos="0"/>
          <w:tab w:val="left" w:pos="720"/>
          <w:tab w:val="left" w:pos="1134"/>
        </w:tabs>
        <w:spacing w:after="0" w:line="276"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6) </w:t>
      </w:r>
      <w:r w:rsidR="002E4386" w:rsidRPr="00924065">
        <w:rPr>
          <w:rFonts w:ascii="Times New Roman" w:hAnsi="Times New Roman" w:cs="Times New Roman"/>
          <w:color w:val="000000" w:themeColor="text1"/>
          <w:sz w:val="28"/>
          <w:szCs w:val="28"/>
          <w:lang w:val="uk-UA"/>
        </w:rPr>
        <w:t xml:space="preserve">у рядку 165 «непобутових споживачів, у тому числі:» зазначаються дані щодо непобутових споживачів, у тому числі щодо малих непобутових </w:t>
      </w:r>
      <w:r w:rsidR="002E4386" w:rsidRPr="00924065">
        <w:rPr>
          <w:rFonts w:ascii="Times New Roman" w:hAnsi="Times New Roman" w:cs="Times New Roman"/>
          <w:color w:val="000000" w:themeColor="text1"/>
          <w:sz w:val="28"/>
          <w:szCs w:val="28"/>
          <w:lang w:val="uk-UA"/>
        </w:rPr>
        <w:lastRenderedPageBreak/>
        <w:t xml:space="preserve">споживачів (рядок 170), у тому числі бюджетних установ (рядок </w:t>
      </w:r>
      <w:r w:rsidR="00524F8D" w:rsidRPr="00924065">
        <w:rPr>
          <w:rFonts w:ascii="Times New Roman" w:hAnsi="Times New Roman" w:cs="Times New Roman"/>
          <w:color w:val="000000" w:themeColor="text1"/>
          <w:sz w:val="28"/>
          <w:szCs w:val="28"/>
          <w:lang w:val="uk-UA"/>
        </w:rPr>
        <w:t>1</w:t>
      </w:r>
      <w:r w:rsidR="00524F8D">
        <w:rPr>
          <w:rFonts w:ascii="Times New Roman" w:hAnsi="Times New Roman" w:cs="Times New Roman"/>
          <w:color w:val="000000" w:themeColor="text1"/>
          <w:sz w:val="28"/>
          <w:szCs w:val="28"/>
          <w:lang w:val="uk-UA"/>
        </w:rPr>
        <w:t>75</w:t>
      </w:r>
      <w:r w:rsidR="002E4386" w:rsidRPr="00924065">
        <w:rPr>
          <w:rFonts w:ascii="Times New Roman" w:hAnsi="Times New Roman" w:cs="Times New Roman"/>
          <w:color w:val="000000" w:themeColor="text1"/>
          <w:sz w:val="28"/>
          <w:szCs w:val="28"/>
          <w:lang w:val="uk-UA"/>
        </w:rPr>
        <w:t xml:space="preserve">), інших споживачів з договірною потужністю 50 кВт </w:t>
      </w:r>
      <w:r w:rsidR="00524F8D">
        <w:rPr>
          <w:rFonts w:ascii="Times New Roman" w:hAnsi="Times New Roman" w:cs="Times New Roman"/>
          <w:color w:val="000000" w:themeColor="text1"/>
          <w:sz w:val="28"/>
          <w:szCs w:val="28"/>
          <w:lang w:val="uk-UA"/>
        </w:rPr>
        <w:t xml:space="preserve"> і вище </w:t>
      </w:r>
      <w:r w:rsidR="002E4386" w:rsidRPr="00924065">
        <w:rPr>
          <w:rFonts w:ascii="Times New Roman" w:hAnsi="Times New Roman" w:cs="Times New Roman"/>
          <w:color w:val="000000" w:themeColor="text1"/>
          <w:sz w:val="28"/>
          <w:szCs w:val="28"/>
          <w:lang w:val="uk-UA"/>
        </w:rPr>
        <w:t xml:space="preserve">(рядок </w:t>
      </w:r>
      <w:r w:rsidR="00524F8D">
        <w:rPr>
          <w:rFonts w:ascii="Times New Roman" w:hAnsi="Times New Roman" w:cs="Times New Roman"/>
          <w:color w:val="000000" w:themeColor="text1"/>
          <w:sz w:val="28"/>
          <w:szCs w:val="28"/>
          <w:lang w:val="uk-UA"/>
        </w:rPr>
        <w:t>18</w:t>
      </w:r>
      <w:r w:rsidR="00524F8D" w:rsidRPr="00924065">
        <w:rPr>
          <w:rFonts w:ascii="Times New Roman" w:hAnsi="Times New Roman" w:cs="Times New Roman"/>
          <w:color w:val="000000" w:themeColor="text1"/>
          <w:sz w:val="28"/>
          <w:szCs w:val="28"/>
          <w:lang w:val="uk-UA"/>
        </w:rPr>
        <w:t>0</w:t>
      </w:r>
      <w:r w:rsidR="002E4386" w:rsidRPr="00924065">
        <w:rPr>
          <w:rFonts w:ascii="Times New Roman" w:hAnsi="Times New Roman" w:cs="Times New Roman"/>
          <w:color w:val="000000" w:themeColor="text1"/>
          <w:sz w:val="28"/>
          <w:szCs w:val="28"/>
          <w:lang w:val="uk-UA"/>
        </w:rPr>
        <w:t xml:space="preserve">), у тому числі </w:t>
      </w:r>
      <w:r w:rsidR="00524F8D">
        <w:rPr>
          <w:rFonts w:ascii="Times New Roman" w:hAnsi="Times New Roman" w:cs="Times New Roman"/>
          <w:color w:val="000000" w:themeColor="text1"/>
          <w:sz w:val="28"/>
          <w:szCs w:val="28"/>
          <w:lang w:val="uk-UA"/>
        </w:rPr>
        <w:t>бюджетних установ</w:t>
      </w:r>
      <w:r w:rsidR="00524F8D" w:rsidRPr="00924065">
        <w:rPr>
          <w:rFonts w:ascii="Times New Roman" w:hAnsi="Times New Roman" w:cs="Times New Roman"/>
          <w:color w:val="000000" w:themeColor="text1"/>
          <w:sz w:val="28"/>
          <w:szCs w:val="28"/>
          <w:lang w:val="uk-UA"/>
        </w:rPr>
        <w:t xml:space="preserve"> </w:t>
      </w:r>
      <w:r w:rsidR="002E4386" w:rsidRPr="00924065">
        <w:rPr>
          <w:rFonts w:ascii="Times New Roman" w:hAnsi="Times New Roman" w:cs="Times New Roman"/>
          <w:color w:val="000000" w:themeColor="text1"/>
          <w:sz w:val="28"/>
          <w:szCs w:val="28"/>
          <w:lang w:val="uk-UA"/>
        </w:rPr>
        <w:t xml:space="preserve">(рядок </w:t>
      </w:r>
      <w:r w:rsidR="00524F8D">
        <w:rPr>
          <w:rFonts w:ascii="Times New Roman" w:hAnsi="Times New Roman" w:cs="Times New Roman"/>
          <w:color w:val="000000" w:themeColor="text1"/>
          <w:sz w:val="28"/>
          <w:szCs w:val="28"/>
          <w:lang w:val="uk-UA"/>
        </w:rPr>
        <w:t>185</w:t>
      </w:r>
      <w:r w:rsidR="002E4386" w:rsidRPr="00924065">
        <w:rPr>
          <w:rFonts w:ascii="Times New Roman" w:hAnsi="Times New Roman" w:cs="Times New Roman"/>
          <w:color w:val="000000" w:themeColor="text1"/>
          <w:sz w:val="28"/>
          <w:szCs w:val="28"/>
          <w:lang w:val="uk-UA"/>
        </w:rPr>
        <w:t>). У випадку застосування однієї комерційної пропозиції для декількох категорій споживачів така комерційна пропозиція в цьому рядку відображається як одна комерційна пропозиція.</w:t>
      </w:r>
    </w:p>
    <w:p w14:paraId="7481BEA4" w14:textId="48DFC3F4" w:rsidR="005540C4" w:rsidRDefault="005540C4" w:rsidP="00924065">
      <w:pPr>
        <w:tabs>
          <w:tab w:val="left" w:pos="0"/>
          <w:tab w:val="left" w:pos="426"/>
          <w:tab w:val="left" w:pos="567"/>
        </w:tabs>
        <w:spacing w:after="0" w:line="276" w:lineRule="auto"/>
        <w:ind w:firstLine="567"/>
        <w:jc w:val="both"/>
        <w:rPr>
          <w:rFonts w:ascii="Times New Roman" w:hAnsi="Times New Roman" w:cs="Times New Roman"/>
          <w:color w:val="000000" w:themeColor="text1"/>
          <w:sz w:val="28"/>
          <w:szCs w:val="28"/>
          <w:lang w:val="uk-UA"/>
        </w:rPr>
      </w:pPr>
    </w:p>
    <w:p w14:paraId="39D798F6"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z w:val="28"/>
          <w:lang w:val="uk-UA"/>
        </w:rPr>
        <w:t>3.3. Додаток 1 «Інформація про постачання електричної енергії споживачам (щодо споживачів оплата за послуги операторів систем розподілу яких повнісю забезпечується електропостачальником)» (далі – додаток 1) заповнюється виключно по споживачах, щодо яких оплата за послуги операторів систем розподілу повністю забезпечується електропостачальником.</w:t>
      </w:r>
    </w:p>
    <w:p w14:paraId="1F13D5BC"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z w:val="28"/>
          <w:lang w:val="uk-UA"/>
        </w:rPr>
        <w:t xml:space="preserve">У додатку 1 відображаються дані щодо кількості споживачів електричної енергії, обсягів та вартості постачання електричної енергії споживачам протягом звітного кварталу: </w:t>
      </w:r>
    </w:p>
    <w:p w14:paraId="56FB41E5" w14:textId="77777777" w:rsidR="00C36ED5" w:rsidRPr="00084622" w:rsidRDefault="00C36ED5" w:rsidP="00C36ED5">
      <w:pPr>
        <w:spacing w:after="0" w:line="276" w:lineRule="auto"/>
        <w:ind w:firstLine="709"/>
        <w:jc w:val="both"/>
        <w:rPr>
          <w:rFonts w:ascii="Times New Roman" w:hAnsi="Times New Roman" w:cs="Times New Roman"/>
          <w:sz w:val="28"/>
          <w:lang w:val="uk-UA"/>
        </w:rPr>
      </w:pPr>
    </w:p>
    <w:p w14:paraId="001BDBAA" w14:textId="77777777" w:rsidR="00C36ED5" w:rsidRPr="00084622" w:rsidRDefault="00C36ED5" w:rsidP="00C36ED5">
      <w:pPr>
        <w:spacing w:after="0" w:line="276" w:lineRule="auto"/>
        <w:ind w:firstLine="709"/>
        <w:jc w:val="both"/>
        <w:rPr>
          <w:rFonts w:ascii="Times New Roman" w:hAnsi="Times New Roman" w:cs="Times New Roman"/>
          <w:snapToGrid w:val="0"/>
          <w:sz w:val="28"/>
          <w:lang w:val="uk-UA"/>
        </w:rPr>
      </w:pPr>
      <w:r w:rsidRPr="00084622">
        <w:rPr>
          <w:rFonts w:ascii="Times New Roman" w:hAnsi="Times New Roman" w:cs="Times New Roman"/>
          <w:snapToGrid w:val="0"/>
          <w:sz w:val="28"/>
          <w:lang w:val="uk-UA"/>
        </w:rPr>
        <w:t>1) у графі 1 «Кількість споживачів» відображається інформація щодо кількості споживачів, яким здійснювалося постачання електричної енергії протягом звітного періоду;</w:t>
      </w:r>
    </w:p>
    <w:p w14:paraId="47C6CAB2" w14:textId="77777777" w:rsidR="00C36ED5" w:rsidRPr="00084622" w:rsidRDefault="00C36ED5" w:rsidP="00C36ED5">
      <w:pPr>
        <w:spacing w:after="0" w:line="276" w:lineRule="auto"/>
        <w:ind w:firstLine="709"/>
        <w:jc w:val="both"/>
        <w:rPr>
          <w:rFonts w:ascii="Times New Roman" w:hAnsi="Times New Roman" w:cs="Times New Roman"/>
          <w:snapToGrid w:val="0"/>
          <w:sz w:val="28"/>
          <w:lang w:val="uk-UA"/>
        </w:rPr>
      </w:pPr>
    </w:p>
    <w:p w14:paraId="305AE283"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napToGrid w:val="0"/>
          <w:sz w:val="28"/>
          <w:lang w:val="uk-UA"/>
        </w:rPr>
        <w:t xml:space="preserve">2) у графі 2 «Обсяг постачання електричної енергії» відображається інформація щодо обсягу постачання електричної енергії споживачам, зокрема в </w:t>
      </w:r>
      <w:r w:rsidRPr="00084622">
        <w:rPr>
          <w:rFonts w:ascii="Times New Roman" w:hAnsi="Times New Roman" w:cs="Times New Roman"/>
          <w:sz w:val="28"/>
          <w:lang w:val="uk-UA"/>
        </w:rPr>
        <w:t>розрізі груп споживачів, які визначені за диференційованими обсягами річного постачання електричної енергії (рядки 011</w:t>
      </w:r>
      <w:r w:rsidRPr="00084622">
        <w:rPr>
          <w:rFonts w:ascii="Times New Roman" w:hAnsi="Times New Roman" w:cs="Times New Roman"/>
          <w:color w:val="000000" w:themeColor="text1"/>
          <w:sz w:val="28"/>
          <w:lang w:val="uk-UA"/>
        </w:rPr>
        <w:t xml:space="preserve">– </w:t>
      </w:r>
      <w:r w:rsidRPr="00084622">
        <w:rPr>
          <w:rFonts w:ascii="Times New Roman" w:hAnsi="Times New Roman" w:cs="Times New Roman"/>
          <w:sz w:val="28"/>
          <w:lang w:val="uk-UA"/>
        </w:rPr>
        <w:t xml:space="preserve">015 та 021 </w:t>
      </w:r>
      <w:r w:rsidRPr="00084622">
        <w:rPr>
          <w:rFonts w:ascii="Times New Roman" w:hAnsi="Times New Roman" w:cs="Times New Roman"/>
          <w:color w:val="000000" w:themeColor="text1"/>
          <w:sz w:val="28"/>
          <w:lang w:val="uk-UA"/>
        </w:rPr>
        <w:t xml:space="preserve">– </w:t>
      </w:r>
      <w:r w:rsidRPr="00084622">
        <w:rPr>
          <w:rFonts w:ascii="Times New Roman" w:hAnsi="Times New Roman" w:cs="Times New Roman"/>
          <w:sz w:val="28"/>
          <w:lang w:val="uk-UA"/>
        </w:rPr>
        <w:t>027).</w:t>
      </w:r>
    </w:p>
    <w:p w14:paraId="29B08745" w14:textId="77777777" w:rsidR="00C36ED5" w:rsidRPr="00084622" w:rsidRDefault="00C36ED5" w:rsidP="00C36ED5">
      <w:pPr>
        <w:spacing w:after="0" w:line="276" w:lineRule="auto"/>
        <w:ind w:firstLine="709"/>
        <w:jc w:val="both"/>
        <w:rPr>
          <w:rFonts w:ascii="Times New Roman" w:hAnsi="Times New Roman"/>
          <w:bCs/>
          <w:snapToGrid w:val="0"/>
          <w:sz w:val="28"/>
          <w:szCs w:val="24"/>
        </w:rPr>
      </w:pPr>
      <w:r w:rsidRPr="00084622">
        <w:rPr>
          <w:rFonts w:ascii="Times New Roman" w:hAnsi="Times New Roman"/>
          <w:snapToGrid w:val="0"/>
          <w:sz w:val="28"/>
          <w:szCs w:val="24"/>
        </w:rPr>
        <w:t xml:space="preserve">Значення обсягу річного постачання, на підставі якого споживачі розподіляються за групами, розраховуються на основі обсягів постачання електричної енергії відповідним споживачам </w:t>
      </w:r>
      <w:r w:rsidRPr="00084622">
        <w:rPr>
          <w:rFonts w:ascii="Times New Roman" w:hAnsi="Times New Roman"/>
          <w:bCs/>
          <w:snapToGrid w:val="0"/>
          <w:sz w:val="28"/>
          <w:szCs w:val="24"/>
        </w:rPr>
        <w:t>за останній календарний рік.</w:t>
      </w:r>
    </w:p>
    <w:p w14:paraId="74422713" w14:textId="77777777" w:rsidR="00C36ED5" w:rsidRPr="00084622" w:rsidRDefault="00C36ED5" w:rsidP="00C36ED5">
      <w:pPr>
        <w:spacing w:after="0" w:line="276" w:lineRule="auto"/>
        <w:ind w:firstLine="709"/>
        <w:jc w:val="both"/>
        <w:rPr>
          <w:rFonts w:ascii="Times New Roman" w:hAnsi="Times New Roman"/>
          <w:bCs/>
          <w:sz w:val="28"/>
          <w:szCs w:val="24"/>
        </w:rPr>
      </w:pPr>
      <w:r w:rsidRPr="00084622">
        <w:rPr>
          <w:rFonts w:ascii="Times New Roman" w:hAnsi="Times New Roman"/>
          <w:bCs/>
          <w:sz w:val="28"/>
          <w:szCs w:val="24"/>
        </w:rPr>
        <w:t xml:space="preserve">У разі відсутності даних </w:t>
      </w:r>
      <w:r w:rsidRPr="00084622">
        <w:rPr>
          <w:rFonts w:ascii="Times New Roman" w:hAnsi="Times New Roman"/>
          <w:bCs/>
          <w:snapToGrid w:val="0"/>
          <w:sz w:val="28"/>
          <w:szCs w:val="24"/>
        </w:rPr>
        <w:t>за останній календарний рік</w:t>
      </w:r>
      <w:r w:rsidRPr="00084622">
        <w:rPr>
          <w:rFonts w:ascii="Times New Roman" w:hAnsi="Times New Roman"/>
          <w:bCs/>
          <w:sz w:val="28"/>
          <w:szCs w:val="24"/>
        </w:rPr>
        <w:t>, значення річних обсягів постачання електричної енергії розраховується, виходячи із середньомісячного обсягу постачання електроенергії</w:t>
      </w:r>
      <w:r w:rsidRPr="00084622">
        <w:rPr>
          <w:rFonts w:ascii="Times New Roman" w:hAnsi="Times New Roman"/>
          <w:bCs/>
          <w:sz w:val="28"/>
          <w:szCs w:val="24"/>
          <w:lang w:val="uk-UA"/>
        </w:rPr>
        <w:t xml:space="preserve"> за період протягом якого здійснювалося постачання, за формулою</w:t>
      </w:r>
      <w:r w:rsidRPr="00084622">
        <w:rPr>
          <w:rFonts w:ascii="Times New Roman" w:hAnsi="Times New Roman"/>
          <w:bCs/>
          <w:sz w:val="28"/>
          <w:szCs w:val="24"/>
        </w:rPr>
        <w:t>:</w:t>
      </w:r>
    </w:p>
    <w:p w14:paraId="28E1E8E8" w14:textId="77777777" w:rsidR="00C36ED5" w:rsidRPr="00084622" w:rsidRDefault="00000000" w:rsidP="00C36ED5">
      <w:pPr>
        <w:spacing w:after="0" w:line="276" w:lineRule="auto"/>
        <w:ind w:firstLine="709"/>
        <w:jc w:val="center"/>
        <w:rPr>
          <w:rFonts w:ascii="Times New Roman" w:hAnsi="Times New Roman"/>
          <w:bCs/>
          <w:i/>
          <w:sz w:val="28"/>
          <w:szCs w:val="24"/>
        </w:rPr>
      </w:pPr>
      <m:oMath>
        <m:sSub>
          <m:sSubPr>
            <m:ctrlPr>
              <w:rPr>
                <w:rFonts w:ascii="Cambria Math" w:hAnsi="Cambria Math"/>
                <w:bCs/>
                <w:i/>
                <w:sz w:val="28"/>
                <w:szCs w:val="24"/>
              </w:rPr>
            </m:ctrlPr>
          </m:sSubPr>
          <m:e>
            <m:r>
              <w:rPr>
                <w:rFonts w:ascii="Cambria Math" w:hAnsi="Cambria Math"/>
                <w:sz w:val="28"/>
                <w:szCs w:val="24"/>
              </w:rPr>
              <m:t>Q</m:t>
            </m:r>
          </m:e>
          <m:sub>
            <m:r>
              <w:rPr>
                <w:rFonts w:ascii="Cambria Math" w:hAnsi="Cambria Math"/>
                <w:sz w:val="28"/>
                <w:szCs w:val="24"/>
                <w:lang w:val="uk-UA"/>
              </w:rPr>
              <m:t>рік</m:t>
            </m:r>
            <m:r>
              <w:rPr>
                <w:rFonts w:ascii="Cambria Math" w:hAnsi="Cambria Math"/>
                <w:sz w:val="28"/>
                <w:szCs w:val="24"/>
              </w:rPr>
              <m:t>=</m:t>
            </m:r>
          </m:sub>
        </m:sSub>
        <m:f>
          <m:fPr>
            <m:ctrlPr>
              <w:rPr>
                <w:rFonts w:ascii="Cambria Math" w:hAnsi="Cambria Math"/>
                <w:bCs/>
                <w:i/>
                <w:sz w:val="28"/>
                <w:szCs w:val="24"/>
              </w:rPr>
            </m:ctrlPr>
          </m:fPr>
          <m:num>
            <m:d>
              <m:dPr>
                <m:ctrlPr>
                  <w:rPr>
                    <w:rFonts w:ascii="Cambria Math" w:hAnsi="Cambria Math"/>
                    <w:bCs/>
                    <w:i/>
                    <w:sz w:val="28"/>
                    <w:szCs w:val="24"/>
                    <w:lang w:val="en-US"/>
                  </w:rPr>
                </m:ctrlPr>
              </m:dPr>
              <m:e>
                <m:nary>
                  <m:naryPr>
                    <m:chr m:val="∑"/>
                    <m:limLoc m:val="undOvr"/>
                    <m:subHide m:val="1"/>
                    <m:supHide m:val="1"/>
                    <m:ctrlPr>
                      <w:rPr>
                        <w:rFonts w:ascii="Cambria Math" w:hAnsi="Cambria Math"/>
                        <w:bCs/>
                        <w:i/>
                        <w:sz w:val="28"/>
                        <w:szCs w:val="24"/>
                        <w:lang w:val="en-US"/>
                      </w:rPr>
                    </m:ctrlPr>
                  </m:naryPr>
                  <m:sub/>
                  <m:sup/>
                  <m:e>
                    <m:sSub>
                      <m:sSubPr>
                        <m:ctrlPr>
                          <w:rPr>
                            <w:rFonts w:ascii="Cambria Math" w:hAnsi="Cambria Math"/>
                            <w:bCs/>
                            <w:i/>
                            <w:sz w:val="28"/>
                            <w:szCs w:val="24"/>
                            <w:lang w:val="en-US"/>
                          </w:rPr>
                        </m:ctrlPr>
                      </m:sSubPr>
                      <m:e>
                        <m:r>
                          <w:rPr>
                            <w:rFonts w:ascii="Cambria Math" w:hAnsi="Cambria Math"/>
                            <w:sz w:val="28"/>
                            <w:szCs w:val="24"/>
                            <w:lang w:val="en-US"/>
                          </w:rPr>
                          <m:t>Q</m:t>
                        </m:r>
                      </m:e>
                      <m:sub>
                        <m:r>
                          <w:rPr>
                            <w:rFonts w:ascii="Cambria Math" w:hAnsi="Cambria Math"/>
                            <w:sz w:val="28"/>
                            <w:szCs w:val="24"/>
                            <w:lang w:val="en-US"/>
                          </w:rPr>
                          <m:t>k</m:t>
                        </m:r>
                      </m:sub>
                    </m:sSub>
                  </m:e>
                </m:nary>
              </m:e>
            </m:d>
          </m:num>
          <m:den>
            <m:r>
              <w:rPr>
                <w:rFonts w:ascii="Cambria Math" w:hAnsi="Cambria Math"/>
                <w:sz w:val="28"/>
                <w:szCs w:val="24"/>
              </w:rPr>
              <m:t>k</m:t>
            </m:r>
          </m:den>
        </m:f>
        <m:r>
          <w:rPr>
            <w:rFonts w:ascii="Cambria Math" w:hAnsi="Cambria Math"/>
            <w:sz w:val="28"/>
            <w:szCs w:val="24"/>
          </w:rPr>
          <m:t>×12</m:t>
        </m:r>
      </m:oMath>
      <w:r w:rsidR="00C36ED5" w:rsidRPr="00084622">
        <w:rPr>
          <w:rFonts w:ascii="Times New Roman" w:eastAsiaTheme="minorEastAsia" w:hAnsi="Times New Roman"/>
          <w:bCs/>
          <w:i/>
          <w:sz w:val="28"/>
          <w:szCs w:val="24"/>
        </w:rPr>
        <w:t>,</w:t>
      </w:r>
    </w:p>
    <w:p w14:paraId="7DB0E06C" w14:textId="77777777" w:rsidR="00C36ED5" w:rsidRPr="00084622" w:rsidRDefault="00C36ED5" w:rsidP="00C36ED5">
      <w:pPr>
        <w:spacing w:after="0" w:line="276" w:lineRule="auto"/>
        <w:ind w:firstLine="709"/>
        <w:jc w:val="both"/>
        <w:rPr>
          <w:rFonts w:ascii="Times New Roman" w:hAnsi="Times New Roman"/>
          <w:bCs/>
          <w:sz w:val="28"/>
          <w:szCs w:val="24"/>
        </w:rPr>
      </w:pPr>
      <w:r w:rsidRPr="00084622">
        <w:rPr>
          <w:rFonts w:ascii="Times New Roman" w:hAnsi="Times New Roman"/>
          <w:bCs/>
          <w:sz w:val="28"/>
          <w:szCs w:val="24"/>
        </w:rPr>
        <w:t xml:space="preserve">де </w:t>
      </w:r>
      <m:oMath>
        <m:sSub>
          <m:sSubPr>
            <m:ctrlPr>
              <w:rPr>
                <w:rFonts w:ascii="Cambria Math" w:hAnsi="Cambria Math"/>
                <w:bCs/>
                <w:i/>
                <w:sz w:val="28"/>
                <w:szCs w:val="24"/>
                <w:lang w:val="en-US"/>
              </w:rPr>
            </m:ctrlPr>
          </m:sSubPr>
          <m:e>
            <m:r>
              <w:rPr>
                <w:rFonts w:ascii="Cambria Math" w:hAnsi="Cambria Math"/>
                <w:sz w:val="28"/>
                <w:szCs w:val="24"/>
                <w:lang w:val="en-US"/>
              </w:rPr>
              <m:t>Q</m:t>
            </m:r>
          </m:e>
          <m:sub>
            <m:r>
              <w:rPr>
                <w:rFonts w:ascii="Cambria Math" w:hAnsi="Cambria Math"/>
                <w:sz w:val="28"/>
                <w:szCs w:val="24"/>
                <w:lang w:val="en-US"/>
              </w:rPr>
              <m:t>k</m:t>
            </m:r>
          </m:sub>
        </m:sSub>
      </m:oMath>
      <w:r w:rsidRPr="00084622">
        <w:rPr>
          <w:rFonts w:ascii="Times New Roman" w:hAnsi="Times New Roman"/>
          <w:bCs/>
          <w:sz w:val="28"/>
          <w:szCs w:val="24"/>
        </w:rPr>
        <w:t xml:space="preserve">  - постачання електричної енергії у місяці k, </w:t>
      </w:r>
    </w:p>
    <w:p w14:paraId="059E8EC4" w14:textId="77777777" w:rsidR="00C36ED5" w:rsidRPr="00084622" w:rsidRDefault="00C36ED5" w:rsidP="00C36ED5">
      <w:pPr>
        <w:spacing w:after="0" w:line="276" w:lineRule="auto"/>
        <w:ind w:firstLine="709"/>
        <w:jc w:val="both"/>
        <w:rPr>
          <w:rFonts w:ascii="Times New Roman" w:hAnsi="Times New Roman"/>
          <w:bCs/>
          <w:sz w:val="28"/>
          <w:szCs w:val="24"/>
        </w:rPr>
      </w:pPr>
      <m:oMath>
        <m:r>
          <w:rPr>
            <w:rFonts w:ascii="Cambria Math" w:hAnsi="Cambria Math"/>
            <w:sz w:val="28"/>
            <w:szCs w:val="24"/>
          </w:rPr>
          <m:t>k</m:t>
        </m:r>
      </m:oMath>
      <w:r w:rsidRPr="00084622">
        <w:rPr>
          <w:rFonts w:ascii="Times New Roman" w:hAnsi="Times New Roman"/>
          <w:bCs/>
          <w:sz w:val="28"/>
          <w:szCs w:val="24"/>
        </w:rPr>
        <w:t xml:space="preserve"> – кількість місяців, у яких було постачання електричної енергії.</w:t>
      </w:r>
    </w:p>
    <w:p w14:paraId="2ED7AEAD" w14:textId="77777777" w:rsidR="00C36ED5" w:rsidRPr="00084622" w:rsidRDefault="00C36ED5" w:rsidP="00C36ED5">
      <w:pPr>
        <w:spacing w:after="0" w:line="276" w:lineRule="auto"/>
        <w:ind w:firstLine="709"/>
        <w:jc w:val="both"/>
        <w:rPr>
          <w:rFonts w:ascii="Times New Roman" w:hAnsi="Times New Roman"/>
          <w:sz w:val="28"/>
          <w:szCs w:val="24"/>
        </w:rPr>
      </w:pPr>
      <w:r w:rsidRPr="00084622">
        <w:rPr>
          <w:rFonts w:ascii="Times New Roman" w:hAnsi="Times New Roman"/>
          <w:sz w:val="28"/>
          <w:szCs w:val="24"/>
        </w:rPr>
        <w:t xml:space="preserve">При визначенні обсягів постачання електричної енергії </w:t>
      </w:r>
      <w:r w:rsidRPr="00084622">
        <w:rPr>
          <w:rFonts w:ascii="Times New Roman" w:hAnsi="Times New Roman"/>
          <w:color w:val="000000"/>
          <w:sz w:val="28"/>
          <w:szCs w:val="24"/>
        </w:rPr>
        <w:t>ліцензіати</w:t>
      </w:r>
      <w:r w:rsidRPr="00084622">
        <w:rPr>
          <w:rFonts w:ascii="Times New Roman" w:hAnsi="Times New Roman"/>
          <w:sz w:val="28"/>
          <w:szCs w:val="24"/>
        </w:rPr>
        <w:t xml:space="preserve"> враховують виключно обсяги постачання кінцевим споживачам.</w:t>
      </w:r>
    </w:p>
    <w:p w14:paraId="2354E28A" w14:textId="77777777" w:rsidR="00C36ED5" w:rsidRPr="00084622" w:rsidRDefault="00C36ED5" w:rsidP="00C36ED5">
      <w:pPr>
        <w:spacing w:after="0" w:line="276" w:lineRule="auto"/>
        <w:ind w:firstLine="709"/>
        <w:jc w:val="both"/>
        <w:rPr>
          <w:rFonts w:ascii="Times New Roman" w:hAnsi="Times New Roman"/>
          <w:sz w:val="32"/>
          <w:szCs w:val="24"/>
        </w:rPr>
      </w:pPr>
      <w:r w:rsidRPr="00084622">
        <w:rPr>
          <w:rFonts w:ascii="Times New Roman" w:hAnsi="Times New Roman"/>
          <w:snapToGrid w:val="0"/>
          <w:sz w:val="28"/>
          <w:szCs w:val="24"/>
          <w:lang w:val="uk-UA"/>
        </w:rPr>
        <w:t xml:space="preserve">Віднесення споживачів до відповідної категорії в залежності від </w:t>
      </w:r>
      <w:r w:rsidRPr="00084622">
        <w:rPr>
          <w:rFonts w:ascii="Times New Roman" w:hAnsi="Times New Roman"/>
          <w:snapToGrid w:val="0"/>
          <w:sz w:val="28"/>
          <w:szCs w:val="24"/>
        </w:rPr>
        <w:t xml:space="preserve">річного </w:t>
      </w:r>
      <w:r w:rsidRPr="00084622">
        <w:rPr>
          <w:rFonts w:ascii="Times New Roman" w:hAnsi="Times New Roman"/>
          <w:snapToGrid w:val="0"/>
          <w:sz w:val="28"/>
          <w:szCs w:val="24"/>
          <w:lang w:val="uk-UA"/>
        </w:rPr>
        <w:t xml:space="preserve">обсягу </w:t>
      </w:r>
      <w:r w:rsidRPr="00084622">
        <w:rPr>
          <w:rFonts w:ascii="Times New Roman" w:hAnsi="Times New Roman"/>
          <w:snapToGrid w:val="0"/>
          <w:sz w:val="28"/>
          <w:szCs w:val="24"/>
        </w:rPr>
        <w:t xml:space="preserve">постачання електричної енергії </w:t>
      </w:r>
      <w:r w:rsidRPr="00084622">
        <w:rPr>
          <w:rFonts w:ascii="Times New Roman" w:hAnsi="Times New Roman"/>
          <w:snapToGrid w:val="0"/>
          <w:sz w:val="28"/>
          <w:szCs w:val="24"/>
          <w:lang w:val="uk-UA"/>
        </w:rPr>
        <w:t>здійснюється один раз протягом календарного року</w:t>
      </w:r>
      <w:r w:rsidRPr="00084622">
        <w:rPr>
          <w:rFonts w:ascii="Times New Roman" w:hAnsi="Times New Roman"/>
          <w:snapToGrid w:val="0"/>
          <w:sz w:val="28"/>
          <w:szCs w:val="24"/>
        </w:rPr>
        <w:t>. Не допускається зміна категорії споживача протягом календарного року</w:t>
      </w:r>
      <w:r w:rsidRPr="00084622">
        <w:rPr>
          <w:rFonts w:ascii="Times New Roman" w:hAnsi="Times New Roman"/>
          <w:sz w:val="28"/>
          <w:szCs w:val="24"/>
        </w:rPr>
        <w:t>;</w:t>
      </w:r>
    </w:p>
    <w:p w14:paraId="0A838ABF" w14:textId="77777777" w:rsidR="00C36ED5" w:rsidRPr="00084622" w:rsidRDefault="00C36ED5" w:rsidP="00C36ED5">
      <w:pPr>
        <w:spacing w:after="0" w:line="276" w:lineRule="auto"/>
        <w:ind w:firstLine="709"/>
        <w:jc w:val="both"/>
        <w:rPr>
          <w:rFonts w:ascii="Times New Roman" w:hAnsi="Times New Roman" w:cs="Times New Roman"/>
          <w:sz w:val="28"/>
          <w:lang w:val="uk-UA"/>
        </w:rPr>
      </w:pPr>
    </w:p>
    <w:p w14:paraId="736E8738"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z w:val="28"/>
          <w:lang w:val="uk-UA"/>
        </w:rPr>
        <w:t>3) у графі 3 «Вартість електричної енергії без урахування вартості послуг операторів систем, без ПДВ» відображається інформація щодо вартості постачання електричної енергії споживачам без урахування вартості послуг операторів систем (без ПДВ);</w:t>
      </w:r>
    </w:p>
    <w:p w14:paraId="72465445" w14:textId="77777777" w:rsidR="00C36ED5" w:rsidRPr="00084622" w:rsidRDefault="00C36ED5" w:rsidP="00C36ED5">
      <w:pPr>
        <w:spacing w:after="0" w:line="276" w:lineRule="auto"/>
        <w:ind w:firstLine="709"/>
        <w:jc w:val="both"/>
        <w:rPr>
          <w:rFonts w:ascii="Times New Roman" w:hAnsi="Times New Roman" w:cs="Times New Roman"/>
          <w:sz w:val="28"/>
          <w:lang w:val="uk-UA"/>
        </w:rPr>
      </w:pPr>
    </w:p>
    <w:p w14:paraId="0F1BCEAF"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z w:val="28"/>
          <w:lang w:val="uk-UA"/>
        </w:rPr>
        <w:t>4) у графі 4 «Вартість послуг операторів систем розподілу, без ПДВ» відображається інформація щодо вартості послуг операторів систем розподілу (без ПДВ), яка визначається як сума добутків обсягів споживання електричної енергії на тарифи на розподіл електричної енергії (без ПДВ) відповідних операторів систем розподілу та добутків обсягів споживання електричної енергії на плату за послуги оператора малої системи розподілу відповідних операторів малих систем розподілу;</w:t>
      </w:r>
    </w:p>
    <w:p w14:paraId="38D4CD8A" w14:textId="77777777" w:rsidR="00C36ED5" w:rsidRPr="00084622" w:rsidRDefault="00C36ED5" w:rsidP="00C36ED5">
      <w:pPr>
        <w:spacing w:after="0" w:line="276" w:lineRule="auto"/>
        <w:ind w:firstLine="709"/>
        <w:jc w:val="both"/>
        <w:rPr>
          <w:rFonts w:ascii="Times New Roman" w:hAnsi="Times New Roman" w:cs="Times New Roman"/>
          <w:sz w:val="28"/>
          <w:lang w:val="uk-UA"/>
        </w:rPr>
      </w:pPr>
    </w:p>
    <w:p w14:paraId="56DE094A"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z w:val="28"/>
          <w:lang w:val="uk-UA"/>
        </w:rPr>
        <w:t xml:space="preserve">5) у рядку 010 «Побутові споживачі, усього, у тому числі з річним обсягом постачання:» </w:t>
      </w:r>
      <w:r w:rsidRPr="00084622">
        <w:rPr>
          <w:rFonts w:ascii="Times New Roman" w:hAnsi="Times New Roman" w:cs="Times New Roman"/>
          <w:color w:val="000000" w:themeColor="text1"/>
          <w:sz w:val="28"/>
          <w:lang w:val="uk-UA"/>
        </w:rPr>
        <w:t xml:space="preserve">зазначаються сумарні дані щодо </w:t>
      </w:r>
      <w:r w:rsidRPr="00084622">
        <w:rPr>
          <w:rFonts w:ascii="Times New Roman" w:hAnsi="Times New Roman" w:cs="Times New Roman"/>
          <w:sz w:val="28"/>
          <w:lang w:val="uk-UA"/>
        </w:rPr>
        <w:t xml:space="preserve">кількості побутових споживачів, обсягів та вартості постачання електричної енергії побутовим споживачам. Значення цього рядка дорівнює сумі значень рядків 011 </w:t>
      </w:r>
      <w:r w:rsidRPr="00084622">
        <w:rPr>
          <w:rFonts w:ascii="Times New Roman" w:hAnsi="Times New Roman" w:cs="Times New Roman"/>
          <w:color w:val="000000" w:themeColor="text1"/>
          <w:sz w:val="28"/>
          <w:lang w:val="uk-UA"/>
        </w:rPr>
        <w:t xml:space="preserve">– </w:t>
      </w:r>
      <w:r w:rsidRPr="00084622">
        <w:rPr>
          <w:rFonts w:ascii="Times New Roman" w:hAnsi="Times New Roman" w:cs="Times New Roman"/>
          <w:sz w:val="28"/>
          <w:lang w:val="uk-UA"/>
        </w:rPr>
        <w:t xml:space="preserve">015; </w:t>
      </w:r>
    </w:p>
    <w:p w14:paraId="1F1733C7" w14:textId="77777777" w:rsidR="00C36ED5" w:rsidRPr="00084622" w:rsidRDefault="00C36ED5" w:rsidP="00C36ED5">
      <w:pPr>
        <w:spacing w:after="0" w:line="276" w:lineRule="auto"/>
        <w:ind w:firstLine="709"/>
        <w:jc w:val="both"/>
        <w:rPr>
          <w:rFonts w:ascii="Times New Roman" w:hAnsi="Times New Roman" w:cs="Times New Roman"/>
          <w:sz w:val="28"/>
          <w:lang w:val="uk-UA"/>
        </w:rPr>
      </w:pPr>
    </w:p>
    <w:p w14:paraId="582A0F3D"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z w:val="28"/>
          <w:lang w:val="uk-UA"/>
        </w:rPr>
        <w:t xml:space="preserve">6) у рядку 020 «Непобутові споживачі усього у тому числі з річним обсягом постачання:» </w:t>
      </w:r>
      <w:r w:rsidRPr="00084622">
        <w:rPr>
          <w:rFonts w:ascii="Times New Roman" w:hAnsi="Times New Roman" w:cs="Times New Roman"/>
          <w:color w:val="000000" w:themeColor="text1"/>
          <w:sz w:val="28"/>
          <w:lang w:val="uk-UA"/>
        </w:rPr>
        <w:t xml:space="preserve">зазначаються сумарні дані щодо </w:t>
      </w:r>
      <w:r w:rsidRPr="00084622">
        <w:rPr>
          <w:rFonts w:ascii="Times New Roman" w:hAnsi="Times New Roman" w:cs="Times New Roman"/>
          <w:sz w:val="28"/>
          <w:lang w:val="uk-UA"/>
        </w:rPr>
        <w:t xml:space="preserve">кількості непобутових споживачів, обсягів, вартості постачання електричної енергії непобутовим споживачам та вартості послуг операторів систем розподілу. Значення цього рядка дорівнює сумі значень рядків 021 </w:t>
      </w:r>
      <w:r w:rsidRPr="00084622">
        <w:rPr>
          <w:rFonts w:ascii="Times New Roman" w:hAnsi="Times New Roman" w:cs="Times New Roman"/>
          <w:color w:val="000000" w:themeColor="text1"/>
          <w:sz w:val="28"/>
          <w:lang w:val="uk-UA"/>
        </w:rPr>
        <w:t xml:space="preserve">– </w:t>
      </w:r>
      <w:r w:rsidRPr="00084622">
        <w:rPr>
          <w:rFonts w:ascii="Times New Roman" w:hAnsi="Times New Roman" w:cs="Times New Roman"/>
          <w:sz w:val="28"/>
          <w:lang w:val="uk-UA"/>
        </w:rPr>
        <w:t>027.</w:t>
      </w:r>
    </w:p>
    <w:p w14:paraId="60978EF8" w14:textId="77777777" w:rsidR="00C36ED5" w:rsidRPr="00084622" w:rsidRDefault="00C36ED5" w:rsidP="00C36ED5">
      <w:pPr>
        <w:spacing w:after="0" w:line="276" w:lineRule="auto"/>
        <w:ind w:firstLine="709"/>
        <w:jc w:val="both"/>
        <w:rPr>
          <w:rFonts w:ascii="Times New Roman" w:hAnsi="Times New Roman" w:cs="Times New Roman"/>
          <w:sz w:val="28"/>
          <w:lang w:val="uk-UA"/>
        </w:rPr>
      </w:pPr>
    </w:p>
    <w:p w14:paraId="3154AAF1"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z w:val="28"/>
          <w:lang w:val="uk-UA"/>
        </w:rPr>
        <w:t xml:space="preserve">7) показники наводяться таким чином: </w:t>
      </w:r>
    </w:p>
    <w:p w14:paraId="182EBA24"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z w:val="28"/>
          <w:lang w:val="uk-UA"/>
        </w:rPr>
        <w:t>кількість споживачів – в од. (ціле число);</w:t>
      </w:r>
    </w:p>
    <w:p w14:paraId="53A7C1B5"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z w:val="28"/>
          <w:lang w:val="uk-UA"/>
        </w:rPr>
        <w:t>вартісні показники – у тис. грн без ПДВ (два знаки після коми);</w:t>
      </w:r>
    </w:p>
    <w:p w14:paraId="65BF134B"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z w:val="28"/>
          <w:lang w:val="uk-UA"/>
        </w:rPr>
        <w:t>обсяг електричної енергії – у тис. кВт·год (три знаки після коми).</w:t>
      </w:r>
    </w:p>
    <w:p w14:paraId="6E541C94" w14:textId="77777777" w:rsidR="00C36ED5" w:rsidRPr="00084622" w:rsidRDefault="00C36ED5" w:rsidP="00C36ED5">
      <w:pPr>
        <w:spacing w:after="0" w:line="276" w:lineRule="auto"/>
        <w:ind w:firstLine="709"/>
        <w:jc w:val="both"/>
        <w:rPr>
          <w:rFonts w:ascii="Times New Roman" w:hAnsi="Times New Roman" w:cs="Times New Roman"/>
          <w:sz w:val="28"/>
          <w:lang w:val="uk-UA"/>
        </w:rPr>
      </w:pPr>
    </w:p>
    <w:p w14:paraId="2BD94F08"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z w:val="28"/>
          <w:lang w:val="uk-UA"/>
        </w:rPr>
        <w:t xml:space="preserve">3.4. Додаток 2 «Інформація про постачання електричної енергії споживачам (щодо споживачів оплата за послуги операторів систем розподілу яких забезпечується споживачем)» заповнюється по споживачах, щодо яких оплата за послуги операторів систем розподілу не забезпечується електропостачальником. </w:t>
      </w:r>
    </w:p>
    <w:p w14:paraId="4AB9A3B9"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z w:val="28"/>
          <w:lang w:val="uk-UA"/>
        </w:rPr>
        <w:t xml:space="preserve">У додатку 3 відображаються дані щодо кількості споживачів електричної енергії, обсягів та вартості постачання електричної енергії споживачам протягом звітного кварталу: </w:t>
      </w:r>
    </w:p>
    <w:p w14:paraId="4ECAC46D" w14:textId="77777777" w:rsidR="00C36ED5" w:rsidRPr="00084622" w:rsidRDefault="00C36ED5" w:rsidP="00C36ED5">
      <w:pPr>
        <w:spacing w:after="0" w:line="276" w:lineRule="auto"/>
        <w:ind w:firstLine="709"/>
        <w:jc w:val="both"/>
        <w:rPr>
          <w:rFonts w:ascii="Times New Roman" w:hAnsi="Times New Roman" w:cs="Times New Roman"/>
          <w:sz w:val="28"/>
          <w:lang w:val="uk-UA"/>
        </w:rPr>
      </w:pPr>
    </w:p>
    <w:p w14:paraId="53DE69BB" w14:textId="77777777" w:rsidR="00C36ED5" w:rsidRPr="00084622" w:rsidRDefault="00C36ED5" w:rsidP="00C36ED5">
      <w:pPr>
        <w:spacing w:after="0" w:line="276" w:lineRule="auto"/>
        <w:ind w:firstLine="709"/>
        <w:jc w:val="both"/>
        <w:rPr>
          <w:rFonts w:ascii="Times New Roman" w:hAnsi="Times New Roman" w:cs="Times New Roman"/>
          <w:snapToGrid w:val="0"/>
          <w:sz w:val="28"/>
          <w:lang w:val="uk-UA"/>
        </w:rPr>
      </w:pPr>
      <w:r w:rsidRPr="00084622">
        <w:rPr>
          <w:rFonts w:ascii="Times New Roman" w:hAnsi="Times New Roman" w:cs="Times New Roman"/>
          <w:snapToGrid w:val="0"/>
          <w:sz w:val="28"/>
          <w:lang w:val="uk-UA"/>
        </w:rPr>
        <w:lastRenderedPageBreak/>
        <w:t>1) у графі 1 «Кількість споживачів» відображається інформація щодо кількості споживачів, яким здійснювалося постачання електричної енергії протягом звітного періоду;</w:t>
      </w:r>
    </w:p>
    <w:p w14:paraId="168B0680" w14:textId="77777777" w:rsidR="00C36ED5" w:rsidRPr="00084622" w:rsidRDefault="00C36ED5" w:rsidP="00C36ED5">
      <w:pPr>
        <w:spacing w:after="0" w:line="276" w:lineRule="auto"/>
        <w:ind w:firstLine="709"/>
        <w:jc w:val="both"/>
        <w:rPr>
          <w:rFonts w:ascii="Times New Roman" w:hAnsi="Times New Roman" w:cs="Times New Roman"/>
          <w:snapToGrid w:val="0"/>
          <w:sz w:val="28"/>
          <w:lang w:val="uk-UA"/>
        </w:rPr>
      </w:pPr>
    </w:p>
    <w:p w14:paraId="6E850EA0"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napToGrid w:val="0"/>
          <w:sz w:val="28"/>
          <w:lang w:val="uk-UA"/>
        </w:rPr>
        <w:t xml:space="preserve">2) у графі 2 «Обсяг постачання електричної енергії» відображається інформація щодо обсягу постачання електричної енергії споживачам, зокрема в </w:t>
      </w:r>
      <w:r w:rsidRPr="00084622">
        <w:rPr>
          <w:rFonts w:ascii="Times New Roman" w:hAnsi="Times New Roman" w:cs="Times New Roman"/>
          <w:sz w:val="28"/>
          <w:lang w:val="uk-UA"/>
        </w:rPr>
        <w:t>розрізі груп споживачів, які визначені за диференційованими обсягами річного постачання електричної енергії (рядки 011</w:t>
      </w:r>
      <w:r w:rsidRPr="00084622">
        <w:rPr>
          <w:rFonts w:ascii="Times New Roman" w:hAnsi="Times New Roman" w:cs="Times New Roman"/>
          <w:color w:val="000000" w:themeColor="text1"/>
          <w:sz w:val="28"/>
          <w:lang w:val="uk-UA"/>
        </w:rPr>
        <w:t xml:space="preserve">– </w:t>
      </w:r>
      <w:r w:rsidRPr="00084622">
        <w:rPr>
          <w:rFonts w:ascii="Times New Roman" w:hAnsi="Times New Roman" w:cs="Times New Roman"/>
          <w:sz w:val="28"/>
          <w:lang w:val="uk-UA"/>
        </w:rPr>
        <w:t xml:space="preserve">015 та 021 </w:t>
      </w:r>
      <w:r w:rsidRPr="00084622">
        <w:rPr>
          <w:rFonts w:ascii="Times New Roman" w:hAnsi="Times New Roman" w:cs="Times New Roman"/>
          <w:color w:val="000000" w:themeColor="text1"/>
          <w:sz w:val="28"/>
          <w:lang w:val="uk-UA"/>
        </w:rPr>
        <w:t xml:space="preserve">– </w:t>
      </w:r>
      <w:r w:rsidRPr="00084622">
        <w:rPr>
          <w:rFonts w:ascii="Times New Roman" w:hAnsi="Times New Roman" w:cs="Times New Roman"/>
          <w:sz w:val="28"/>
          <w:lang w:val="uk-UA"/>
        </w:rPr>
        <w:t>027).</w:t>
      </w:r>
    </w:p>
    <w:p w14:paraId="018EFDD3" w14:textId="77777777" w:rsidR="00C36ED5" w:rsidRPr="00084622" w:rsidRDefault="00C36ED5" w:rsidP="00C36ED5">
      <w:pPr>
        <w:spacing w:after="0" w:line="276" w:lineRule="auto"/>
        <w:ind w:firstLine="709"/>
        <w:jc w:val="both"/>
        <w:rPr>
          <w:rFonts w:ascii="Times New Roman" w:hAnsi="Times New Roman"/>
          <w:bCs/>
          <w:snapToGrid w:val="0"/>
          <w:sz w:val="28"/>
          <w:szCs w:val="24"/>
        </w:rPr>
      </w:pPr>
      <w:r w:rsidRPr="00084622">
        <w:rPr>
          <w:rFonts w:ascii="Times New Roman" w:hAnsi="Times New Roman"/>
          <w:snapToGrid w:val="0"/>
          <w:sz w:val="28"/>
          <w:szCs w:val="24"/>
        </w:rPr>
        <w:t xml:space="preserve">Значення обсягу річного постачання, на підставі якого споживачі розподіляються за групами, розраховуються на основі обсягів постачання електричної енергії відповідним споживачам </w:t>
      </w:r>
      <w:r w:rsidRPr="00084622">
        <w:rPr>
          <w:rFonts w:ascii="Times New Roman" w:hAnsi="Times New Roman"/>
          <w:bCs/>
          <w:snapToGrid w:val="0"/>
          <w:sz w:val="28"/>
          <w:szCs w:val="24"/>
        </w:rPr>
        <w:t>за останній календарний рік.</w:t>
      </w:r>
    </w:p>
    <w:p w14:paraId="65AC3821" w14:textId="77777777" w:rsidR="00C36ED5" w:rsidRPr="00084622" w:rsidRDefault="00C36ED5" w:rsidP="00C36ED5">
      <w:pPr>
        <w:spacing w:after="0" w:line="276" w:lineRule="auto"/>
        <w:ind w:firstLine="709"/>
        <w:jc w:val="both"/>
        <w:rPr>
          <w:rFonts w:ascii="Times New Roman" w:hAnsi="Times New Roman"/>
          <w:bCs/>
          <w:sz w:val="28"/>
          <w:szCs w:val="24"/>
        </w:rPr>
      </w:pPr>
      <w:r w:rsidRPr="00084622">
        <w:rPr>
          <w:rFonts w:ascii="Times New Roman" w:hAnsi="Times New Roman"/>
          <w:bCs/>
          <w:sz w:val="28"/>
          <w:szCs w:val="24"/>
        </w:rPr>
        <w:t xml:space="preserve">У разі відсутності даних </w:t>
      </w:r>
      <w:r w:rsidRPr="00084622">
        <w:rPr>
          <w:rFonts w:ascii="Times New Roman" w:hAnsi="Times New Roman"/>
          <w:bCs/>
          <w:snapToGrid w:val="0"/>
          <w:sz w:val="28"/>
          <w:szCs w:val="24"/>
        </w:rPr>
        <w:t>за останній календарний рік</w:t>
      </w:r>
      <w:r w:rsidRPr="00084622">
        <w:rPr>
          <w:rFonts w:ascii="Times New Roman" w:hAnsi="Times New Roman"/>
          <w:bCs/>
          <w:sz w:val="28"/>
          <w:szCs w:val="24"/>
        </w:rPr>
        <w:t>, значення річних обсягів постачання електричної енергії розраховується, виходячи із середньомісячного обсягу постачання електроенергії</w:t>
      </w:r>
      <w:r w:rsidRPr="00084622">
        <w:rPr>
          <w:rFonts w:ascii="Times New Roman" w:hAnsi="Times New Roman"/>
          <w:bCs/>
          <w:sz w:val="28"/>
          <w:szCs w:val="24"/>
          <w:lang w:val="uk-UA"/>
        </w:rPr>
        <w:t xml:space="preserve"> за період протягом якого здійснювалося постачання, за формулою</w:t>
      </w:r>
      <w:r w:rsidRPr="00084622">
        <w:rPr>
          <w:rFonts w:ascii="Times New Roman" w:hAnsi="Times New Roman"/>
          <w:bCs/>
          <w:sz w:val="28"/>
          <w:szCs w:val="24"/>
        </w:rPr>
        <w:t>:</w:t>
      </w:r>
    </w:p>
    <w:p w14:paraId="1AF237D6" w14:textId="77777777" w:rsidR="00C36ED5" w:rsidRPr="00084622" w:rsidRDefault="00000000" w:rsidP="00C36ED5">
      <w:pPr>
        <w:spacing w:after="0" w:line="276" w:lineRule="auto"/>
        <w:ind w:firstLine="709"/>
        <w:jc w:val="center"/>
        <w:rPr>
          <w:rFonts w:ascii="Times New Roman" w:hAnsi="Times New Roman"/>
          <w:bCs/>
          <w:i/>
          <w:sz w:val="28"/>
          <w:szCs w:val="24"/>
        </w:rPr>
      </w:pPr>
      <m:oMath>
        <m:sSub>
          <m:sSubPr>
            <m:ctrlPr>
              <w:rPr>
                <w:rFonts w:ascii="Cambria Math" w:hAnsi="Cambria Math"/>
                <w:bCs/>
                <w:i/>
                <w:sz w:val="28"/>
                <w:szCs w:val="24"/>
              </w:rPr>
            </m:ctrlPr>
          </m:sSubPr>
          <m:e>
            <m:r>
              <w:rPr>
                <w:rFonts w:ascii="Cambria Math" w:hAnsi="Cambria Math"/>
                <w:sz w:val="28"/>
                <w:szCs w:val="24"/>
              </w:rPr>
              <m:t>Q</m:t>
            </m:r>
          </m:e>
          <m:sub>
            <m:r>
              <w:rPr>
                <w:rFonts w:ascii="Cambria Math" w:hAnsi="Cambria Math"/>
                <w:sz w:val="28"/>
                <w:szCs w:val="24"/>
                <w:lang w:val="uk-UA"/>
              </w:rPr>
              <m:t>рік</m:t>
            </m:r>
            <m:r>
              <w:rPr>
                <w:rFonts w:ascii="Cambria Math" w:hAnsi="Cambria Math"/>
                <w:sz w:val="28"/>
                <w:szCs w:val="24"/>
              </w:rPr>
              <m:t>=</m:t>
            </m:r>
          </m:sub>
        </m:sSub>
        <m:f>
          <m:fPr>
            <m:ctrlPr>
              <w:rPr>
                <w:rFonts w:ascii="Cambria Math" w:hAnsi="Cambria Math"/>
                <w:bCs/>
                <w:i/>
                <w:sz w:val="28"/>
                <w:szCs w:val="24"/>
              </w:rPr>
            </m:ctrlPr>
          </m:fPr>
          <m:num>
            <m:d>
              <m:dPr>
                <m:ctrlPr>
                  <w:rPr>
                    <w:rFonts w:ascii="Cambria Math" w:hAnsi="Cambria Math"/>
                    <w:bCs/>
                    <w:i/>
                    <w:sz w:val="28"/>
                    <w:szCs w:val="24"/>
                    <w:lang w:val="en-US"/>
                  </w:rPr>
                </m:ctrlPr>
              </m:dPr>
              <m:e>
                <m:nary>
                  <m:naryPr>
                    <m:chr m:val="∑"/>
                    <m:limLoc m:val="undOvr"/>
                    <m:subHide m:val="1"/>
                    <m:supHide m:val="1"/>
                    <m:ctrlPr>
                      <w:rPr>
                        <w:rFonts w:ascii="Cambria Math" w:hAnsi="Cambria Math"/>
                        <w:bCs/>
                        <w:i/>
                        <w:sz w:val="28"/>
                        <w:szCs w:val="24"/>
                        <w:lang w:val="en-US"/>
                      </w:rPr>
                    </m:ctrlPr>
                  </m:naryPr>
                  <m:sub/>
                  <m:sup/>
                  <m:e>
                    <m:sSub>
                      <m:sSubPr>
                        <m:ctrlPr>
                          <w:rPr>
                            <w:rFonts w:ascii="Cambria Math" w:hAnsi="Cambria Math"/>
                            <w:bCs/>
                            <w:i/>
                            <w:sz w:val="28"/>
                            <w:szCs w:val="24"/>
                            <w:lang w:val="en-US"/>
                          </w:rPr>
                        </m:ctrlPr>
                      </m:sSubPr>
                      <m:e>
                        <m:r>
                          <w:rPr>
                            <w:rFonts w:ascii="Cambria Math" w:hAnsi="Cambria Math"/>
                            <w:sz w:val="28"/>
                            <w:szCs w:val="24"/>
                            <w:lang w:val="en-US"/>
                          </w:rPr>
                          <m:t>Q</m:t>
                        </m:r>
                      </m:e>
                      <m:sub>
                        <m:r>
                          <w:rPr>
                            <w:rFonts w:ascii="Cambria Math" w:hAnsi="Cambria Math"/>
                            <w:sz w:val="28"/>
                            <w:szCs w:val="24"/>
                            <w:lang w:val="en-US"/>
                          </w:rPr>
                          <m:t>k</m:t>
                        </m:r>
                      </m:sub>
                    </m:sSub>
                  </m:e>
                </m:nary>
              </m:e>
            </m:d>
          </m:num>
          <m:den>
            <m:r>
              <w:rPr>
                <w:rFonts w:ascii="Cambria Math" w:hAnsi="Cambria Math"/>
                <w:sz w:val="28"/>
                <w:szCs w:val="24"/>
              </w:rPr>
              <m:t>k</m:t>
            </m:r>
          </m:den>
        </m:f>
        <m:r>
          <w:rPr>
            <w:rFonts w:ascii="Cambria Math" w:hAnsi="Cambria Math"/>
            <w:sz w:val="28"/>
            <w:szCs w:val="24"/>
          </w:rPr>
          <m:t>×12</m:t>
        </m:r>
      </m:oMath>
      <w:r w:rsidR="00C36ED5" w:rsidRPr="00084622">
        <w:rPr>
          <w:rFonts w:ascii="Times New Roman" w:eastAsiaTheme="minorEastAsia" w:hAnsi="Times New Roman"/>
          <w:bCs/>
          <w:i/>
          <w:sz w:val="28"/>
          <w:szCs w:val="24"/>
        </w:rPr>
        <w:t>,</w:t>
      </w:r>
    </w:p>
    <w:p w14:paraId="5954D69F" w14:textId="77777777" w:rsidR="00C36ED5" w:rsidRPr="00084622" w:rsidRDefault="00C36ED5" w:rsidP="00C36ED5">
      <w:pPr>
        <w:spacing w:after="0" w:line="276" w:lineRule="auto"/>
        <w:ind w:firstLine="709"/>
        <w:jc w:val="both"/>
        <w:rPr>
          <w:rFonts w:ascii="Times New Roman" w:hAnsi="Times New Roman"/>
          <w:bCs/>
          <w:sz w:val="28"/>
          <w:szCs w:val="24"/>
        </w:rPr>
      </w:pPr>
      <w:r w:rsidRPr="00084622">
        <w:rPr>
          <w:rFonts w:ascii="Times New Roman" w:hAnsi="Times New Roman"/>
          <w:bCs/>
          <w:sz w:val="28"/>
          <w:szCs w:val="24"/>
        </w:rPr>
        <w:t xml:space="preserve">де </w:t>
      </w:r>
      <m:oMath>
        <m:sSub>
          <m:sSubPr>
            <m:ctrlPr>
              <w:rPr>
                <w:rFonts w:ascii="Cambria Math" w:hAnsi="Cambria Math"/>
                <w:bCs/>
                <w:i/>
                <w:sz w:val="28"/>
                <w:szCs w:val="24"/>
                <w:lang w:val="en-US"/>
              </w:rPr>
            </m:ctrlPr>
          </m:sSubPr>
          <m:e>
            <m:r>
              <w:rPr>
                <w:rFonts w:ascii="Cambria Math" w:hAnsi="Cambria Math"/>
                <w:sz w:val="28"/>
                <w:szCs w:val="24"/>
                <w:lang w:val="en-US"/>
              </w:rPr>
              <m:t>Q</m:t>
            </m:r>
          </m:e>
          <m:sub>
            <m:r>
              <w:rPr>
                <w:rFonts w:ascii="Cambria Math" w:hAnsi="Cambria Math"/>
                <w:sz w:val="28"/>
                <w:szCs w:val="24"/>
                <w:lang w:val="en-US"/>
              </w:rPr>
              <m:t>k</m:t>
            </m:r>
          </m:sub>
        </m:sSub>
      </m:oMath>
      <w:r w:rsidRPr="00084622">
        <w:rPr>
          <w:rFonts w:ascii="Times New Roman" w:hAnsi="Times New Roman"/>
          <w:bCs/>
          <w:sz w:val="28"/>
          <w:szCs w:val="24"/>
        </w:rPr>
        <w:t xml:space="preserve">  - постачання електричної енергії у місяці k, </w:t>
      </w:r>
    </w:p>
    <w:p w14:paraId="26BA6F59" w14:textId="77777777" w:rsidR="00C36ED5" w:rsidRPr="00084622" w:rsidRDefault="00C36ED5" w:rsidP="00C36ED5">
      <w:pPr>
        <w:spacing w:after="0" w:line="276" w:lineRule="auto"/>
        <w:ind w:firstLine="709"/>
        <w:jc w:val="both"/>
        <w:rPr>
          <w:rFonts w:ascii="Times New Roman" w:hAnsi="Times New Roman"/>
          <w:bCs/>
          <w:sz w:val="28"/>
          <w:szCs w:val="24"/>
        </w:rPr>
      </w:pPr>
      <m:oMath>
        <m:r>
          <w:rPr>
            <w:rFonts w:ascii="Cambria Math" w:hAnsi="Cambria Math"/>
            <w:sz w:val="28"/>
            <w:szCs w:val="24"/>
          </w:rPr>
          <m:t>k</m:t>
        </m:r>
      </m:oMath>
      <w:r w:rsidRPr="00084622">
        <w:rPr>
          <w:rFonts w:ascii="Times New Roman" w:hAnsi="Times New Roman"/>
          <w:bCs/>
          <w:sz w:val="28"/>
          <w:szCs w:val="24"/>
        </w:rPr>
        <w:t xml:space="preserve"> – кількість місяців, у яких було постачання електричної енергії.</w:t>
      </w:r>
    </w:p>
    <w:p w14:paraId="594E7E26" w14:textId="77777777" w:rsidR="00C36ED5" w:rsidRPr="00084622" w:rsidRDefault="00C36ED5" w:rsidP="00C36ED5">
      <w:pPr>
        <w:spacing w:after="0" w:line="276" w:lineRule="auto"/>
        <w:ind w:firstLine="709"/>
        <w:jc w:val="both"/>
        <w:rPr>
          <w:rFonts w:ascii="Times New Roman" w:hAnsi="Times New Roman"/>
          <w:sz w:val="28"/>
          <w:szCs w:val="24"/>
        </w:rPr>
      </w:pPr>
      <w:r w:rsidRPr="00084622">
        <w:rPr>
          <w:rFonts w:ascii="Times New Roman" w:hAnsi="Times New Roman"/>
          <w:sz w:val="28"/>
          <w:szCs w:val="24"/>
        </w:rPr>
        <w:t xml:space="preserve">При визначенні обсягів постачання електричної енергії </w:t>
      </w:r>
      <w:r w:rsidRPr="00084622">
        <w:rPr>
          <w:rFonts w:ascii="Times New Roman" w:hAnsi="Times New Roman"/>
          <w:color w:val="000000"/>
          <w:sz w:val="28"/>
          <w:szCs w:val="24"/>
        </w:rPr>
        <w:t>ліцензіати</w:t>
      </w:r>
      <w:r w:rsidRPr="00084622">
        <w:rPr>
          <w:rFonts w:ascii="Times New Roman" w:hAnsi="Times New Roman"/>
          <w:sz w:val="28"/>
          <w:szCs w:val="24"/>
        </w:rPr>
        <w:t xml:space="preserve"> враховують виключно обсяги постачання кінцевим споживачам.</w:t>
      </w:r>
    </w:p>
    <w:p w14:paraId="334A6952" w14:textId="77777777" w:rsidR="00C36ED5" w:rsidRPr="00084622" w:rsidRDefault="00C36ED5" w:rsidP="00C36ED5">
      <w:pPr>
        <w:spacing w:after="0" w:line="276" w:lineRule="auto"/>
        <w:ind w:firstLine="709"/>
        <w:jc w:val="both"/>
        <w:rPr>
          <w:rFonts w:ascii="Times New Roman" w:hAnsi="Times New Roman"/>
          <w:sz w:val="32"/>
          <w:szCs w:val="24"/>
        </w:rPr>
      </w:pPr>
      <w:r w:rsidRPr="00084622">
        <w:rPr>
          <w:rFonts w:ascii="Times New Roman" w:hAnsi="Times New Roman"/>
          <w:snapToGrid w:val="0"/>
          <w:sz w:val="28"/>
          <w:szCs w:val="24"/>
          <w:lang w:val="uk-UA"/>
        </w:rPr>
        <w:t xml:space="preserve">Віднесення споживачів до відповідної категорії в залежності від </w:t>
      </w:r>
      <w:r w:rsidRPr="00084622">
        <w:rPr>
          <w:rFonts w:ascii="Times New Roman" w:hAnsi="Times New Roman"/>
          <w:snapToGrid w:val="0"/>
          <w:sz w:val="28"/>
          <w:szCs w:val="24"/>
        </w:rPr>
        <w:t xml:space="preserve">річного </w:t>
      </w:r>
      <w:r w:rsidRPr="00084622">
        <w:rPr>
          <w:rFonts w:ascii="Times New Roman" w:hAnsi="Times New Roman"/>
          <w:snapToGrid w:val="0"/>
          <w:sz w:val="28"/>
          <w:szCs w:val="24"/>
          <w:lang w:val="uk-UA"/>
        </w:rPr>
        <w:t xml:space="preserve">обсягу </w:t>
      </w:r>
      <w:r w:rsidRPr="00084622">
        <w:rPr>
          <w:rFonts w:ascii="Times New Roman" w:hAnsi="Times New Roman"/>
          <w:snapToGrid w:val="0"/>
          <w:sz w:val="28"/>
          <w:szCs w:val="24"/>
        </w:rPr>
        <w:t xml:space="preserve">постачання електричної енергії </w:t>
      </w:r>
      <w:r w:rsidRPr="00084622">
        <w:rPr>
          <w:rFonts w:ascii="Times New Roman" w:hAnsi="Times New Roman"/>
          <w:snapToGrid w:val="0"/>
          <w:sz w:val="28"/>
          <w:szCs w:val="24"/>
          <w:lang w:val="uk-UA"/>
        </w:rPr>
        <w:t>здійснюється один раз протягом календарного року</w:t>
      </w:r>
      <w:r w:rsidRPr="00084622">
        <w:rPr>
          <w:rFonts w:ascii="Times New Roman" w:hAnsi="Times New Roman"/>
          <w:snapToGrid w:val="0"/>
          <w:sz w:val="28"/>
          <w:szCs w:val="24"/>
        </w:rPr>
        <w:t>. Не допускається зміна категорії споживача протягом календарного року</w:t>
      </w:r>
      <w:r w:rsidRPr="00084622">
        <w:rPr>
          <w:rFonts w:ascii="Times New Roman" w:hAnsi="Times New Roman"/>
          <w:sz w:val="28"/>
          <w:szCs w:val="24"/>
        </w:rPr>
        <w:t>;</w:t>
      </w:r>
    </w:p>
    <w:p w14:paraId="48B74FBF" w14:textId="77777777" w:rsidR="00C36ED5" w:rsidRPr="00084622" w:rsidRDefault="00C36ED5" w:rsidP="00C36ED5">
      <w:pPr>
        <w:spacing w:after="0" w:line="276" w:lineRule="auto"/>
        <w:ind w:firstLine="709"/>
        <w:jc w:val="both"/>
        <w:rPr>
          <w:rFonts w:ascii="Times New Roman" w:hAnsi="Times New Roman" w:cs="Times New Roman"/>
          <w:sz w:val="28"/>
          <w:lang w:val="uk-UA"/>
        </w:rPr>
      </w:pPr>
    </w:p>
    <w:p w14:paraId="3B7B2DE0"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z w:val="28"/>
          <w:lang w:val="uk-UA"/>
        </w:rPr>
        <w:t>3) у графі 3 «Вартість електричної енергії без урахування вартості послуг операторів систем, без ПДВ» відображається інформація щодо вартості постачання електричної енергії споживачам без урахування вартості послуг операторів систем (без ПДВ);</w:t>
      </w:r>
    </w:p>
    <w:p w14:paraId="7F9BBBE5" w14:textId="77777777" w:rsidR="00C36ED5" w:rsidRPr="00084622" w:rsidRDefault="00C36ED5" w:rsidP="00C36ED5">
      <w:pPr>
        <w:spacing w:after="0" w:line="276" w:lineRule="auto"/>
        <w:ind w:firstLine="709"/>
        <w:jc w:val="both"/>
        <w:rPr>
          <w:rFonts w:ascii="Times New Roman" w:hAnsi="Times New Roman" w:cs="Times New Roman"/>
          <w:sz w:val="28"/>
          <w:lang w:val="uk-UA"/>
        </w:rPr>
      </w:pPr>
    </w:p>
    <w:p w14:paraId="14843203"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z w:val="28"/>
          <w:lang w:val="uk-UA"/>
        </w:rPr>
        <w:t xml:space="preserve">4) у рядку 010 «Побутові споживачі, усього, у тому числі з річним обсягом постачання:» </w:t>
      </w:r>
      <w:r w:rsidRPr="00084622">
        <w:rPr>
          <w:rFonts w:ascii="Times New Roman" w:hAnsi="Times New Roman" w:cs="Times New Roman"/>
          <w:color w:val="000000" w:themeColor="text1"/>
          <w:sz w:val="28"/>
          <w:lang w:val="uk-UA"/>
        </w:rPr>
        <w:t xml:space="preserve">зазначаються сумарні дані щодо </w:t>
      </w:r>
      <w:r w:rsidRPr="00084622">
        <w:rPr>
          <w:rFonts w:ascii="Times New Roman" w:hAnsi="Times New Roman" w:cs="Times New Roman"/>
          <w:sz w:val="28"/>
          <w:lang w:val="uk-UA"/>
        </w:rPr>
        <w:t xml:space="preserve">кількості побутових споживачів, обсягів та вартості постачання електричної енергії побутовим споживачам. Значення цього рядка дорівнює сумі значень рядків 011 </w:t>
      </w:r>
      <w:r w:rsidRPr="00084622">
        <w:rPr>
          <w:rFonts w:ascii="Times New Roman" w:hAnsi="Times New Roman" w:cs="Times New Roman"/>
          <w:color w:val="000000" w:themeColor="text1"/>
          <w:sz w:val="28"/>
          <w:lang w:val="uk-UA"/>
        </w:rPr>
        <w:t xml:space="preserve">– </w:t>
      </w:r>
      <w:r w:rsidRPr="00084622">
        <w:rPr>
          <w:rFonts w:ascii="Times New Roman" w:hAnsi="Times New Roman" w:cs="Times New Roman"/>
          <w:sz w:val="28"/>
          <w:lang w:val="uk-UA"/>
        </w:rPr>
        <w:t xml:space="preserve">015; </w:t>
      </w:r>
    </w:p>
    <w:p w14:paraId="2E7F4D45" w14:textId="77777777" w:rsidR="00C36ED5" w:rsidRPr="00084622" w:rsidRDefault="00C36ED5" w:rsidP="00C36ED5">
      <w:pPr>
        <w:spacing w:after="0" w:line="276" w:lineRule="auto"/>
        <w:ind w:firstLine="709"/>
        <w:jc w:val="both"/>
        <w:rPr>
          <w:rFonts w:ascii="Times New Roman" w:hAnsi="Times New Roman" w:cs="Times New Roman"/>
          <w:sz w:val="28"/>
          <w:lang w:val="uk-UA"/>
        </w:rPr>
      </w:pPr>
    </w:p>
    <w:p w14:paraId="64C42209"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z w:val="28"/>
          <w:lang w:val="uk-UA"/>
        </w:rPr>
        <w:t xml:space="preserve">5) у рядку 020 «Непобутові споживачі, усього, у тому числі з річним обсягом постачання:» </w:t>
      </w:r>
      <w:r w:rsidRPr="00084622">
        <w:rPr>
          <w:rFonts w:ascii="Times New Roman" w:hAnsi="Times New Roman" w:cs="Times New Roman"/>
          <w:color w:val="000000" w:themeColor="text1"/>
          <w:sz w:val="28"/>
          <w:lang w:val="uk-UA"/>
        </w:rPr>
        <w:t xml:space="preserve">зазначаються сумарні дані щодо </w:t>
      </w:r>
      <w:r w:rsidRPr="00084622">
        <w:rPr>
          <w:rFonts w:ascii="Times New Roman" w:hAnsi="Times New Roman" w:cs="Times New Roman"/>
          <w:sz w:val="28"/>
          <w:lang w:val="uk-UA"/>
        </w:rPr>
        <w:t xml:space="preserve">кількості непобутових споживачів, обсягів та вартості постачання електричної енергії непобутовим споживачам. Значення цього рядка дорівнює сумі значень рядків 021 </w:t>
      </w:r>
      <w:r w:rsidRPr="00084622">
        <w:rPr>
          <w:rFonts w:ascii="Times New Roman" w:hAnsi="Times New Roman" w:cs="Times New Roman"/>
          <w:color w:val="000000" w:themeColor="text1"/>
          <w:sz w:val="28"/>
          <w:lang w:val="uk-UA"/>
        </w:rPr>
        <w:t xml:space="preserve">– </w:t>
      </w:r>
      <w:r w:rsidRPr="00084622">
        <w:rPr>
          <w:rFonts w:ascii="Times New Roman" w:hAnsi="Times New Roman" w:cs="Times New Roman"/>
          <w:sz w:val="28"/>
          <w:lang w:val="uk-UA"/>
        </w:rPr>
        <w:t>027.</w:t>
      </w:r>
    </w:p>
    <w:p w14:paraId="58004D82"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z w:val="28"/>
          <w:lang w:val="uk-UA"/>
        </w:rPr>
        <w:lastRenderedPageBreak/>
        <w:t xml:space="preserve">6) показники наводяться таким чином: </w:t>
      </w:r>
    </w:p>
    <w:p w14:paraId="1EAA67D8"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z w:val="28"/>
          <w:lang w:val="uk-UA"/>
        </w:rPr>
        <w:t>кількість споживачів – в од. (ціле число);</w:t>
      </w:r>
    </w:p>
    <w:p w14:paraId="0A5E875D"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z w:val="28"/>
          <w:lang w:val="uk-UA"/>
        </w:rPr>
        <w:t>вартісні показники – у тис. грн без ПДВ (два знаки після коми);</w:t>
      </w:r>
    </w:p>
    <w:p w14:paraId="677BAF9C"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z w:val="28"/>
          <w:lang w:val="uk-UA"/>
        </w:rPr>
        <w:t>обсяг електричної енергії – у тис. кВт·год, (три знаки після коми).</w:t>
      </w:r>
    </w:p>
    <w:p w14:paraId="0F0CCFB0" w14:textId="77777777" w:rsidR="00C36ED5" w:rsidRPr="00084622" w:rsidRDefault="00C36ED5" w:rsidP="00C36ED5">
      <w:pPr>
        <w:tabs>
          <w:tab w:val="left" w:pos="0"/>
        </w:tabs>
        <w:spacing w:after="0" w:line="276" w:lineRule="auto"/>
        <w:jc w:val="both"/>
        <w:rPr>
          <w:rFonts w:ascii="Times New Roman" w:hAnsi="Times New Roman" w:cs="Times New Roman"/>
          <w:color w:val="000000" w:themeColor="text1"/>
          <w:sz w:val="10"/>
          <w:szCs w:val="28"/>
          <w:lang w:val="uk-UA"/>
        </w:rPr>
      </w:pPr>
    </w:p>
    <w:p w14:paraId="79884882"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z w:val="28"/>
          <w:lang w:val="uk-UA"/>
        </w:rPr>
        <w:t>3.5. Додаток 3 «Інформація про постачання електричної енергії споживачам (щодо споживачів оплата за послуги операторів систем розподілу яких частково забезпечується електропостачальником)» заповнюється виключно по споживачах, щодо яких оплата за послуги операторів систем розподілу частково забезпечується електропостачальником.</w:t>
      </w:r>
    </w:p>
    <w:p w14:paraId="7C529E8E"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z w:val="28"/>
          <w:lang w:val="uk-UA"/>
        </w:rPr>
        <w:t xml:space="preserve">У додатку 2 відображаються дані щодо кількості споживачів електричної енергії, обсягів та вартості постачання електричної енергії споживачам протягом звітного кварталу: </w:t>
      </w:r>
    </w:p>
    <w:p w14:paraId="0899AD31" w14:textId="77777777" w:rsidR="00C36ED5" w:rsidRPr="00084622" w:rsidRDefault="00C36ED5" w:rsidP="00C36ED5">
      <w:pPr>
        <w:spacing w:after="0" w:line="276" w:lineRule="auto"/>
        <w:ind w:firstLine="709"/>
        <w:jc w:val="both"/>
        <w:rPr>
          <w:rFonts w:ascii="Times New Roman" w:hAnsi="Times New Roman" w:cs="Times New Roman"/>
          <w:sz w:val="28"/>
          <w:lang w:val="uk-UA"/>
        </w:rPr>
      </w:pPr>
    </w:p>
    <w:p w14:paraId="0A95F12B" w14:textId="77777777" w:rsidR="00C36ED5" w:rsidRPr="00084622" w:rsidRDefault="00C36ED5" w:rsidP="00C36ED5">
      <w:pPr>
        <w:spacing w:after="0" w:line="276" w:lineRule="auto"/>
        <w:ind w:firstLine="709"/>
        <w:jc w:val="both"/>
        <w:rPr>
          <w:rFonts w:ascii="Times New Roman" w:hAnsi="Times New Roman" w:cs="Times New Roman"/>
          <w:snapToGrid w:val="0"/>
          <w:sz w:val="28"/>
          <w:lang w:val="uk-UA"/>
        </w:rPr>
      </w:pPr>
      <w:r w:rsidRPr="00084622">
        <w:rPr>
          <w:rFonts w:ascii="Times New Roman" w:hAnsi="Times New Roman" w:cs="Times New Roman"/>
          <w:snapToGrid w:val="0"/>
          <w:sz w:val="28"/>
          <w:lang w:val="uk-UA"/>
        </w:rPr>
        <w:t>1) у графі 1 «Кількість споживачів» відображається інформація щодо кількості споживачів, яким здійснювалося постачання електричної енергії протягом звітного періоду;</w:t>
      </w:r>
    </w:p>
    <w:p w14:paraId="3551B339" w14:textId="77777777" w:rsidR="00C36ED5" w:rsidRPr="00084622" w:rsidRDefault="00C36ED5" w:rsidP="00C36ED5">
      <w:pPr>
        <w:spacing w:after="0" w:line="276" w:lineRule="auto"/>
        <w:ind w:firstLine="709"/>
        <w:jc w:val="both"/>
        <w:rPr>
          <w:rFonts w:ascii="Times New Roman" w:hAnsi="Times New Roman" w:cs="Times New Roman"/>
          <w:sz w:val="28"/>
          <w:lang w:val="uk-UA"/>
        </w:rPr>
      </w:pPr>
    </w:p>
    <w:p w14:paraId="1A5558D1"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napToGrid w:val="0"/>
          <w:sz w:val="28"/>
          <w:lang w:val="uk-UA"/>
        </w:rPr>
        <w:t xml:space="preserve">2) у графі 2 «Обсяг постачання електричної енергії за який оплата за послуги ОСР забезпечується електропостачальником» відображається інформація щодо обсягу постачання електричної енергії споживачам </w:t>
      </w:r>
      <w:r w:rsidRPr="00084622">
        <w:rPr>
          <w:rFonts w:ascii="Times New Roman" w:hAnsi="Times New Roman" w:cs="Times New Roman"/>
          <w:sz w:val="28"/>
          <w:lang w:val="uk-UA"/>
        </w:rPr>
        <w:t>щодо яких оплата за послуги операторів систем розподілу забезпечується електропостачальником</w:t>
      </w:r>
      <w:r w:rsidRPr="00084622">
        <w:rPr>
          <w:rFonts w:ascii="Times New Roman" w:hAnsi="Times New Roman" w:cs="Times New Roman"/>
          <w:snapToGrid w:val="0"/>
          <w:sz w:val="28"/>
          <w:lang w:val="uk-UA"/>
        </w:rPr>
        <w:t xml:space="preserve">, зокрема в </w:t>
      </w:r>
      <w:r w:rsidRPr="00084622">
        <w:rPr>
          <w:rFonts w:ascii="Times New Roman" w:hAnsi="Times New Roman" w:cs="Times New Roman"/>
          <w:sz w:val="28"/>
          <w:lang w:val="uk-UA"/>
        </w:rPr>
        <w:t>розрізі груп споживачів, які визначені за диференційованими обсягами річного постачання електричної енергії (рядки 011</w:t>
      </w:r>
      <w:r w:rsidRPr="00084622">
        <w:rPr>
          <w:rFonts w:ascii="Times New Roman" w:hAnsi="Times New Roman" w:cs="Times New Roman"/>
          <w:color w:val="000000" w:themeColor="text1"/>
          <w:sz w:val="28"/>
          <w:lang w:val="uk-UA"/>
        </w:rPr>
        <w:t xml:space="preserve">– </w:t>
      </w:r>
      <w:r w:rsidRPr="00084622">
        <w:rPr>
          <w:rFonts w:ascii="Times New Roman" w:hAnsi="Times New Roman" w:cs="Times New Roman"/>
          <w:sz w:val="28"/>
          <w:lang w:val="uk-UA"/>
        </w:rPr>
        <w:t xml:space="preserve">015 та 021 </w:t>
      </w:r>
      <w:r w:rsidRPr="00084622">
        <w:rPr>
          <w:rFonts w:ascii="Times New Roman" w:hAnsi="Times New Roman" w:cs="Times New Roman"/>
          <w:color w:val="000000" w:themeColor="text1"/>
          <w:sz w:val="28"/>
          <w:lang w:val="uk-UA"/>
        </w:rPr>
        <w:t xml:space="preserve">– </w:t>
      </w:r>
      <w:r w:rsidRPr="00084622">
        <w:rPr>
          <w:rFonts w:ascii="Times New Roman" w:hAnsi="Times New Roman" w:cs="Times New Roman"/>
          <w:sz w:val="28"/>
          <w:lang w:val="uk-UA"/>
        </w:rPr>
        <w:t>027).</w:t>
      </w:r>
    </w:p>
    <w:p w14:paraId="573D0BDD" w14:textId="77777777" w:rsidR="00C36ED5" w:rsidRPr="00084622" w:rsidRDefault="00C36ED5" w:rsidP="00C36ED5">
      <w:pPr>
        <w:spacing w:after="0" w:line="276" w:lineRule="auto"/>
        <w:ind w:firstLine="709"/>
        <w:jc w:val="both"/>
        <w:rPr>
          <w:rFonts w:ascii="Times New Roman" w:hAnsi="Times New Roman"/>
          <w:bCs/>
          <w:snapToGrid w:val="0"/>
          <w:sz w:val="28"/>
          <w:szCs w:val="24"/>
        </w:rPr>
      </w:pPr>
      <w:r w:rsidRPr="00084622">
        <w:rPr>
          <w:rFonts w:ascii="Times New Roman" w:hAnsi="Times New Roman"/>
          <w:snapToGrid w:val="0"/>
          <w:sz w:val="28"/>
          <w:szCs w:val="24"/>
        </w:rPr>
        <w:t xml:space="preserve">Значення обсягу річного постачання, на підставі якого споживачі розподіляються за групами, розраховуються на основі обсягів постачання електричної енергії відповідним споживачам </w:t>
      </w:r>
      <w:r w:rsidRPr="00084622">
        <w:rPr>
          <w:rFonts w:ascii="Times New Roman" w:hAnsi="Times New Roman"/>
          <w:bCs/>
          <w:snapToGrid w:val="0"/>
          <w:sz w:val="28"/>
          <w:szCs w:val="24"/>
        </w:rPr>
        <w:t>за останній календарний рік.</w:t>
      </w:r>
    </w:p>
    <w:p w14:paraId="5BFCF121" w14:textId="77777777" w:rsidR="00C36ED5" w:rsidRPr="00084622" w:rsidRDefault="00C36ED5" w:rsidP="00C36ED5">
      <w:pPr>
        <w:spacing w:after="0" w:line="276" w:lineRule="auto"/>
        <w:ind w:firstLine="709"/>
        <w:jc w:val="both"/>
        <w:rPr>
          <w:rFonts w:ascii="Times New Roman" w:hAnsi="Times New Roman"/>
          <w:bCs/>
          <w:sz w:val="28"/>
          <w:szCs w:val="24"/>
        </w:rPr>
      </w:pPr>
      <w:r w:rsidRPr="00084622">
        <w:rPr>
          <w:rFonts w:ascii="Times New Roman" w:hAnsi="Times New Roman"/>
          <w:bCs/>
          <w:sz w:val="28"/>
          <w:szCs w:val="24"/>
        </w:rPr>
        <w:t xml:space="preserve">У разі відсутності даних </w:t>
      </w:r>
      <w:r w:rsidRPr="00084622">
        <w:rPr>
          <w:rFonts w:ascii="Times New Roman" w:hAnsi="Times New Roman"/>
          <w:bCs/>
          <w:snapToGrid w:val="0"/>
          <w:sz w:val="28"/>
          <w:szCs w:val="24"/>
        </w:rPr>
        <w:t>за останній календарний рік</w:t>
      </w:r>
      <w:r w:rsidRPr="00084622">
        <w:rPr>
          <w:rFonts w:ascii="Times New Roman" w:hAnsi="Times New Roman"/>
          <w:bCs/>
          <w:sz w:val="28"/>
          <w:szCs w:val="24"/>
        </w:rPr>
        <w:t>, значення річних обсягів постачання електричної енергії розраховується, виходячи із середньомісячного обсягу постачання електроенергії</w:t>
      </w:r>
      <w:r w:rsidRPr="00084622">
        <w:rPr>
          <w:rFonts w:ascii="Times New Roman" w:hAnsi="Times New Roman"/>
          <w:bCs/>
          <w:sz w:val="28"/>
          <w:szCs w:val="24"/>
          <w:lang w:val="uk-UA"/>
        </w:rPr>
        <w:t xml:space="preserve"> за період протягом якого здійснювалося постачання, за формулою</w:t>
      </w:r>
      <w:r w:rsidRPr="00084622">
        <w:rPr>
          <w:rFonts w:ascii="Times New Roman" w:hAnsi="Times New Roman"/>
          <w:bCs/>
          <w:sz w:val="28"/>
          <w:szCs w:val="24"/>
        </w:rPr>
        <w:t>:</w:t>
      </w:r>
    </w:p>
    <w:p w14:paraId="11BB62A5" w14:textId="77777777" w:rsidR="00C36ED5" w:rsidRPr="00084622" w:rsidRDefault="00000000" w:rsidP="00C36ED5">
      <w:pPr>
        <w:spacing w:after="0" w:line="276" w:lineRule="auto"/>
        <w:ind w:firstLine="709"/>
        <w:jc w:val="center"/>
        <w:rPr>
          <w:rFonts w:ascii="Times New Roman" w:hAnsi="Times New Roman"/>
          <w:bCs/>
          <w:i/>
          <w:sz w:val="28"/>
          <w:szCs w:val="24"/>
        </w:rPr>
      </w:pPr>
      <m:oMath>
        <m:sSub>
          <m:sSubPr>
            <m:ctrlPr>
              <w:rPr>
                <w:rFonts w:ascii="Cambria Math" w:hAnsi="Cambria Math"/>
                <w:bCs/>
                <w:i/>
                <w:sz w:val="28"/>
                <w:szCs w:val="24"/>
              </w:rPr>
            </m:ctrlPr>
          </m:sSubPr>
          <m:e>
            <m:r>
              <w:rPr>
                <w:rFonts w:ascii="Cambria Math" w:hAnsi="Cambria Math"/>
                <w:sz w:val="28"/>
                <w:szCs w:val="24"/>
              </w:rPr>
              <m:t>Q</m:t>
            </m:r>
          </m:e>
          <m:sub>
            <m:r>
              <w:rPr>
                <w:rFonts w:ascii="Cambria Math" w:hAnsi="Cambria Math"/>
                <w:sz w:val="28"/>
                <w:szCs w:val="24"/>
                <w:lang w:val="uk-UA"/>
              </w:rPr>
              <m:t>рік</m:t>
            </m:r>
            <m:r>
              <w:rPr>
                <w:rFonts w:ascii="Cambria Math" w:hAnsi="Cambria Math"/>
                <w:sz w:val="28"/>
                <w:szCs w:val="24"/>
              </w:rPr>
              <m:t>=</m:t>
            </m:r>
          </m:sub>
        </m:sSub>
        <m:f>
          <m:fPr>
            <m:ctrlPr>
              <w:rPr>
                <w:rFonts w:ascii="Cambria Math" w:hAnsi="Cambria Math"/>
                <w:bCs/>
                <w:i/>
                <w:sz w:val="28"/>
                <w:szCs w:val="24"/>
              </w:rPr>
            </m:ctrlPr>
          </m:fPr>
          <m:num>
            <m:d>
              <m:dPr>
                <m:ctrlPr>
                  <w:rPr>
                    <w:rFonts w:ascii="Cambria Math" w:hAnsi="Cambria Math"/>
                    <w:bCs/>
                    <w:i/>
                    <w:sz w:val="28"/>
                    <w:szCs w:val="24"/>
                    <w:lang w:val="en-US"/>
                  </w:rPr>
                </m:ctrlPr>
              </m:dPr>
              <m:e>
                <m:nary>
                  <m:naryPr>
                    <m:chr m:val="∑"/>
                    <m:limLoc m:val="undOvr"/>
                    <m:subHide m:val="1"/>
                    <m:supHide m:val="1"/>
                    <m:ctrlPr>
                      <w:rPr>
                        <w:rFonts w:ascii="Cambria Math" w:hAnsi="Cambria Math"/>
                        <w:bCs/>
                        <w:i/>
                        <w:sz w:val="28"/>
                        <w:szCs w:val="24"/>
                        <w:lang w:val="en-US"/>
                      </w:rPr>
                    </m:ctrlPr>
                  </m:naryPr>
                  <m:sub/>
                  <m:sup/>
                  <m:e>
                    <m:sSub>
                      <m:sSubPr>
                        <m:ctrlPr>
                          <w:rPr>
                            <w:rFonts w:ascii="Cambria Math" w:hAnsi="Cambria Math"/>
                            <w:bCs/>
                            <w:i/>
                            <w:sz w:val="28"/>
                            <w:szCs w:val="24"/>
                            <w:lang w:val="en-US"/>
                          </w:rPr>
                        </m:ctrlPr>
                      </m:sSubPr>
                      <m:e>
                        <m:r>
                          <w:rPr>
                            <w:rFonts w:ascii="Cambria Math" w:hAnsi="Cambria Math"/>
                            <w:sz w:val="28"/>
                            <w:szCs w:val="24"/>
                            <w:lang w:val="en-US"/>
                          </w:rPr>
                          <m:t>Q</m:t>
                        </m:r>
                      </m:e>
                      <m:sub>
                        <m:r>
                          <w:rPr>
                            <w:rFonts w:ascii="Cambria Math" w:hAnsi="Cambria Math"/>
                            <w:sz w:val="28"/>
                            <w:szCs w:val="24"/>
                            <w:lang w:val="en-US"/>
                          </w:rPr>
                          <m:t>k</m:t>
                        </m:r>
                      </m:sub>
                    </m:sSub>
                  </m:e>
                </m:nary>
              </m:e>
            </m:d>
          </m:num>
          <m:den>
            <m:r>
              <w:rPr>
                <w:rFonts w:ascii="Cambria Math" w:hAnsi="Cambria Math"/>
                <w:sz w:val="28"/>
                <w:szCs w:val="24"/>
              </w:rPr>
              <m:t>k</m:t>
            </m:r>
          </m:den>
        </m:f>
        <m:r>
          <w:rPr>
            <w:rFonts w:ascii="Cambria Math" w:hAnsi="Cambria Math"/>
            <w:sz w:val="28"/>
            <w:szCs w:val="24"/>
          </w:rPr>
          <m:t>×12</m:t>
        </m:r>
      </m:oMath>
      <w:r w:rsidR="00C36ED5" w:rsidRPr="00084622">
        <w:rPr>
          <w:rFonts w:ascii="Times New Roman" w:eastAsiaTheme="minorEastAsia" w:hAnsi="Times New Roman"/>
          <w:bCs/>
          <w:i/>
          <w:sz w:val="28"/>
          <w:szCs w:val="24"/>
        </w:rPr>
        <w:t>,</w:t>
      </w:r>
    </w:p>
    <w:p w14:paraId="5CC41DBF" w14:textId="77777777" w:rsidR="00C36ED5" w:rsidRPr="00084622" w:rsidRDefault="00C36ED5" w:rsidP="00C36ED5">
      <w:pPr>
        <w:spacing w:after="0" w:line="276" w:lineRule="auto"/>
        <w:ind w:firstLine="709"/>
        <w:jc w:val="both"/>
        <w:rPr>
          <w:rFonts w:ascii="Times New Roman" w:hAnsi="Times New Roman"/>
          <w:bCs/>
          <w:sz w:val="28"/>
          <w:szCs w:val="24"/>
        </w:rPr>
      </w:pPr>
      <w:r w:rsidRPr="00084622">
        <w:rPr>
          <w:rFonts w:ascii="Times New Roman" w:hAnsi="Times New Roman"/>
          <w:bCs/>
          <w:sz w:val="28"/>
          <w:szCs w:val="24"/>
        </w:rPr>
        <w:t xml:space="preserve">де </w:t>
      </w:r>
      <m:oMath>
        <m:sSub>
          <m:sSubPr>
            <m:ctrlPr>
              <w:rPr>
                <w:rFonts w:ascii="Cambria Math" w:hAnsi="Cambria Math"/>
                <w:bCs/>
                <w:i/>
                <w:sz w:val="28"/>
                <w:szCs w:val="24"/>
                <w:lang w:val="en-US"/>
              </w:rPr>
            </m:ctrlPr>
          </m:sSubPr>
          <m:e>
            <m:r>
              <w:rPr>
                <w:rFonts w:ascii="Cambria Math" w:hAnsi="Cambria Math"/>
                <w:sz w:val="28"/>
                <w:szCs w:val="24"/>
                <w:lang w:val="en-US"/>
              </w:rPr>
              <m:t>Q</m:t>
            </m:r>
          </m:e>
          <m:sub>
            <m:r>
              <w:rPr>
                <w:rFonts w:ascii="Cambria Math" w:hAnsi="Cambria Math"/>
                <w:sz w:val="28"/>
                <w:szCs w:val="24"/>
                <w:lang w:val="en-US"/>
              </w:rPr>
              <m:t>k</m:t>
            </m:r>
          </m:sub>
        </m:sSub>
      </m:oMath>
      <w:r w:rsidRPr="00084622">
        <w:rPr>
          <w:rFonts w:ascii="Times New Roman" w:hAnsi="Times New Roman"/>
          <w:bCs/>
          <w:sz w:val="28"/>
          <w:szCs w:val="24"/>
        </w:rPr>
        <w:t xml:space="preserve">  - постачання електричної енергії у місяці k, </w:t>
      </w:r>
    </w:p>
    <w:p w14:paraId="6AB5FF00" w14:textId="77777777" w:rsidR="00C36ED5" w:rsidRPr="00084622" w:rsidRDefault="00C36ED5" w:rsidP="00C36ED5">
      <w:pPr>
        <w:spacing w:after="0" w:line="276" w:lineRule="auto"/>
        <w:ind w:firstLine="709"/>
        <w:jc w:val="both"/>
        <w:rPr>
          <w:rFonts w:ascii="Times New Roman" w:hAnsi="Times New Roman"/>
          <w:bCs/>
          <w:sz w:val="28"/>
          <w:szCs w:val="24"/>
        </w:rPr>
      </w:pPr>
      <m:oMath>
        <m:r>
          <w:rPr>
            <w:rFonts w:ascii="Cambria Math" w:hAnsi="Cambria Math"/>
            <w:sz w:val="28"/>
            <w:szCs w:val="24"/>
          </w:rPr>
          <m:t>k</m:t>
        </m:r>
      </m:oMath>
      <w:r w:rsidRPr="00084622">
        <w:rPr>
          <w:rFonts w:ascii="Times New Roman" w:hAnsi="Times New Roman"/>
          <w:bCs/>
          <w:sz w:val="28"/>
          <w:szCs w:val="24"/>
        </w:rPr>
        <w:t xml:space="preserve"> – кількість місяців, у яких було постачання електричної енергії.</w:t>
      </w:r>
    </w:p>
    <w:p w14:paraId="6304A24D" w14:textId="77777777" w:rsidR="00C36ED5" w:rsidRPr="00084622" w:rsidRDefault="00C36ED5" w:rsidP="00C36ED5">
      <w:pPr>
        <w:spacing w:after="0" w:line="276" w:lineRule="auto"/>
        <w:ind w:firstLine="709"/>
        <w:jc w:val="both"/>
        <w:rPr>
          <w:rFonts w:ascii="Times New Roman" w:hAnsi="Times New Roman"/>
          <w:sz w:val="28"/>
          <w:szCs w:val="24"/>
        </w:rPr>
      </w:pPr>
      <w:r w:rsidRPr="00084622">
        <w:rPr>
          <w:rFonts w:ascii="Times New Roman" w:hAnsi="Times New Roman"/>
          <w:sz w:val="28"/>
          <w:szCs w:val="24"/>
        </w:rPr>
        <w:t xml:space="preserve">При визначенні обсягів постачання електричної енергії </w:t>
      </w:r>
      <w:r w:rsidRPr="00084622">
        <w:rPr>
          <w:rFonts w:ascii="Times New Roman" w:hAnsi="Times New Roman"/>
          <w:color w:val="000000"/>
          <w:sz w:val="28"/>
          <w:szCs w:val="24"/>
        </w:rPr>
        <w:t>ліцензіати</w:t>
      </w:r>
      <w:r w:rsidRPr="00084622">
        <w:rPr>
          <w:rFonts w:ascii="Times New Roman" w:hAnsi="Times New Roman"/>
          <w:sz w:val="28"/>
          <w:szCs w:val="24"/>
        </w:rPr>
        <w:t xml:space="preserve"> враховують виключно обсяги постачання кінцевим споживачам.</w:t>
      </w:r>
    </w:p>
    <w:p w14:paraId="43D3551D" w14:textId="77777777" w:rsidR="00C36ED5" w:rsidRPr="00084622" w:rsidRDefault="00C36ED5" w:rsidP="00C36ED5">
      <w:pPr>
        <w:spacing w:after="0" w:line="276" w:lineRule="auto"/>
        <w:ind w:firstLine="709"/>
        <w:jc w:val="both"/>
        <w:rPr>
          <w:rFonts w:ascii="Times New Roman" w:hAnsi="Times New Roman"/>
          <w:sz w:val="32"/>
          <w:szCs w:val="24"/>
        </w:rPr>
      </w:pPr>
      <w:r w:rsidRPr="00084622">
        <w:rPr>
          <w:rFonts w:ascii="Times New Roman" w:hAnsi="Times New Roman"/>
          <w:snapToGrid w:val="0"/>
          <w:sz w:val="28"/>
          <w:szCs w:val="24"/>
          <w:lang w:val="uk-UA"/>
        </w:rPr>
        <w:t xml:space="preserve">Віднесення споживачів до відповідної категорії в залежності від </w:t>
      </w:r>
      <w:r w:rsidRPr="00084622">
        <w:rPr>
          <w:rFonts w:ascii="Times New Roman" w:hAnsi="Times New Roman"/>
          <w:snapToGrid w:val="0"/>
          <w:sz w:val="28"/>
          <w:szCs w:val="24"/>
        </w:rPr>
        <w:t xml:space="preserve">річного </w:t>
      </w:r>
      <w:r w:rsidRPr="00084622">
        <w:rPr>
          <w:rFonts w:ascii="Times New Roman" w:hAnsi="Times New Roman"/>
          <w:snapToGrid w:val="0"/>
          <w:sz w:val="28"/>
          <w:szCs w:val="24"/>
          <w:lang w:val="uk-UA"/>
        </w:rPr>
        <w:t xml:space="preserve">обсягу </w:t>
      </w:r>
      <w:r w:rsidRPr="00084622">
        <w:rPr>
          <w:rFonts w:ascii="Times New Roman" w:hAnsi="Times New Roman"/>
          <w:snapToGrid w:val="0"/>
          <w:sz w:val="28"/>
          <w:szCs w:val="24"/>
        </w:rPr>
        <w:t xml:space="preserve">постачання електричної енергії </w:t>
      </w:r>
      <w:r w:rsidRPr="00084622">
        <w:rPr>
          <w:rFonts w:ascii="Times New Roman" w:hAnsi="Times New Roman"/>
          <w:snapToGrid w:val="0"/>
          <w:sz w:val="28"/>
          <w:szCs w:val="24"/>
          <w:lang w:val="uk-UA"/>
        </w:rPr>
        <w:t xml:space="preserve">здійснюється один раз протягом </w:t>
      </w:r>
      <w:r w:rsidRPr="00084622">
        <w:rPr>
          <w:rFonts w:ascii="Times New Roman" w:hAnsi="Times New Roman"/>
          <w:snapToGrid w:val="0"/>
          <w:sz w:val="28"/>
          <w:szCs w:val="24"/>
          <w:lang w:val="uk-UA"/>
        </w:rPr>
        <w:lastRenderedPageBreak/>
        <w:t>календарного року</w:t>
      </w:r>
      <w:r w:rsidRPr="00084622">
        <w:rPr>
          <w:rFonts w:ascii="Times New Roman" w:hAnsi="Times New Roman"/>
          <w:snapToGrid w:val="0"/>
          <w:sz w:val="28"/>
          <w:szCs w:val="24"/>
        </w:rPr>
        <w:t>. Не допускається зміна категорії споживача протягом календарного року</w:t>
      </w:r>
      <w:r w:rsidRPr="00084622">
        <w:rPr>
          <w:rFonts w:ascii="Times New Roman" w:hAnsi="Times New Roman"/>
          <w:sz w:val="28"/>
          <w:szCs w:val="24"/>
        </w:rPr>
        <w:t>;</w:t>
      </w:r>
    </w:p>
    <w:p w14:paraId="1D751E04" w14:textId="77777777" w:rsidR="00C36ED5" w:rsidRPr="00084622" w:rsidRDefault="00C36ED5" w:rsidP="00C36ED5">
      <w:pPr>
        <w:spacing w:after="0" w:line="276" w:lineRule="auto"/>
        <w:ind w:firstLine="709"/>
        <w:jc w:val="both"/>
        <w:rPr>
          <w:rFonts w:ascii="Times New Roman" w:hAnsi="Times New Roman" w:cs="Times New Roman"/>
          <w:sz w:val="28"/>
          <w:lang w:val="uk-UA"/>
        </w:rPr>
      </w:pPr>
    </w:p>
    <w:p w14:paraId="310D492F"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z w:val="28"/>
          <w:lang w:val="uk-UA"/>
        </w:rPr>
        <w:t>3) у графі 3 «Вартість електричної енергії за яку оплата за послуги ОСР забезпечується електропостачальником без урахування вартості послуг операторів систем, без ПДВ» відображається інформація щодо вартості постачання електричної енергії споживачам за яку оплата за послуги ОСР забезпечується електропостачальником (без ПДВ);</w:t>
      </w:r>
    </w:p>
    <w:p w14:paraId="65BD5FB9" w14:textId="77777777" w:rsidR="00C36ED5" w:rsidRPr="00084622" w:rsidRDefault="00C36ED5" w:rsidP="00C36ED5">
      <w:pPr>
        <w:spacing w:after="0" w:line="276" w:lineRule="auto"/>
        <w:ind w:firstLine="709"/>
        <w:jc w:val="both"/>
        <w:rPr>
          <w:rFonts w:ascii="Times New Roman" w:hAnsi="Times New Roman" w:cs="Times New Roman"/>
          <w:sz w:val="28"/>
          <w:lang w:val="uk-UA"/>
        </w:rPr>
      </w:pPr>
    </w:p>
    <w:p w14:paraId="2D0E1945"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z w:val="28"/>
          <w:lang w:val="uk-UA"/>
        </w:rPr>
        <w:t>4) у графі 4 «Вартість послуг операторів систем розподілу» відображається інформація щодо вартості послуг операторів систем розподілу оплата яких забезпечується електропостачальником (без ПДВ);</w:t>
      </w:r>
    </w:p>
    <w:p w14:paraId="10EC3679" w14:textId="77777777" w:rsidR="00C36ED5" w:rsidRPr="00084622" w:rsidRDefault="00C36ED5" w:rsidP="00C36ED5">
      <w:pPr>
        <w:spacing w:after="0" w:line="276" w:lineRule="auto"/>
        <w:ind w:firstLine="709"/>
        <w:jc w:val="both"/>
        <w:rPr>
          <w:rFonts w:ascii="Times New Roman" w:hAnsi="Times New Roman" w:cs="Times New Roman"/>
          <w:sz w:val="28"/>
          <w:lang w:val="uk-UA"/>
        </w:rPr>
      </w:pPr>
    </w:p>
    <w:p w14:paraId="50F28198" w14:textId="77777777" w:rsidR="00C36ED5" w:rsidRPr="00084622" w:rsidRDefault="00C36ED5" w:rsidP="00C36ED5">
      <w:pPr>
        <w:spacing w:after="0" w:line="276" w:lineRule="auto"/>
        <w:ind w:firstLine="709"/>
        <w:jc w:val="both"/>
        <w:rPr>
          <w:rFonts w:ascii="Times New Roman" w:hAnsi="Times New Roman" w:cs="Times New Roman"/>
          <w:sz w:val="28"/>
          <w:lang w:val="uk-UA"/>
        </w:rPr>
      </w:pPr>
      <w:r w:rsidRPr="00084622">
        <w:rPr>
          <w:rFonts w:ascii="Times New Roman" w:hAnsi="Times New Roman" w:cs="Times New Roman"/>
          <w:sz w:val="28"/>
          <w:lang w:val="uk-UA"/>
        </w:rPr>
        <w:t xml:space="preserve">5) у графі 5 </w:t>
      </w:r>
      <w:r w:rsidRPr="00084622">
        <w:rPr>
          <w:rFonts w:ascii="Times New Roman" w:hAnsi="Times New Roman" w:cs="Times New Roman"/>
          <w:snapToGrid w:val="0"/>
          <w:sz w:val="28"/>
          <w:lang w:val="uk-UA"/>
        </w:rPr>
        <w:t xml:space="preserve">«Обсяг постачання електричної енергії за який оплата за послуги ОСР забезпечується споживачем» відображається інформація щодо обсягу постачання електричної енергії споживачам </w:t>
      </w:r>
      <w:r w:rsidRPr="00084622">
        <w:rPr>
          <w:rFonts w:ascii="Times New Roman" w:hAnsi="Times New Roman" w:cs="Times New Roman"/>
          <w:sz w:val="28"/>
          <w:lang w:val="uk-UA"/>
        </w:rPr>
        <w:t xml:space="preserve">щодо яких оплата за послуги операторів систем розподілу </w:t>
      </w:r>
      <w:r w:rsidRPr="00084622">
        <w:rPr>
          <w:rFonts w:ascii="Times New Roman" w:hAnsi="Times New Roman" w:cs="Times New Roman"/>
          <w:snapToGrid w:val="0"/>
          <w:sz w:val="28"/>
          <w:lang w:val="uk-UA"/>
        </w:rPr>
        <w:t>забезпечується споживачем</w:t>
      </w:r>
      <w:r w:rsidRPr="00084622">
        <w:rPr>
          <w:rFonts w:ascii="Times New Roman" w:hAnsi="Times New Roman" w:cs="Times New Roman"/>
          <w:sz w:val="28"/>
          <w:lang w:val="uk-UA"/>
        </w:rPr>
        <w:t>;</w:t>
      </w:r>
    </w:p>
    <w:p w14:paraId="0262828F" w14:textId="77777777" w:rsidR="00C36ED5" w:rsidRPr="00084622" w:rsidRDefault="00C36ED5" w:rsidP="00C36ED5">
      <w:pPr>
        <w:spacing w:after="0" w:line="276" w:lineRule="auto"/>
        <w:ind w:firstLine="709"/>
        <w:jc w:val="both"/>
        <w:rPr>
          <w:rFonts w:ascii="Times New Roman" w:hAnsi="Times New Roman" w:cs="Times New Roman"/>
          <w:sz w:val="28"/>
          <w:lang w:val="uk-UA"/>
        </w:rPr>
      </w:pPr>
    </w:p>
    <w:p w14:paraId="18374F5D" w14:textId="7A75E17F" w:rsidR="00C36ED5" w:rsidRPr="00C36ED5" w:rsidRDefault="00C36ED5" w:rsidP="00C36ED5">
      <w:pPr>
        <w:spacing w:after="0" w:line="276" w:lineRule="auto"/>
        <w:ind w:firstLine="709"/>
        <w:jc w:val="both"/>
        <w:rPr>
          <w:rFonts w:ascii="Times New Roman" w:hAnsi="Times New Roman" w:cs="Times New Roman"/>
          <w:sz w:val="28"/>
        </w:rPr>
      </w:pPr>
      <w:r w:rsidRPr="00084622">
        <w:rPr>
          <w:rFonts w:ascii="Times New Roman" w:hAnsi="Times New Roman" w:cs="Times New Roman"/>
          <w:sz w:val="28"/>
          <w:lang w:val="uk-UA"/>
        </w:rPr>
        <w:t>6) у графі 6 «Вартість електричної енергії за який оплата за послуги ОСР забезпечується споживачем без урахування вартості послуг операторів систем, без ПДВ» відображається інформація щодо вартості постачання електричної енергії споживачам за який оплата за послуги ОСР забезпечується споживачем без урахування вартості послуг операторів систем (без ПДВ)»</w:t>
      </w:r>
      <w:r w:rsidRPr="00C36ED5">
        <w:rPr>
          <w:rFonts w:ascii="Times New Roman" w:hAnsi="Times New Roman" w:cs="Times New Roman"/>
          <w:sz w:val="28"/>
        </w:rPr>
        <w:t>.</w:t>
      </w:r>
    </w:p>
    <w:p w14:paraId="4B6D4407" w14:textId="77777777" w:rsidR="00C36ED5" w:rsidRPr="00324E77" w:rsidRDefault="00C36ED5" w:rsidP="00924065">
      <w:pPr>
        <w:tabs>
          <w:tab w:val="left" w:pos="0"/>
          <w:tab w:val="left" w:pos="426"/>
          <w:tab w:val="left" w:pos="567"/>
        </w:tabs>
        <w:spacing w:after="0" w:line="276" w:lineRule="auto"/>
        <w:ind w:firstLine="567"/>
        <w:jc w:val="both"/>
        <w:rPr>
          <w:rFonts w:ascii="Times New Roman" w:hAnsi="Times New Roman" w:cs="Times New Roman"/>
          <w:color w:val="000000" w:themeColor="text1"/>
          <w:sz w:val="28"/>
          <w:szCs w:val="28"/>
          <w:lang w:val="uk-UA"/>
        </w:rPr>
      </w:pPr>
    </w:p>
    <w:p w14:paraId="307B8181" w14:textId="77777777" w:rsidR="005540C4" w:rsidRPr="00324E77" w:rsidRDefault="005540C4" w:rsidP="00924065">
      <w:pPr>
        <w:tabs>
          <w:tab w:val="left" w:pos="0"/>
          <w:tab w:val="left" w:pos="426"/>
          <w:tab w:val="left" w:pos="567"/>
        </w:tabs>
        <w:spacing w:after="0" w:line="276" w:lineRule="auto"/>
        <w:ind w:firstLine="567"/>
        <w:jc w:val="both"/>
        <w:rPr>
          <w:rFonts w:ascii="Times New Roman" w:hAnsi="Times New Roman" w:cs="Times New Roman"/>
          <w:color w:val="000000" w:themeColor="text1"/>
          <w:sz w:val="28"/>
          <w:szCs w:val="28"/>
          <w:lang w:val="uk-UA"/>
        </w:rPr>
      </w:pPr>
    </w:p>
    <w:p w14:paraId="546A9132" w14:textId="5935430F" w:rsidR="009F2169" w:rsidRPr="009F2169" w:rsidRDefault="00482964" w:rsidP="009F2169">
      <w:pPr>
        <w:tabs>
          <w:tab w:val="left" w:pos="0"/>
        </w:tabs>
        <w:spacing w:after="0" w:line="276"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Директор</w:t>
      </w:r>
      <w:r w:rsidR="009F2169" w:rsidRPr="009F2169">
        <w:rPr>
          <w:rFonts w:ascii="Times New Roman" w:hAnsi="Times New Roman" w:cs="Times New Roman"/>
          <w:color w:val="000000" w:themeColor="text1"/>
          <w:sz w:val="28"/>
          <w:szCs w:val="28"/>
          <w:lang w:val="uk-UA"/>
        </w:rPr>
        <w:t xml:space="preserve"> Департаменту                                                                            </w:t>
      </w:r>
    </w:p>
    <w:p w14:paraId="3A85CE34" w14:textId="357F2F4F" w:rsidR="000B2DFA" w:rsidRPr="00924065" w:rsidRDefault="009F2169" w:rsidP="009F2169">
      <w:pPr>
        <w:tabs>
          <w:tab w:val="left" w:pos="0"/>
        </w:tabs>
        <w:spacing w:after="0" w:line="276" w:lineRule="auto"/>
        <w:jc w:val="both"/>
        <w:rPr>
          <w:color w:val="000000" w:themeColor="text1"/>
        </w:rPr>
      </w:pPr>
      <w:r w:rsidRPr="009F2169">
        <w:rPr>
          <w:rFonts w:ascii="Times New Roman" w:hAnsi="Times New Roman" w:cs="Times New Roman"/>
          <w:color w:val="000000" w:themeColor="text1"/>
          <w:sz w:val="28"/>
          <w:szCs w:val="28"/>
          <w:lang w:val="uk-UA"/>
        </w:rPr>
        <w:t xml:space="preserve">ліцензійного контролю                                                                       </w:t>
      </w:r>
      <w:r w:rsidR="00482964">
        <w:rPr>
          <w:rFonts w:ascii="Times New Roman" w:hAnsi="Times New Roman" w:cs="Times New Roman"/>
          <w:color w:val="000000" w:themeColor="text1"/>
          <w:sz w:val="28"/>
          <w:szCs w:val="28"/>
          <w:lang w:val="uk-UA"/>
        </w:rPr>
        <w:t xml:space="preserve">   </w:t>
      </w:r>
      <w:r w:rsidRPr="009F2169">
        <w:rPr>
          <w:rFonts w:ascii="Times New Roman" w:hAnsi="Times New Roman" w:cs="Times New Roman"/>
          <w:color w:val="000000" w:themeColor="text1"/>
          <w:sz w:val="28"/>
          <w:szCs w:val="28"/>
          <w:lang w:val="uk-UA"/>
        </w:rPr>
        <w:t xml:space="preserve">   </w:t>
      </w:r>
      <w:r w:rsidR="00482964">
        <w:rPr>
          <w:rFonts w:ascii="Times New Roman" w:hAnsi="Times New Roman" w:cs="Times New Roman"/>
          <w:color w:val="000000" w:themeColor="text1"/>
          <w:sz w:val="28"/>
          <w:szCs w:val="28"/>
          <w:lang w:val="uk-UA"/>
        </w:rPr>
        <w:t>Я</w:t>
      </w:r>
      <w:r w:rsidRPr="009F2169">
        <w:rPr>
          <w:rFonts w:ascii="Times New Roman" w:hAnsi="Times New Roman" w:cs="Times New Roman"/>
          <w:color w:val="000000" w:themeColor="text1"/>
          <w:sz w:val="28"/>
          <w:szCs w:val="28"/>
          <w:lang w:val="uk-UA"/>
        </w:rPr>
        <w:t xml:space="preserve">. </w:t>
      </w:r>
      <w:r w:rsidR="00482964">
        <w:rPr>
          <w:rFonts w:ascii="Times New Roman" w:hAnsi="Times New Roman" w:cs="Times New Roman"/>
          <w:color w:val="000000" w:themeColor="text1"/>
          <w:sz w:val="28"/>
          <w:szCs w:val="28"/>
          <w:lang w:val="uk-UA"/>
        </w:rPr>
        <w:t>Зеленюк</w:t>
      </w:r>
    </w:p>
    <w:sectPr w:rsidR="000B2DFA" w:rsidRPr="00924065" w:rsidSect="002C5F8D">
      <w:headerReference w:type="default" r:id="rId13"/>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7FA1C3" w14:textId="77777777" w:rsidR="005477BA" w:rsidRDefault="005477BA" w:rsidP="002C5F8D">
      <w:pPr>
        <w:spacing w:after="0" w:line="240" w:lineRule="auto"/>
      </w:pPr>
      <w:r>
        <w:separator/>
      </w:r>
    </w:p>
  </w:endnote>
  <w:endnote w:type="continuationSeparator" w:id="0">
    <w:p w14:paraId="6997B091" w14:textId="77777777" w:rsidR="005477BA" w:rsidRDefault="005477BA" w:rsidP="002C5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B3ECBE" w14:textId="77777777" w:rsidR="005477BA" w:rsidRDefault="005477BA" w:rsidP="002C5F8D">
      <w:pPr>
        <w:spacing w:after="0" w:line="240" w:lineRule="auto"/>
      </w:pPr>
      <w:r>
        <w:separator/>
      </w:r>
    </w:p>
  </w:footnote>
  <w:footnote w:type="continuationSeparator" w:id="0">
    <w:p w14:paraId="72F356F4" w14:textId="77777777" w:rsidR="005477BA" w:rsidRDefault="005477BA" w:rsidP="002C5F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4376972"/>
      <w:docPartObj>
        <w:docPartGallery w:val="Page Numbers (Top of Page)"/>
        <w:docPartUnique/>
      </w:docPartObj>
    </w:sdtPr>
    <w:sdtEndPr>
      <w:rPr>
        <w:rFonts w:ascii="Times New Roman" w:hAnsi="Times New Roman" w:cs="Times New Roman"/>
        <w:sz w:val="28"/>
        <w:szCs w:val="28"/>
      </w:rPr>
    </w:sdtEndPr>
    <w:sdtContent>
      <w:p w14:paraId="78631672" w14:textId="77777777" w:rsidR="002C5F8D" w:rsidRPr="002C5F8D" w:rsidRDefault="002C5F8D">
        <w:pPr>
          <w:pStyle w:val="a8"/>
          <w:jc w:val="center"/>
          <w:rPr>
            <w:rFonts w:ascii="Times New Roman" w:hAnsi="Times New Roman" w:cs="Times New Roman"/>
            <w:sz w:val="28"/>
            <w:szCs w:val="28"/>
          </w:rPr>
        </w:pPr>
        <w:r w:rsidRPr="002C5F8D">
          <w:rPr>
            <w:rFonts w:ascii="Times New Roman" w:hAnsi="Times New Roman" w:cs="Times New Roman"/>
            <w:sz w:val="28"/>
            <w:szCs w:val="28"/>
          </w:rPr>
          <w:fldChar w:fldCharType="begin"/>
        </w:r>
        <w:r w:rsidRPr="002C5F8D">
          <w:rPr>
            <w:rFonts w:ascii="Times New Roman" w:hAnsi="Times New Roman" w:cs="Times New Roman"/>
            <w:sz w:val="28"/>
            <w:szCs w:val="28"/>
          </w:rPr>
          <w:instrText>PAGE   \* MERGEFORMAT</w:instrText>
        </w:r>
        <w:r w:rsidRPr="002C5F8D">
          <w:rPr>
            <w:rFonts w:ascii="Times New Roman" w:hAnsi="Times New Roman" w:cs="Times New Roman"/>
            <w:sz w:val="28"/>
            <w:szCs w:val="28"/>
          </w:rPr>
          <w:fldChar w:fldCharType="separate"/>
        </w:r>
        <w:r w:rsidRPr="002C5F8D">
          <w:rPr>
            <w:rFonts w:ascii="Times New Roman" w:hAnsi="Times New Roman" w:cs="Times New Roman"/>
            <w:noProof/>
            <w:sz w:val="28"/>
            <w:szCs w:val="28"/>
            <w:lang w:val="uk-UA"/>
          </w:rPr>
          <w:t>5</w:t>
        </w:r>
        <w:r w:rsidRPr="002C5F8D">
          <w:rPr>
            <w:rFonts w:ascii="Times New Roman" w:hAnsi="Times New Roman" w:cs="Times New Roman"/>
            <w:sz w:val="28"/>
            <w:szCs w:val="28"/>
          </w:rPr>
          <w:fldChar w:fldCharType="end"/>
        </w:r>
      </w:p>
    </w:sdtContent>
  </w:sdt>
  <w:p w14:paraId="0C61163E" w14:textId="77777777" w:rsidR="002C5F8D" w:rsidRDefault="002C5F8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4EF3"/>
    <w:multiLevelType w:val="hybridMultilevel"/>
    <w:tmpl w:val="FC029AA2"/>
    <w:lvl w:ilvl="0" w:tplc="308842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3F330F3"/>
    <w:multiLevelType w:val="hybridMultilevel"/>
    <w:tmpl w:val="1B54F040"/>
    <w:lvl w:ilvl="0" w:tplc="AF76E2B0">
      <w:start w:val="1"/>
      <w:numFmt w:val="decimal"/>
      <w:lvlText w:val="%1)"/>
      <w:lvlJc w:val="left"/>
      <w:pPr>
        <w:ind w:left="2007" w:hanging="360"/>
      </w:pPr>
      <w:rPr>
        <w:rFonts w:hint="default"/>
      </w:rPr>
    </w:lvl>
    <w:lvl w:ilvl="1" w:tplc="04220019" w:tentative="1">
      <w:start w:val="1"/>
      <w:numFmt w:val="lowerLetter"/>
      <w:lvlText w:val="%2."/>
      <w:lvlJc w:val="left"/>
      <w:pPr>
        <w:ind w:left="2727" w:hanging="360"/>
      </w:pPr>
    </w:lvl>
    <w:lvl w:ilvl="2" w:tplc="0422001B" w:tentative="1">
      <w:start w:val="1"/>
      <w:numFmt w:val="lowerRoman"/>
      <w:lvlText w:val="%3."/>
      <w:lvlJc w:val="right"/>
      <w:pPr>
        <w:ind w:left="3447" w:hanging="180"/>
      </w:pPr>
    </w:lvl>
    <w:lvl w:ilvl="3" w:tplc="0422000F" w:tentative="1">
      <w:start w:val="1"/>
      <w:numFmt w:val="decimal"/>
      <w:lvlText w:val="%4."/>
      <w:lvlJc w:val="left"/>
      <w:pPr>
        <w:ind w:left="4167" w:hanging="360"/>
      </w:pPr>
    </w:lvl>
    <w:lvl w:ilvl="4" w:tplc="04220019" w:tentative="1">
      <w:start w:val="1"/>
      <w:numFmt w:val="lowerLetter"/>
      <w:lvlText w:val="%5."/>
      <w:lvlJc w:val="left"/>
      <w:pPr>
        <w:ind w:left="4887" w:hanging="360"/>
      </w:pPr>
    </w:lvl>
    <w:lvl w:ilvl="5" w:tplc="0422001B" w:tentative="1">
      <w:start w:val="1"/>
      <w:numFmt w:val="lowerRoman"/>
      <w:lvlText w:val="%6."/>
      <w:lvlJc w:val="right"/>
      <w:pPr>
        <w:ind w:left="5607" w:hanging="180"/>
      </w:pPr>
    </w:lvl>
    <w:lvl w:ilvl="6" w:tplc="0422000F" w:tentative="1">
      <w:start w:val="1"/>
      <w:numFmt w:val="decimal"/>
      <w:lvlText w:val="%7."/>
      <w:lvlJc w:val="left"/>
      <w:pPr>
        <w:ind w:left="6327" w:hanging="360"/>
      </w:pPr>
    </w:lvl>
    <w:lvl w:ilvl="7" w:tplc="04220019" w:tentative="1">
      <w:start w:val="1"/>
      <w:numFmt w:val="lowerLetter"/>
      <w:lvlText w:val="%8."/>
      <w:lvlJc w:val="left"/>
      <w:pPr>
        <w:ind w:left="7047" w:hanging="360"/>
      </w:pPr>
    </w:lvl>
    <w:lvl w:ilvl="8" w:tplc="0422001B" w:tentative="1">
      <w:start w:val="1"/>
      <w:numFmt w:val="lowerRoman"/>
      <w:lvlText w:val="%9."/>
      <w:lvlJc w:val="right"/>
      <w:pPr>
        <w:ind w:left="7767" w:hanging="180"/>
      </w:pPr>
    </w:lvl>
  </w:abstractNum>
  <w:abstractNum w:abstractNumId="2" w15:restartNumberingAfterBreak="0">
    <w:nsid w:val="1BDF72AD"/>
    <w:multiLevelType w:val="hybridMultilevel"/>
    <w:tmpl w:val="3CAAA95E"/>
    <w:lvl w:ilvl="0" w:tplc="04190011">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215909A8"/>
    <w:multiLevelType w:val="hybridMultilevel"/>
    <w:tmpl w:val="BD3C1D18"/>
    <w:lvl w:ilvl="0" w:tplc="C7884A0C">
      <w:start w:val="1"/>
      <w:numFmt w:val="decimal"/>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F7263B7"/>
    <w:multiLevelType w:val="hybridMultilevel"/>
    <w:tmpl w:val="E01C1640"/>
    <w:lvl w:ilvl="0" w:tplc="6C5695AE">
      <w:start w:val="1"/>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5" w15:restartNumberingAfterBreak="0">
    <w:nsid w:val="2F854E49"/>
    <w:multiLevelType w:val="hybridMultilevel"/>
    <w:tmpl w:val="CEBC91C4"/>
    <w:lvl w:ilvl="0" w:tplc="21C842A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2FB14FD6"/>
    <w:multiLevelType w:val="hybridMultilevel"/>
    <w:tmpl w:val="FECECB2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30334C8C"/>
    <w:multiLevelType w:val="hybridMultilevel"/>
    <w:tmpl w:val="34B8D5C4"/>
    <w:lvl w:ilvl="0" w:tplc="5F70D6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409016E0"/>
    <w:multiLevelType w:val="hybridMultilevel"/>
    <w:tmpl w:val="BB62426A"/>
    <w:lvl w:ilvl="0" w:tplc="47F03C40">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4521402"/>
    <w:multiLevelType w:val="hybridMultilevel"/>
    <w:tmpl w:val="F77ABBF8"/>
    <w:lvl w:ilvl="0" w:tplc="B06839F0">
      <w:start w:val="1"/>
      <w:numFmt w:val="decimal"/>
      <w:lvlText w:val="%1."/>
      <w:lvlJc w:val="left"/>
      <w:pPr>
        <w:ind w:left="1647" w:hanging="360"/>
      </w:pPr>
      <w:rPr>
        <w:rFonts w:hint="default"/>
      </w:rPr>
    </w:lvl>
    <w:lvl w:ilvl="1" w:tplc="04220019" w:tentative="1">
      <w:start w:val="1"/>
      <w:numFmt w:val="lowerLetter"/>
      <w:lvlText w:val="%2."/>
      <w:lvlJc w:val="left"/>
      <w:pPr>
        <w:ind w:left="2367" w:hanging="360"/>
      </w:pPr>
    </w:lvl>
    <w:lvl w:ilvl="2" w:tplc="0422001B" w:tentative="1">
      <w:start w:val="1"/>
      <w:numFmt w:val="lowerRoman"/>
      <w:lvlText w:val="%3."/>
      <w:lvlJc w:val="right"/>
      <w:pPr>
        <w:ind w:left="3087" w:hanging="180"/>
      </w:pPr>
    </w:lvl>
    <w:lvl w:ilvl="3" w:tplc="0422000F" w:tentative="1">
      <w:start w:val="1"/>
      <w:numFmt w:val="decimal"/>
      <w:lvlText w:val="%4."/>
      <w:lvlJc w:val="left"/>
      <w:pPr>
        <w:ind w:left="3807" w:hanging="360"/>
      </w:pPr>
    </w:lvl>
    <w:lvl w:ilvl="4" w:tplc="04220019" w:tentative="1">
      <w:start w:val="1"/>
      <w:numFmt w:val="lowerLetter"/>
      <w:lvlText w:val="%5."/>
      <w:lvlJc w:val="left"/>
      <w:pPr>
        <w:ind w:left="4527" w:hanging="360"/>
      </w:pPr>
    </w:lvl>
    <w:lvl w:ilvl="5" w:tplc="0422001B" w:tentative="1">
      <w:start w:val="1"/>
      <w:numFmt w:val="lowerRoman"/>
      <w:lvlText w:val="%6."/>
      <w:lvlJc w:val="right"/>
      <w:pPr>
        <w:ind w:left="5247" w:hanging="180"/>
      </w:pPr>
    </w:lvl>
    <w:lvl w:ilvl="6" w:tplc="0422000F" w:tentative="1">
      <w:start w:val="1"/>
      <w:numFmt w:val="decimal"/>
      <w:lvlText w:val="%7."/>
      <w:lvlJc w:val="left"/>
      <w:pPr>
        <w:ind w:left="5967" w:hanging="360"/>
      </w:pPr>
    </w:lvl>
    <w:lvl w:ilvl="7" w:tplc="04220019" w:tentative="1">
      <w:start w:val="1"/>
      <w:numFmt w:val="lowerLetter"/>
      <w:lvlText w:val="%8."/>
      <w:lvlJc w:val="left"/>
      <w:pPr>
        <w:ind w:left="6687" w:hanging="360"/>
      </w:pPr>
    </w:lvl>
    <w:lvl w:ilvl="8" w:tplc="0422001B" w:tentative="1">
      <w:start w:val="1"/>
      <w:numFmt w:val="lowerRoman"/>
      <w:lvlText w:val="%9."/>
      <w:lvlJc w:val="right"/>
      <w:pPr>
        <w:ind w:left="7407" w:hanging="180"/>
      </w:pPr>
    </w:lvl>
  </w:abstractNum>
  <w:abstractNum w:abstractNumId="10" w15:restartNumberingAfterBreak="0">
    <w:nsid w:val="5A483804"/>
    <w:multiLevelType w:val="multilevel"/>
    <w:tmpl w:val="4BECF5F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15:restartNumberingAfterBreak="0">
    <w:nsid w:val="64D9224D"/>
    <w:multiLevelType w:val="hybridMultilevel"/>
    <w:tmpl w:val="D2801642"/>
    <w:lvl w:ilvl="0" w:tplc="0FACC00A">
      <w:start w:val="1"/>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12" w15:restartNumberingAfterBreak="0">
    <w:nsid w:val="6F782094"/>
    <w:multiLevelType w:val="hybridMultilevel"/>
    <w:tmpl w:val="EDEADE82"/>
    <w:lvl w:ilvl="0" w:tplc="687008D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15:restartNumberingAfterBreak="0">
    <w:nsid w:val="761B2D7E"/>
    <w:multiLevelType w:val="hybridMultilevel"/>
    <w:tmpl w:val="8D7A1320"/>
    <w:lvl w:ilvl="0" w:tplc="08C277D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7DA27C2E"/>
    <w:multiLevelType w:val="hybridMultilevel"/>
    <w:tmpl w:val="C0483C30"/>
    <w:lvl w:ilvl="0" w:tplc="D280F42C">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num w:numId="1" w16cid:durableId="237441663">
    <w:abstractNumId w:val="1"/>
  </w:num>
  <w:num w:numId="2" w16cid:durableId="878323953">
    <w:abstractNumId w:val="2"/>
  </w:num>
  <w:num w:numId="3" w16cid:durableId="1113017459">
    <w:abstractNumId w:val="14"/>
  </w:num>
  <w:num w:numId="4" w16cid:durableId="340162851">
    <w:abstractNumId w:val="3"/>
  </w:num>
  <w:num w:numId="5" w16cid:durableId="629899017">
    <w:abstractNumId w:val="10"/>
  </w:num>
  <w:num w:numId="6" w16cid:durableId="563568015">
    <w:abstractNumId w:val="0"/>
  </w:num>
  <w:num w:numId="7" w16cid:durableId="907232254">
    <w:abstractNumId w:val="5"/>
  </w:num>
  <w:num w:numId="8" w16cid:durableId="1382285316">
    <w:abstractNumId w:val="8"/>
  </w:num>
  <w:num w:numId="9" w16cid:durableId="107237609">
    <w:abstractNumId w:val="7"/>
  </w:num>
  <w:num w:numId="10" w16cid:durableId="510949985">
    <w:abstractNumId w:val="6"/>
  </w:num>
  <w:num w:numId="11" w16cid:durableId="778111407">
    <w:abstractNumId w:val="12"/>
  </w:num>
  <w:num w:numId="12" w16cid:durableId="1878546999">
    <w:abstractNumId w:val="4"/>
  </w:num>
  <w:num w:numId="13" w16cid:durableId="1438713576">
    <w:abstractNumId w:val="13"/>
  </w:num>
  <w:num w:numId="14" w16cid:durableId="1472752686">
    <w:abstractNumId w:val="9"/>
  </w:num>
  <w:num w:numId="15" w16cid:durableId="9705967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ED9"/>
    <w:rsid w:val="00056C44"/>
    <w:rsid w:val="000940FF"/>
    <w:rsid w:val="000B2DFA"/>
    <w:rsid w:val="000C71E9"/>
    <w:rsid w:val="00121444"/>
    <w:rsid w:val="00180839"/>
    <w:rsid w:val="00192B6E"/>
    <w:rsid w:val="001952DA"/>
    <w:rsid w:val="001D707B"/>
    <w:rsid w:val="00214C0A"/>
    <w:rsid w:val="0023495A"/>
    <w:rsid w:val="00256458"/>
    <w:rsid w:val="00275971"/>
    <w:rsid w:val="002C5F8D"/>
    <w:rsid w:val="002E4386"/>
    <w:rsid w:val="00306ED9"/>
    <w:rsid w:val="00316112"/>
    <w:rsid w:val="00324E77"/>
    <w:rsid w:val="004320B9"/>
    <w:rsid w:val="00443459"/>
    <w:rsid w:val="00444333"/>
    <w:rsid w:val="004511A0"/>
    <w:rsid w:val="00482964"/>
    <w:rsid w:val="004A1F74"/>
    <w:rsid w:val="004A40BB"/>
    <w:rsid w:val="004A758E"/>
    <w:rsid w:val="004F04D6"/>
    <w:rsid w:val="00503FB0"/>
    <w:rsid w:val="005240AB"/>
    <w:rsid w:val="0052441B"/>
    <w:rsid w:val="00524F8D"/>
    <w:rsid w:val="00532803"/>
    <w:rsid w:val="0053732F"/>
    <w:rsid w:val="005477BA"/>
    <w:rsid w:val="005518E4"/>
    <w:rsid w:val="005540C4"/>
    <w:rsid w:val="0055494C"/>
    <w:rsid w:val="00595A67"/>
    <w:rsid w:val="005E3F3C"/>
    <w:rsid w:val="006266C3"/>
    <w:rsid w:val="006654BD"/>
    <w:rsid w:val="006B1AEF"/>
    <w:rsid w:val="007077D6"/>
    <w:rsid w:val="007622A8"/>
    <w:rsid w:val="00786CDF"/>
    <w:rsid w:val="008B1CE3"/>
    <w:rsid w:val="008B25D9"/>
    <w:rsid w:val="008D6E03"/>
    <w:rsid w:val="00924065"/>
    <w:rsid w:val="009E4804"/>
    <w:rsid w:val="009E7BD7"/>
    <w:rsid w:val="009F2169"/>
    <w:rsid w:val="00AC5BB7"/>
    <w:rsid w:val="00B4429C"/>
    <w:rsid w:val="00B724ED"/>
    <w:rsid w:val="00B83701"/>
    <w:rsid w:val="00B87F9D"/>
    <w:rsid w:val="00BB396A"/>
    <w:rsid w:val="00BC3B92"/>
    <w:rsid w:val="00C01C86"/>
    <w:rsid w:val="00C36ED5"/>
    <w:rsid w:val="00C45FBE"/>
    <w:rsid w:val="00CB12FC"/>
    <w:rsid w:val="00D901EA"/>
    <w:rsid w:val="00E27F1B"/>
    <w:rsid w:val="00E51586"/>
    <w:rsid w:val="00E55FCB"/>
    <w:rsid w:val="00E57165"/>
    <w:rsid w:val="00E82E5D"/>
    <w:rsid w:val="00EB0A82"/>
    <w:rsid w:val="00EB4B6E"/>
    <w:rsid w:val="00F120CD"/>
    <w:rsid w:val="00F37E75"/>
    <w:rsid w:val="00F763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FF703"/>
  <w15:chartTrackingRefBased/>
  <w15:docId w15:val="{3D012BF7-8EDE-4A0E-86AA-6EC96F34F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40C4"/>
    <w:rPr>
      <w:lang w:val="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40C4"/>
    <w:pPr>
      <w:ind w:left="720"/>
      <w:contextualSpacing/>
    </w:pPr>
  </w:style>
  <w:style w:type="character" w:styleId="a4">
    <w:name w:val="Hyperlink"/>
    <w:basedOn w:val="a0"/>
    <w:uiPriority w:val="99"/>
    <w:unhideWhenUsed/>
    <w:rsid w:val="005540C4"/>
    <w:rPr>
      <w:color w:val="0000FF"/>
      <w:u w:val="single"/>
    </w:rPr>
  </w:style>
  <w:style w:type="paragraph" w:styleId="a5">
    <w:name w:val="Normal (Web)"/>
    <w:basedOn w:val="a"/>
    <w:rsid w:val="005540C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F763C6"/>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F763C6"/>
    <w:rPr>
      <w:rFonts w:ascii="Segoe UI" w:hAnsi="Segoe UI" w:cs="Segoe UI"/>
      <w:sz w:val="18"/>
      <w:szCs w:val="18"/>
      <w:lang w:val="ru-RU"/>
    </w:rPr>
  </w:style>
  <w:style w:type="paragraph" w:styleId="a8">
    <w:name w:val="header"/>
    <w:basedOn w:val="a"/>
    <w:link w:val="a9"/>
    <w:uiPriority w:val="99"/>
    <w:unhideWhenUsed/>
    <w:rsid w:val="002C5F8D"/>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2C5F8D"/>
    <w:rPr>
      <w:lang w:val="ru-RU"/>
    </w:rPr>
  </w:style>
  <w:style w:type="paragraph" w:styleId="aa">
    <w:name w:val="footer"/>
    <w:basedOn w:val="a"/>
    <w:link w:val="ab"/>
    <w:uiPriority w:val="99"/>
    <w:unhideWhenUsed/>
    <w:rsid w:val="002C5F8D"/>
    <w:pPr>
      <w:tabs>
        <w:tab w:val="center" w:pos="4677"/>
        <w:tab w:val="right" w:pos="9355"/>
      </w:tabs>
      <w:spacing w:after="0" w:line="240" w:lineRule="auto"/>
    </w:pPr>
  </w:style>
  <w:style w:type="character" w:customStyle="1" w:styleId="ab">
    <w:name w:val="Нижній колонтитул Знак"/>
    <w:basedOn w:val="a0"/>
    <w:link w:val="aa"/>
    <w:uiPriority w:val="99"/>
    <w:rsid w:val="002C5F8D"/>
    <w:rPr>
      <w:lang w:val="ru-RU"/>
    </w:rPr>
  </w:style>
  <w:style w:type="character" w:customStyle="1" w:styleId="rvts0">
    <w:name w:val="rvts0"/>
    <w:basedOn w:val="a0"/>
    <w:rsid w:val="00C36E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477528">
      <w:bodyDiv w:val="1"/>
      <w:marLeft w:val="0"/>
      <w:marRight w:val="0"/>
      <w:marTop w:val="0"/>
      <w:marBottom w:val="0"/>
      <w:divBdr>
        <w:top w:val="none" w:sz="0" w:space="0" w:color="auto"/>
        <w:left w:val="none" w:sz="0" w:space="0" w:color="auto"/>
        <w:bottom w:val="none" w:sz="0" w:space="0" w:color="auto"/>
        <w:right w:val="none" w:sz="0" w:space="0" w:color="auto"/>
      </w:divBdr>
    </w:div>
    <w:div w:id="439419576">
      <w:bodyDiv w:val="1"/>
      <w:marLeft w:val="0"/>
      <w:marRight w:val="0"/>
      <w:marTop w:val="0"/>
      <w:marBottom w:val="0"/>
      <w:divBdr>
        <w:top w:val="none" w:sz="0" w:space="0" w:color="auto"/>
        <w:left w:val="none" w:sz="0" w:space="0" w:color="auto"/>
        <w:bottom w:val="none" w:sz="0" w:space="0" w:color="auto"/>
        <w:right w:val="none" w:sz="0" w:space="0" w:color="auto"/>
      </w:divBdr>
    </w:div>
    <w:div w:id="482821317">
      <w:bodyDiv w:val="1"/>
      <w:marLeft w:val="0"/>
      <w:marRight w:val="0"/>
      <w:marTop w:val="0"/>
      <w:marBottom w:val="0"/>
      <w:divBdr>
        <w:top w:val="none" w:sz="0" w:space="0" w:color="auto"/>
        <w:left w:val="none" w:sz="0" w:space="0" w:color="auto"/>
        <w:bottom w:val="none" w:sz="0" w:space="0" w:color="auto"/>
        <w:right w:val="none" w:sz="0" w:space="0" w:color="auto"/>
      </w:divBdr>
    </w:div>
    <w:div w:id="108417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1540-19" TargetMode="External"/><Relationship Id="rId12" Type="http://schemas.openxmlformats.org/officeDocument/2006/relationships/hyperlink" Target="https://zakon.rada.gov.ua/laws/show/2939-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657-12"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onitoring_E@nerc.gov.ua" TargetMode="External"/><Relationship Id="rId4" Type="http://schemas.openxmlformats.org/officeDocument/2006/relationships/webSettings" Target="webSettings.xml"/><Relationship Id="rId9" Type="http://schemas.openxmlformats.org/officeDocument/2006/relationships/hyperlink" Target="https://zakon.rada.gov.ua/laws/show/2939-1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328</TotalTime>
  <Pages>9</Pages>
  <Words>11644</Words>
  <Characters>6638</Characters>
  <Application>Microsoft Office Word</Application>
  <DocSecurity>0</DocSecurity>
  <Lines>55</Lines>
  <Paragraphs>36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LM 019</cp:lastModifiedBy>
  <cp:revision>47</cp:revision>
  <cp:lastPrinted>2019-07-12T06:14:00Z</cp:lastPrinted>
  <dcterms:created xsi:type="dcterms:W3CDTF">2019-07-05T11:14:00Z</dcterms:created>
  <dcterms:modified xsi:type="dcterms:W3CDTF">2024-09-23T13:51:00Z</dcterms:modified>
</cp:coreProperties>
</file>