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BD1" w:rsidRPr="009D7602" w:rsidRDefault="00027BD1" w:rsidP="00027BD1">
      <w:pPr>
        <w:pStyle w:val="af1"/>
        <w:framePr w:hSpace="45" w:wrap="around" w:vAnchor="text" w:hAnchor="text" w:xAlign="right" w:y="104"/>
        <w:tabs>
          <w:tab w:val="left" w:pos="9072"/>
        </w:tabs>
        <w:spacing w:before="0" w:beforeAutospacing="0" w:after="0" w:afterAutospacing="0"/>
        <w:ind w:left="5670"/>
        <w:rPr>
          <w:sz w:val="28"/>
          <w:szCs w:val="28"/>
        </w:rPr>
      </w:pPr>
      <w:r w:rsidRPr="009D7602">
        <w:rPr>
          <w:sz w:val="28"/>
          <w:szCs w:val="28"/>
        </w:rPr>
        <w:t>ЗАТВЕРДЖЕНО</w:t>
      </w:r>
      <w:r w:rsidRPr="009D7602">
        <w:rPr>
          <w:sz w:val="28"/>
          <w:szCs w:val="28"/>
        </w:rPr>
        <w:br/>
        <w:t>Постанова Національної комісії, що здійснює державне регулювання у сферах</w:t>
      </w:r>
      <w:r w:rsidRPr="009D7602">
        <w:rPr>
          <w:sz w:val="28"/>
          <w:szCs w:val="28"/>
          <w:lang w:val="ru-RU"/>
        </w:rPr>
        <w:t xml:space="preserve"> </w:t>
      </w:r>
      <w:r w:rsidRPr="009D7602">
        <w:rPr>
          <w:sz w:val="28"/>
          <w:szCs w:val="28"/>
        </w:rPr>
        <w:t>енергетики та комунальних</w:t>
      </w:r>
      <w:r w:rsidRPr="009D7602">
        <w:rPr>
          <w:sz w:val="28"/>
          <w:szCs w:val="28"/>
          <w:lang w:val="ru-RU"/>
        </w:rPr>
        <w:t xml:space="preserve"> </w:t>
      </w:r>
      <w:r w:rsidRPr="009D7602">
        <w:rPr>
          <w:sz w:val="28"/>
          <w:szCs w:val="28"/>
        </w:rPr>
        <w:t xml:space="preserve">послуг </w:t>
      </w:r>
    </w:p>
    <w:p w:rsidR="00027BD1" w:rsidRDefault="00027BD1" w:rsidP="00027BD1">
      <w:pPr>
        <w:pStyle w:val="af1"/>
        <w:tabs>
          <w:tab w:val="left" w:pos="9072"/>
        </w:tabs>
        <w:spacing w:before="0" w:beforeAutospacing="0" w:after="0" w:afterAutospacing="0"/>
        <w:ind w:left="5670"/>
        <w:rPr>
          <w:sz w:val="28"/>
          <w:szCs w:val="28"/>
        </w:rPr>
      </w:pPr>
      <w:r>
        <w:rPr>
          <w:sz w:val="28"/>
          <w:szCs w:val="28"/>
        </w:rPr>
        <w:t>29.03.2019 № 450</w:t>
      </w:r>
    </w:p>
    <w:p w:rsidR="00042B17" w:rsidRDefault="00027BD1" w:rsidP="00027BD1">
      <w:pPr>
        <w:pStyle w:val="af1"/>
        <w:tabs>
          <w:tab w:val="left" w:pos="9072"/>
        </w:tabs>
        <w:spacing w:before="0" w:beforeAutospacing="0" w:after="0" w:afterAutospacing="0"/>
        <w:ind w:left="5670"/>
        <w:rPr>
          <w:sz w:val="28"/>
          <w:szCs w:val="28"/>
        </w:rPr>
      </w:pPr>
      <w:r>
        <w:rPr>
          <w:sz w:val="28"/>
          <w:szCs w:val="28"/>
        </w:rPr>
        <w:t xml:space="preserve">(в редакції постанови НКРЕКП від </w:t>
      </w:r>
      <w:r w:rsidR="001B148F">
        <w:rPr>
          <w:sz w:val="28"/>
          <w:szCs w:val="28"/>
          <w:lang w:val="ru-RU"/>
        </w:rPr>
        <w:t>06.02.2024</w:t>
      </w:r>
      <w:r w:rsidR="001B148F">
        <w:rPr>
          <w:sz w:val="28"/>
          <w:szCs w:val="28"/>
        </w:rPr>
        <w:t xml:space="preserve"> № 234</w:t>
      </w:r>
      <w:bookmarkStart w:id="0" w:name="_GoBack"/>
      <w:bookmarkEnd w:id="0"/>
      <w:r>
        <w:rPr>
          <w:sz w:val="28"/>
          <w:szCs w:val="28"/>
        </w:rPr>
        <w:t>)</w:t>
      </w:r>
    </w:p>
    <w:p w:rsidR="00027BD1" w:rsidRDefault="00027BD1" w:rsidP="00027BD1">
      <w:pPr>
        <w:pStyle w:val="af1"/>
        <w:tabs>
          <w:tab w:val="left" w:pos="9072"/>
        </w:tabs>
        <w:spacing w:before="0" w:beforeAutospacing="0" w:after="0" w:afterAutospacing="0"/>
        <w:ind w:left="5670"/>
        <w:rPr>
          <w:b/>
          <w:sz w:val="28"/>
          <w:szCs w:val="28"/>
        </w:rPr>
      </w:pPr>
    </w:p>
    <w:p w:rsidR="00027BD1" w:rsidRDefault="00027BD1" w:rsidP="00027BD1">
      <w:pPr>
        <w:pStyle w:val="af1"/>
        <w:tabs>
          <w:tab w:val="left" w:pos="9072"/>
        </w:tabs>
        <w:spacing w:before="0" w:beforeAutospacing="0" w:after="0" w:afterAutospacing="0"/>
        <w:ind w:left="5670"/>
        <w:rPr>
          <w:b/>
          <w:sz w:val="28"/>
          <w:szCs w:val="28"/>
        </w:rPr>
      </w:pPr>
    </w:p>
    <w:p w:rsidR="00027BD1" w:rsidRPr="00121192" w:rsidRDefault="00027BD1" w:rsidP="00027BD1">
      <w:pPr>
        <w:pStyle w:val="af1"/>
        <w:tabs>
          <w:tab w:val="left" w:pos="9072"/>
        </w:tabs>
        <w:spacing w:before="0" w:beforeAutospacing="0" w:after="0" w:afterAutospacing="0"/>
        <w:ind w:left="5670"/>
        <w:rPr>
          <w:b/>
          <w:sz w:val="28"/>
          <w:szCs w:val="28"/>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 xml:space="preserve">ІНСТРУКЦІЯ </w:t>
      </w: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щодо заповнення форми звітності № 10-НКРЕКП-моніторинг-передача (річна) «Звіт про доступ та приєднання до системи передачі електричної енергії»</w:t>
      </w:r>
    </w:p>
    <w:p w:rsidR="00042B17" w:rsidRPr="00121192" w:rsidRDefault="00042B17" w:rsidP="00042B17">
      <w:pPr>
        <w:spacing w:after="0" w:line="276" w:lineRule="auto"/>
        <w:jc w:val="center"/>
        <w:rPr>
          <w:rFonts w:ascii="Times New Roman" w:hAnsi="Times New Roman" w:cs="Times New Roman"/>
          <w:b/>
          <w:sz w:val="28"/>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1. Загальні положення</w:t>
      </w:r>
    </w:p>
    <w:p w:rsidR="00042B17" w:rsidRPr="00121192" w:rsidRDefault="00042B17" w:rsidP="00042B17">
      <w:pPr>
        <w:spacing w:after="0" w:line="276" w:lineRule="auto"/>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1.1. Ця Інструкція поширюється на суб'єкта господарювання, який отримав ліцензію на провадження господарської діяльності з передачі електричної енергії (далі – ОСП</w:t>
      </w:r>
      <w:r w:rsidR="00027BD1">
        <w:rPr>
          <w:rFonts w:ascii="Times New Roman" w:hAnsi="Times New Roman" w:cs="Times New Roman"/>
          <w:sz w:val="28"/>
          <w:szCs w:val="28"/>
          <w:lang w:val="uk-UA"/>
        </w:rPr>
        <w:t>, ліцензіат</w:t>
      </w:r>
      <w:r w:rsidRPr="00121192">
        <w:rPr>
          <w:rFonts w:ascii="Times New Roman" w:hAnsi="Times New Roman" w:cs="Times New Roman"/>
          <w:sz w:val="28"/>
          <w:szCs w:val="28"/>
          <w:lang w:val="uk-UA"/>
        </w:rPr>
        <w:t>).</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1.2. Ця Інструкція визначає порядок заповнення форми звітності № 10</w:t>
      </w:r>
      <w:r w:rsidRPr="00121192">
        <w:rPr>
          <w:rFonts w:ascii="Times New Roman" w:hAnsi="Times New Roman" w:cs="Times New Roman"/>
          <w:sz w:val="28"/>
          <w:szCs w:val="28"/>
          <w:lang w:val="uk-UA"/>
        </w:rPr>
        <w:noBreakHyphen/>
        <w:t>НКРЕКП-моніторинг-передача (річна) «Звіт про доступ та приєднання до системи передачі електричної енергії» (далі – форма звітності № 10) та додатка до неї, а також термін її подання до Національної комісії, що здійснює державне регулювання у сферах енергетики та комунальних послуг (далі – НКРЕКП).</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1.3. Цю Інструкцію розроблено відповідно до:</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 xml:space="preserve">законів України «Про ринок електричної енергії» (далі – Закон), «Про </w:t>
      </w:r>
      <w:hyperlink r:id="rId8" w:tgtFrame="_blank" w:history="1">
        <w:r w:rsidRPr="00121192">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121192">
        <w:rPr>
          <w:rFonts w:ascii="Times New Roman" w:hAnsi="Times New Roman" w:cs="Times New Roman"/>
          <w:sz w:val="28"/>
          <w:szCs w:val="28"/>
          <w:lang w:val="uk-UA"/>
        </w:rPr>
        <w:t>, </w:t>
      </w:r>
      <w:hyperlink r:id="rId9" w:tgtFrame="_blank" w:history="1">
        <w:r w:rsidRPr="00121192">
          <w:rPr>
            <w:rFonts w:ascii="Times New Roman" w:hAnsi="Times New Roman" w:cs="Times New Roman"/>
            <w:sz w:val="28"/>
            <w:szCs w:val="28"/>
            <w:lang w:val="uk-UA"/>
          </w:rPr>
          <w:t>«Про інформацію»</w:t>
        </w:r>
      </w:hyperlink>
      <w:r w:rsidRPr="00121192">
        <w:rPr>
          <w:rFonts w:ascii="Times New Roman" w:hAnsi="Times New Roman" w:cs="Times New Roman"/>
          <w:sz w:val="28"/>
          <w:szCs w:val="28"/>
          <w:lang w:val="uk-UA"/>
        </w:rPr>
        <w:t>, </w:t>
      </w:r>
      <w:hyperlink r:id="rId10" w:tgtFrame="_blank" w:history="1">
        <w:r w:rsidRPr="00121192">
          <w:rPr>
            <w:rFonts w:ascii="Times New Roman" w:hAnsi="Times New Roman" w:cs="Times New Roman"/>
            <w:sz w:val="28"/>
            <w:szCs w:val="28"/>
            <w:lang w:val="uk-UA"/>
          </w:rPr>
          <w:t>«Про доступ до публічної інформації»</w:t>
        </w:r>
      </w:hyperlink>
      <w:r w:rsidRPr="00121192">
        <w:rPr>
          <w:rFonts w:ascii="Times New Roman" w:hAnsi="Times New Roman" w:cs="Times New Roman"/>
          <w:sz w:val="28"/>
          <w:szCs w:val="28"/>
          <w:lang w:val="uk-UA"/>
        </w:rPr>
        <w:t>;</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Кодексу системи передачі, затвердженого постановою НКРЕКП від 14 березня 2018 року № 309</w:t>
      </w:r>
      <w:r w:rsidR="001E4BF6">
        <w:rPr>
          <w:rFonts w:ascii="Times New Roman" w:hAnsi="Times New Roman" w:cs="Times New Roman"/>
          <w:sz w:val="28"/>
          <w:szCs w:val="28"/>
          <w:lang w:val="uk-UA"/>
        </w:rPr>
        <w:t xml:space="preserve"> (далі – КСП)</w:t>
      </w:r>
      <w:r w:rsidRPr="00121192">
        <w:rPr>
          <w:rFonts w:ascii="Times New Roman" w:hAnsi="Times New Roman" w:cs="Times New Roman"/>
          <w:sz w:val="28"/>
          <w:szCs w:val="28"/>
          <w:lang w:val="uk-UA"/>
        </w:rPr>
        <w:t>,</w:t>
      </w:r>
      <w:r w:rsidRPr="00121192">
        <w:rPr>
          <w:rFonts w:ascii="Times New Roman" w:hAnsi="Times New Roman" w:cs="Times New Roman"/>
          <w:sz w:val="28"/>
          <w:szCs w:val="28"/>
        </w:rPr>
        <w:t xml:space="preserve"> </w:t>
      </w:r>
      <w:r w:rsidRPr="00121192">
        <w:rPr>
          <w:rFonts w:ascii="Times New Roman" w:hAnsi="Times New Roman" w:cs="Times New Roman"/>
          <w:sz w:val="28"/>
          <w:szCs w:val="28"/>
          <w:lang w:val="uk-UA"/>
        </w:rPr>
        <w:t xml:space="preserve">Кодексу комерційного обліку електричної енергії, затвердженого постановою НКРЕКП від 14 березня 2018 року № 311, Правил ринку, затверджених постановою НКРЕКП від 14 березня 2018 року № 307, Правил роздрібного ринку електричної енергії, затверджених постановою НКРЕКП від 14 березня 2018 року № 312, Ліцензійних умов </w:t>
      </w:r>
      <w:r w:rsidRPr="00121192">
        <w:rPr>
          <w:rFonts w:ascii="Times New Roman" w:hAnsi="Times New Roman" w:cs="Times New Roman"/>
          <w:sz w:val="28"/>
          <w:szCs w:val="28"/>
          <w:lang w:val="uk-UA"/>
        </w:rPr>
        <w:lastRenderedPageBreak/>
        <w:t>провадження господарської діяльності з передачі електричної енергії, затверджених постановою НКРЕКП від 09 листопада 2017 року № 1388;</w:t>
      </w:r>
    </w:p>
    <w:p w:rsidR="00042B17" w:rsidRDefault="00042B17" w:rsidP="00042B17">
      <w:pPr>
        <w:spacing w:after="0" w:line="276" w:lineRule="auto"/>
        <w:ind w:firstLine="567"/>
        <w:jc w:val="both"/>
        <w:rPr>
          <w:rFonts w:ascii="Times New Roman" w:hAnsi="Times New Roman" w:cs="Times New Roman"/>
          <w:sz w:val="28"/>
          <w:szCs w:val="28"/>
          <w:lang w:val="uk-UA"/>
        </w:rPr>
      </w:pPr>
      <w:r w:rsidRPr="00121192">
        <w:rPr>
          <w:rFonts w:ascii="Times New Roman" w:hAnsi="Times New Roman" w:cs="Times New Roman"/>
          <w:sz w:val="28"/>
          <w:szCs w:val="28"/>
          <w:lang w:val="uk-UA"/>
        </w:rPr>
        <w:t>інших нормативно-правових актів, якими регулюється ліцензована діяльність суб’єкта господарської діяльності з передачі електричної енергії.</w:t>
      </w:r>
    </w:p>
    <w:p w:rsidR="00042B17" w:rsidRPr="005113C3" w:rsidRDefault="00042B17" w:rsidP="00042B17">
      <w:pPr>
        <w:spacing w:after="0" w:line="276" w:lineRule="auto"/>
        <w:ind w:firstLine="567"/>
        <w:jc w:val="both"/>
        <w:rPr>
          <w:rFonts w:ascii="Times New Roman" w:hAnsi="Times New Roman" w:cs="Times New Roman"/>
          <w:sz w:val="24"/>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2. Порядок та термін надання інформації</w:t>
      </w:r>
    </w:p>
    <w:p w:rsidR="00042B17" w:rsidRPr="005113C3" w:rsidRDefault="00042B17" w:rsidP="00042B17">
      <w:pPr>
        <w:spacing w:after="0" w:line="276" w:lineRule="auto"/>
        <w:jc w:val="both"/>
        <w:rPr>
          <w:rFonts w:ascii="Times New Roman" w:hAnsi="Times New Roman" w:cs="Times New Roman"/>
          <w:sz w:val="20"/>
          <w:szCs w:val="28"/>
          <w:lang w:val="uk-UA"/>
        </w:rPr>
      </w:pPr>
    </w:p>
    <w:p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bookmarkStart w:id="1" w:name="_Hlk152751575"/>
      <w:r w:rsidRPr="00D309E8">
        <w:rPr>
          <w:rFonts w:ascii="Times New Roman" w:hAnsi="Times New Roman" w:cs="Times New Roman"/>
          <w:sz w:val="28"/>
          <w:szCs w:val="28"/>
        </w:rPr>
        <w:t xml:space="preserve">2.1. </w:t>
      </w:r>
      <w:proofErr w:type="spellStart"/>
      <w:r w:rsidRPr="00D309E8">
        <w:rPr>
          <w:rFonts w:ascii="Times New Roman" w:hAnsi="Times New Roman" w:cs="Times New Roman"/>
          <w:sz w:val="28"/>
          <w:szCs w:val="28"/>
        </w:rPr>
        <w:t>Звітним</w:t>
      </w:r>
      <w:proofErr w:type="spellEnd"/>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періодом</w:t>
      </w:r>
      <w:proofErr w:type="spellEnd"/>
      <w:r w:rsidRPr="00D309E8">
        <w:rPr>
          <w:rFonts w:ascii="Times New Roman" w:hAnsi="Times New Roman" w:cs="Times New Roman"/>
          <w:sz w:val="28"/>
          <w:szCs w:val="28"/>
        </w:rPr>
        <w:t xml:space="preserve"> є </w:t>
      </w:r>
      <w:proofErr w:type="spellStart"/>
      <w:r w:rsidRPr="00D309E8">
        <w:rPr>
          <w:rFonts w:ascii="Times New Roman" w:hAnsi="Times New Roman" w:cs="Times New Roman"/>
          <w:sz w:val="28"/>
          <w:szCs w:val="28"/>
        </w:rPr>
        <w:t>календарний</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rsidR="00027BD1" w:rsidRDefault="00027BD1" w:rsidP="00027BD1">
      <w:pPr>
        <w:tabs>
          <w:tab w:val="left" w:pos="426"/>
          <w:tab w:val="left" w:pos="567"/>
        </w:tabs>
        <w:spacing w:after="0" w:line="240" w:lineRule="auto"/>
        <w:ind w:firstLine="709"/>
        <w:jc w:val="both"/>
        <w:rPr>
          <w:rFonts w:ascii="Times New Roman" w:hAnsi="Times New Roman" w:cs="Times New Roman"/>
          <w:sz w:val="28"/>
          <w:szCs w:val="28"/>
        </w:rPr>
      </w:pPr>
    </w:p>
    <w:p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w:t>
      </w:r>
      <w:proofErr w:type="spellStart"/>
      <w:r w:rsidRPr="00D309E8">
        <w:rPr>
          <w:rFonts w:ascii="Times New Roman" w:hAnsi="Times New Roman" w:cs="Times New Roman"/>
          <w:sz w:val="28"/>
          <w:szCs w:val="28"/>
        </w:rPr>
        <w:t>звітності</w:t>
      </w:r>
      <w:proofErr w:type="spellEnd"/>
      <w:r w:rsidRPr="00D309E8">
        <w:rPr>
          <w:rFonts w:ascii="Times New Roman" w:hAnsi="Times New Roman" w:cs="Times New Roman"/>
          <w:sz w:val="28"/>
          <w:szCs w:val="28"/>
        </w:rPr>
        <w:t xml:space="preserve"> </w:t>
      </w:r>
      <w:r>
        <w:rPr>
          <w:rFonts w:ascii="Times New Roman" w:hAnsi="Times New Roman" w:cs="Times New Roman"/>
          <w:sz w:val="28"/>
          <w:szCs w:val="28"/>
        </w:rPr>
        <w:t>№ 10</w:t>
      </w:r>
      <w:r w:rsidRPr="00D309E8">
        <w:rPr>
          <w:rFonts w:ascii="Times New Roman" w:hAnsi="Times New Roman" w:cs="Times New Roman"/>
          <w:sz w:val="28"/>
          <w:szCs w:val="28"/>
        </w:rPr>
        <w:t xml:space="preserve"> </w:t>
      </w:r>
      <w:proofErr w:type="spellStart"/>
      <w:r w:rsidRPr="00D309E8">
        <w:rPr>
          <w:rFonts w:ascii="Times New Roman" w:hAnsi="Times New Roman" w:cs="Times New Roman"/>
          <w:sz w:val="28"/>
          <w:szCs w:val="28"/>
        </w:rPr>
        <w:t>подається</w:t>
      </w:r>
      <w:proofErr w:type="spellEnd"/>
      <w:r w:rsidRPr="00D309E8">
        <w:rPr>
          <w:rFonts w:ascii="Times New Roman" w:hAnsi="Times New Roman" w:cs="Times New Roman"/>
          <w:sz w:val="28"/>
          <w:szCs w:val="28"/>
        </w:rPr>
        <w:t xml:space="preserve">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rsidR="00027BD1" w:rsidRDefault="00027BD1" w:rsidP="00027BD1">
      <w:pPr>
        <w:tabs>
          <w:tab w:val="left" w:pos="426"/>
          <w:tab w:val="left" w:pos="993"/>
        </w:tabs>
        <w:spacing w:after="0" w:line="240" w:lineRule="auto"/>
        <w:ind w:firstLine="709"/>
        <w:jc w:val="both"/>
        <w:rPr>
          <w:rFonts w:ascii="Times New Roman" w:hAnsi="Times New Roman" w:cs="Times New Roman"/>
          <w:sz w:val="28"/>
          <w:szCs w:val="28"/>
        </w:rPr>
      </w:pP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BB1B59">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r</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E30E2A">
        <w:rPr>
          <w:rFonts w:ascii="Times New Roman" w:eastAsia="Calibri" w:hAnsi="Times New Roman" w:cs="Times New Roman"/>
          <w:sz w:val="28"/>
          <w:szCs w:val="28"/>
          <w:shd w:val="clear" w:color="auto" w:fill="FFFFFF"/>
          <w:lang w:val="uk-UA"/>
        </w:rPr>
        <w:t xml:space="preserve">надходження </w:t>
      </w:r>
      <w:r w:rsidRPr="00665D42">
        <w:rPr>
          <w:rFonts w:ascii="Times New Roman" w:eastAsia="Calibri" w:hAnsi="Times New Roman" w:cs="Times New Roman"/>
          <w:sz w:val="28"/>
          <w:szCs w:val="28"/>
          <w:shd w:val="clear" w:color="auto" w:fill="FFFFFF"/>
          <w:lang w:val="uk-UA"/>
        </w:rPr>
        <w:t xml:space="preserve">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BB1B59">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BB1B59">
        <w:rPr>
          <w:rFonts w:ascii="Times New Roman" w:eastAsia="Calibri" w:hAnsi="Times New Roman" w:cs="Times New Roman"/>
          <w:sz w:val="28"/>
          <w:szCs w:val="28"/>
          <w:shd w:val="clear" w:color="auto" w:fill="FFFFFF"/>
          <w:lang w:val="uk-UA"/>
        </w:rPr>
        <w:t>,</w:t>
      </w:r>
      <w:r w:rsidRPr="00665D42">
        <w:rPr>
          <w:rFonts w:ascii="Times New Roman" w:eastAsia="Calibri" w:hAnsi="Times New Roman" w:cs="Times New Roman"/>
          <w:sz w:val="28"/>
          <w:szCs w:val="28"/>
          <w:shd w:val="clear" w:color="auto" w:fill="FFFFFF"/>
          <w:lang w:val="uk-UA"/>
        </w:rPr>
        <w:t xml:space="preserve"> вважається, що форма звітності не одержана НКРЕКП.</w:t>
      </w:r>
    </w:p>
    <w:p w:rsidR="00027BD1" w:rsidRPr="00665D42"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rsidR="00027BD1" w:rsidRDefault="00027BD1"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10</w:t>
      </w:r>
      <w:r w:rsidRPr="00665D42">
        <w:rPr>
          <w:rFonts w:ascii="Times New Roman" w:eastAsia="Calibri" w:hAnsi="Times New Roman" w:cs="Times New Roman"/>
          <w:sz w:val="28"/>
          <w:szCs w:val="28"/>
          <w:shd w:val="clear" w:color="auto" w:fill="FFFFFF"/>
          <w:lang w:val="uk-UA"/>
        </w:rPr>
        <w:t xml:space="preserve"> до НКРЕКП.</w:t>
      </w:r>
    </w:p>
    <w:p w:rsidR="00BB1B59" w:rsidRPr="00665D42" w:rsidRDefault="00BB1B59" w:rsidP="00027BD1">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p>
    <w:p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lastRenderedPageBreak/>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10</w:t>
      </w:r>
      <w:r w:rsidRPr="00665D42">
        <w:rPr>
          <w:rFonts w:ascii="Times New Roman" w:eastAsia="Times New Roman" w:hAnsi="Times New Roman" w:cs="Times New Roman"/>
          <w:sz w:val="28"/>
          <w:szCs w:val="28"/>
          <w:lang w:val="uk-UA" w:eastAsia="uk-UA"/>
        </w:rPr>
        <w:t xml:space="preserve">. </w:t>
      </w:r>
    </w:p>
    <w:p w:rsidR="00027BD1" w:rsidRPr="00665D42" w:rsidRDefault="00027BD1" w:rsidP="00027BD1">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rsidR="00027BD1" w:rsidRPr="00665D42"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t xml:space="preserve">2.5. Усі показники форми звітності </w:t>
      </w:r>
      <w:r>
        <w:rPr>
          <w:sz w:val="28"/>
          <w:szCs w:val="28"/>
        </w:rPr>
        <w:t>№ 10</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rsidR="00027BD1" w:rsidRPr="00665D42"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rsidR="00027BD1" w:rsidRPr="00665D42"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rsidR="00027BD1" w:rsidRDefault="00027BD1" w:rsidP="00027BD1">
      <w:pPr>
        <w:pStyle w:val="rvps2"/>
        <w:shd w:val="clear" w:color="auto" w:fill="FFFFFF"/>
        <w:spacing w:before="0" w:beforeAutospacing="0" w:after="0" w:afterAutospacing="0"/>
        <w:ind w:firstLine="709"/>
        <w:jc w:val="both"/>
        <w:rPr>
          <w:sz w:val="28"/>
          <w:szCs w:val="28"/>
        </w:rPr>
      </w:pPr>
      <w:r w:rsidRPr="00665D42">
        <w:rPr>
          <w:sz w:val="28"/>
          <w:szCs w:val="28"/>
        </w:rPr>
        <w:t xml:space="preserve">Вартісні показники у формі звітності </w:t>
      </w:r>
      <w:r>
        <w:rPr>
          <w:sz w:val="28"/>
          <w:szCs w:val="28"/>
        </w:rPr>
        <w:t>№ 10</w:t>
      </w:r>
      <w:r w:rsidRPr="00665D42">
        <w:rPr>
          <w:sz w:val="28"/>
          <w:szCs w:val="28"/>
        </w:rPr>
        <w:t xml:space="preserve"> наводяться без урахування податку на додану вартість (далі – ПДВ).</w:t>
      </w:r>
    </w:p>
    <w:p w:rsidR="00027BD1" w:rsidRDefault="00027BD1" w:rsidP="00027BD1">
      <w:pPr>
        <w:pStyle w:val="rvps2"/>
        <w:shd w:val="clear" w:color="auto" w:fill="FFFFFF"/>
        <w:spacing w:before="0" w:beforeAutospacing="0" w:after="0" w:afterAutospacing="0"/>
        <w:ind w:firstLine="709"/>
        <w:jc w:val="both"/>
        <w:rPr>
          <w:sz w:val="28"/>
          <w:szCs w:val="28"/>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rsidR="00027BD1" w:rsidRPr="00665D42" w:rsidRDefault="00027BD1" w:rsidP="00027BD1">
      <w:pPr>
        <w:pStyle w:val="rvps2"/>
        <w:shd w:val="clear" w:color="auto" w:fill="FFFFFF"/>
        <w:spacing w:before="0" w:beforeAutospacing="0" w:after="0" w:afterAutospacing="0"/>
        <w:ind w:firstLine="709"/>
        <w:jc w:val="both"/>
        <w:rPr>
          <w:sz w:val="28"/>
          <w:szCs w:val="28"/>
          <w:lang w:val="en-US"/>
        </w:rPr>
      </w:pPr>
    </w:p>
    <w:p w:rsidR="00027BD1" w:rsidRPr="00665D42" w:rsidRDefault="00027BD1" w:rsidP="00027BD1">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10</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BB1B59">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2" w:name="_Hlk86242544"/>
      <w:bookmarkStart w:id="3"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2"/>
      <w:r w:rsidR="00BB1B59">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3"/>
      <w:r w:rsidRPr="00665D42">
        <w:rPr>
          <w:rFonts w:ascii="Times New Roman" w:hAnsi="Times New Roman" w:cs="Times New Roman"/>
          <w:sz w:val="28"/>
          <w:szCs w:val="28"/>
          <w:lang w:val="uk-UA"/>
        </w:rPr>
        <w:t>в якому зазначаються причини внесення змін.</w:t>
      </w:r>
    </w:p>
    <w:bookmarkEnd w:id="1"/>
    <w:p w:rsidR="00042B17" w:rsidRPr="00121192" w:rsidRDefault="00042B17" w:rsidP="00042B17">
      <w:pPr>
        <w:spacing w:after="0" w:line="276" w:lineRule="auto"/>
        <w:jc w:val="both"/>
        <w:rPr>
          <w:rFonts w:ascii="Times New Roman" w:hAnsi="Times New Roman" w:cs="Times New Roman"/>
          <w:sz w:val="28"/>
          <w:szCs w:val="28"/>
          <w:lang w:val="uk-UA"/>
        </w:rPr>
      </w:pPr>
    </w:p>
    <w:p w:rsidR="00042B17" w:rsidRPr="00121192" w:rsidRDefault="00042B17" w:rsidP="00042B17">
      <w:pPr>
        <w:spacing w:after="0" w:line="276" w:lineRule="auto"/>
        <w:jc w:val="center"/>
        <w:rPr>
          <w:rFonts w:ascii="Times New Roman" w:hAnsi="Times New Roman" w:cs="Times New Roman"/>
          <w:b/>
          <w:sz w:val="28"/>
          <w:szCs w:val="28"/>
          <w:lang w:val="uk-UA"/>
        </w:rPr>
      </w:pPr>
      <w:r w:rsidRPr="00121192">
        <w:rPr>
          <w:rFonts w:ascii="Times New Roman" w:hAnsi="Times New Roman" w:cs="Times New Roman"/>
          <w:b/>
          <w:sz w:val="28"/>
          <w:szCs w:val="28"/>
          <w:lang w:val="uk-UA"/>
        </w:rPr>
        <w:t>3. Порядок заповнення форми звітності № 10</w:t>
      </w:r>
    </w:p>
    <w:p w:rsidR="00042B17" w:rsidRPr="00121192" w:rsidRDefault="00042B17" w:rsidP="00042B17">
      <w:pPr>
        <w:spacing w:after="0" w:line="276" w:lineRule="auto"/>
        <w:jc w:val="center"/>
        <w:rPr>
          <w:rFonts w:ascii="Times New Roman" w:hAnsi="Times New Roman" w:cs="Times New Roman"/>
          <w:b/>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00042B17" w:rsidRPr="00773992">
        <w:rPr>
          <w:rFonts w:ascii="Times New Roman" w:hAnsi="Times New Roman" w:cs="Times New Roman"/>
          <w:sz w:val="28"/>
          <w:szCs w:val="28"/>
          <w:lang w:val="uk-UA"/>
        </w:rPr>
        <w:t>У розділі І «Інформація щодо здійснення приєднань» відображається  інформація щодо кількості реалізованих приєднань протягом звітного періоду та вартості виконання приєднань:</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графах 1 –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відображається інформація щодо здійснених у звітному періоді приєднань з метою нового приєднання (графи 1 – </w:t>
      </w:r>
      <w:r w:rsidR="00027BD1">
        <w:rPr>
          <w:rFonts w:ascii="Times New Roman" w:hAnsi="Times New Roman" w:cs="Times New Roman"/>
          <w:sz w:val="28"/>
          <w:szCs w:val="28"/>
          <w:lang w:val="uk-UA"/>
        </w:rPr>
        <w:t>2</w:t>
      </w:r>
      <w:r w:rsidR="00042B17" w:rsidRPr="00773992">
        <w:rPr>
          <w:rFonts w:ascii="Times New Roman" w:hAnsi="Times New Roman" w:cs="Times New Roman"/>
          <w:sz w:val="28"/>
          <w:szCs w:val="28"/>
          <w:lang w:val="uk-UA"/>
        </w:rPr>
        <w:t xml:space="preserve">) та зміни технічних параметрів (графи </w:t>
      </w:r>
      <w:r w:rsidR="00027BD1">
        <w:rPr>
          <w:rFonts w:ascii="Times New Roman" w:hAnsi="Times New Roman" w:cs="Times New Roman"/>
          <w:sz w:val="28"/>
          <w:szCs w:val="28"/>
          <w:lang w:val="uk-UA"/>
        </w:rPr>
        <w:t>3</w:t>
      </w:r>
      <w:r w:rsidR="00042B17" w:rsidRPr="00773992">
        <w:rPr>
          <w:rFonts w:ascii="Times New Roman" w:hAnsi="Times New Roman" w:cs="Times New Roman"/>
          <w:sz w:val="28"/>
          <w:szCs w:val="28"/>
          <w:lang w:val="uk-UA"/>
        </w:rPr>
        <w:t xml:space="preserve"> – </w:t>
      </w:r>
      <w:r w:rsidR="00027BD1">
        <w:rPr>
          <w:rFonts w:ascii="Times New Roman" w:hAnsi="Times New Roman" w:cs="Times New Roman"/>
          <w:sz w:val="28"/>
          <w:szCs w:val="28"/>
          <w:lang w:val="uk-UA"/>
        </w:rPr>
        <w:t>4</w:t>
      </w:r>
      <w:r w:rsidR="00042B17" w:rsidRPr="00773992">
        <w:rPr>
          <w:rFonts w:ascii="Times New Roman" w:hAnsi="Times New Roman" w:cs="Times New Roman"/>
          <w:sz w:val="28"/>
          <w:szCs w:val="28"/>
          <w:lang w:val="uk-UA"/>
        </w:rPr>
        <w:t>): кількість  приєднань (графи 1, 3) та їх приєднана потужність (графи 2, 4) з точністю до двох знаків після коми;</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«Сума, отримана ОСП за надані послуги, </w:t>
      </w:r>
      <w:r w:rsidR="00056C03">
        <w:rPr>
          <w:rFonts w:ascii="Times New Roman" w:hAnsi="Times New Roman" w:cs="Times New Roman"/>
          <w:sz w:val="28"/>
          <w:szCs w:val="28"/>
          <w:lang w:val="uk-UA"/>
        </w:rPr>
        <w:t>бе</w:t>
      </w:r>
      <w:r w:rsidR="00042B17" w:rsidRPr="00773992">
        <w:rPr>
          <w:rFonts w:ascii="Times New Roman" w:hAnsi="Times New Roman" w:cs="Times New Roman"/>
          <w:sz w:val="28"/>
          <w:szCs w:val="28"/>
          <w:lang w:val="uk-UA"/>
        </w:rPr>
        <w:t>з ПДВ» відображається інформація щодо суми коштів, які ОСП</w:t>
      </w:r>
      <w:r w:rsidR="00042B17" w:rsidRPr="00773992" w:rsidDel="00E81AF5">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отримав за надані </w:t>
      </w:r>
      <w:r w:rsidR="00042B17" w:rsidRPr="00773992">
        <w:rPr>
          <w:rFonts w:ascii="Times New Roman" w:hAnsi="Times New Roman" w:cs="Times New Roman"/>
          <w:sz w:val="28"/>
          <w:szCs w:val="28"/>
          <w:lang w:val="uk-UA"/>
        </w:rPr>
        <w:lastRenderedPageBreak/>
        <w:t xml:space="preserve">послуги зі стандартного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графі </w:t>
      </w:r>
      <w:r w:rsidR="00027BD1">
        <w:rPr>
          <w:rFonts w:ascii="Times New Roman" w:hAnsi="Times New Roman" w:cs="Times New Roman"/>
          <w:sz w:val="28"/>
          <w:szCs w:val="28"/>
          <w:lang w:val="uk-UA"/>
        </w:rPr>
        <w:t>6</w:t>
      </w:r>
      <w:r w:rsidR="00042B17" w:rsidRPr="00773992">
        <w:rPr>
          <w:rFonts w:ascii="Times New Roman" w:hAnsi="Times New Roman" w:cs="Times New Roman"/>
          <w:sz w:val="28"/>
          <w:szCs w:val="28"/>
          <w:lang w:val="uk-UA"/>
        </w:rPr>
        <w:t xml:space="preserve"> «Фактичні витрати  під час надання послуг,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 відображається інформація щодо фактичних витрат  під час надання послуг з приєднання у звітному періоді (незалежно від етапу їх реалізації) з точністю до двох знаків після коми, </w:t>
      </w:r>
      <w:r w:rsidR="00056C03">
        <w:rPr>
          <w:rFonts w:ascii="Times New Roman" w:hAnsi="Times New Roman" w:cs="Times New Roman"/>
          <w:sz w:val="28"/>
          <w:szCs w:val="28"/>
          <w:lang w:val="uk-UA"/>
        </w:rPr>
        <w:t>бе</w:t>
      </w:r>
      <w:r w:rsidR="00056C03" w:rsidRPr="00773992">
        <w:rPr>
          <w:rFonts w:ascii="Times New Roman" w:hAnsi="Times New Roman" w:cs="Times New Roman"/>
          <w:sz w:val="28"/>
          <w:szCs w:val="28"/>
          <w:lang w:val="uk-UA"/>
        </w:rPr>
        <w:t>з</w:t>
      </w:r>
      <w:r w:rsidR="00042B17" w:rsidRPr="00773992">
        <w:rPr>
          <w:rFonts w:ascii="Times New Roman" w:hAnsi="Times New Roman" w:cs="Times New Roman"/>
          <w:sz w:val="28"/>
          <w:szCs w:val="28"/>
          <w:lang w:val="uk-UA"/>
        </w:rPr>
        <w:t xml:space="preserve"> ПДВ;</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у рядку 005 «Усього, з них:» зазначаються сумарні дані щодо приєднань протягом звітного періоду. Значення рядка 005 дорівнює сумі рядків 010, 015, 065</w:t>
      </w:r>
      <w:r w:rsidR="00027BD1">
        <w:rPr>
          <w:rFonts w:ascii="Times New Roman" w:hAnsi="Times New Roman" w:cs="Times New Roman"/>
          <w:sz w:val="28"/>
          <w:szCs w:val="28"/>
          <w:lang w:val="uk-UA"/>
        </w:rPr>
        <w:t>, 0</w:t>
      </w:r>
      <w:r w:rsidR="001E4BF6">
        <w:rPr>
          <w:rFonts w:ascii="Times New Roman" w:hAnsi="Times New Roman" w:cs="Times New Roman"/>
          <w:sz w:val="28"/>
          <w:szCs w:val="28"/>
          <w:lang w:val="uk-UA"/>
        </w:rPr>
        <w:t>70</w:t>
      </w:r>
      <w:r w:rsidR="00027BD1">
        <w:rPr>
          <w:rFonts w:ascii="Times New Roman" w:hAnsi="Times New Roman" w:cs="Times New Roman"/>
          <w:sz w:val="28"/>
          <w:szCs w:val="28"/>
          <w:lang w:val="uk-UA"/>
        </w:rPr>
        <w:t xml:space="preserve"> та 0</w:t>
      </w:r>
      <w:r w:rsidR="001E4BF6">
        <w:rPr>
          <w:rFonts w:ascii="Times New Roman" w:hAnsi="Times New Roman" w:cs="Times New Roman"/>
          <w:sz w:val="28"/>
          <w:szCs w:val="28"/>
          <w:lang w:val="uk-UA"/>
        </w:rPr>
        <w:t>75</w:t>
      </w:r>
      <w:r w:rsidR="00042B17" w:rsidRPr="00773992">
        <w:rPr>
          <w:rFonts w:ascii="Times New Roman" w:hAnsi="Times New Roman" w:cs="Times New Roman"/>
          <w:sz w:val="28"/>
          <w:szCs w:val="28"/>
          <w:lang w:val="uk-UA"/>
        </w:rPr>
        <w:t>;</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027BD1">
      <w:pPr>
        <w:tabs>
          <w:tab w:val="left" w:pos="709"/>
          <w:tab w:val="left" w:pos="993"/>
          <w:tab w:val="left" w:pos="3544"/>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010 «</w:t>
      </w:r>
      <w:r w:rsidR="00951A7E" w:rsidRPr="00951A7E">
        <w:rPr>
          <w:rFonts w:ascii="Times New Roman" w:hAnsi="Times New Roman" w:cs="Times New Roman"/>
          <w:sz w:val="28"/>
          <w:szCs w:val="28"/>
          <w:lang w:val="uk-UA"/>
        </w:rPr>
        <w:t>Електроустановки, призначені для споживання</w:t>
      </w:r>
      <w:r w:rsidR="00042B17" w:rsidRPr="00773992">
        <w:rPr>
          <w:rFonts w:ascii="Times New Roman" w:hAnsi="Times New Roman" w:cs="Times New Roman"/>
          <w:sz w:val="28"/>
          <w:szCs w:val="28"/>
          <w:lang w:val="uk-UA"/>
        </w:rPr>
        <w:t xml:space="preserve">» зазначаються сумарні дані щодо приєднань </w:t>
      </w:r>
      <w:r w:rsidR="00056C03">
        <w:rPr>
          <w:rFonts w:ascii="Times New Roman" w:hAnsi="Times New Roman" w:cs="Times New Roman"/>
          <w:sz w:val="28"/>
          <w:szCs w:val="28"/>
          <w:lang w:val="uk-UA"/>
        </w:rPr>
        <w:t>е</w:t>
      </w:r>
      <w:r w:rsidR="00056C03" w:rsidRPr="00056C03">
        <w:rPr>
          <w:rFonts w:ascii="Times New Roman" w:hAnsi="Times New Roman" w:cs="Times New Roman"/>
          <w:sz w:val="28"/>
          <w:szCs w:val="28"/>
          <w:lang w:val="uk-UA"/>
        </w:rPr>
        <w:t>лектроустановок, призначених для споживання</w:t>
      </w:r>
      <w:r w:rsidR="00056C03">
        <w:rPr>
          <w:rFonts w:ascii="Times New Roman" w:hAnsi="Times New Roman" w:cs="Times New Roman"/>
          <w:sz w:val="28"/>
          <w:szCs w:val="28"/>
          <w:lang w:val="uk-UA"/>
        </w:rPr>
        <w:t>,</w:t>
      </w:r>
      <w:r w:rsidR="00027BD1">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протягом звітного періоду;</w:t>
      </w:r>
    </w:p>
    <w:p w:rsidR="00042B17" w:rsidRPr="00951A7E" w:rsidRDefault="00042B17" w:rsidP="00951A7E">
      <w:pPr>
        <w:tabs>
          <w:tab w:val="left" w:pos="709"/>
          <w:tab w:val="left" w:pos="993"/>
        </w:tabs>
        <w:spacing w:after="0" w:line="276" w:lineRule="auto"/>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51A7E" w:rsidRPr="00951A7E">
        <w:rPr>
          <w:rFonts w:ascii="Times New Roman" w:hAnsi="Times New Roman" w:cs="Times New Roman"/>
          <w:sz w:val="28"/>
          <w:szCs w:val="28"/>
          <w:lang w:val="uk-UA"/>
        </w:rPr>
        <w:t>у рядку 015 «Електроустановки, призначені для виробництва, у т. ч.:» зазначаються сумарні дані щодо приєднань до мереж ОСП електроустановок, призначених для виробництва,  а також за типами електростанцій (рядки 020 – 045, 060) та видами відновлюваних джерел енергії (рядки 050 – 055). Значення рядка 015 дорівнює сумі рядків 020 – 045, 060</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27BD1"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773992">
        <w:rPr>
          <w:rFonts w:ascii="Times New Roman" w:hAnsi="Times New Roman" w:cs="Times New Roman"/>
          <w:sz w:val="28"/>
          <w:szCs w:val="28"/>
          <w:lang w:val="uk-UA"/>
        </w:rPr>
        <w:t>у рядку 065 «Оператори систем розподілу» зазначається інформація щодо приєднань до мереж ОСП операторів систем розподілу</w:t>
      </w:r>
      <w:r w:rsidR="00027BD1">
        <w:rPr>
          <w:rFonts w:ascii="Times New Roman" w:hAnsi="Times New Roman" w:cs="Times New Roman"/>
          <w:sz w:val="28"/>
          <w:szCs w:val="28"/>
          <w:lang w:val="uk-UA"/>
        </w:rPr>
        <w:t>;</w:t>
      </w: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70</w:t>
      </w:r>
      <w:r w:rsidRPr="00773992">
        <w:rPr>
          <w:rFonts w:ascii="Times New Roman" w:hAnsi="Times New Roman" w:cs="Times New Roman"/>
          <w:sz w:val="28"/>
          <w:szCs w:val="28"/>
          <w:lang w:val="uk-UA"/>
        </w:rPr>
        <w:t xml:space="preserve"> «Оператори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 xml:space="preserve">систем розподілу» зазначається інформація щодо приєднань до мереж ОСП операторів </w:t>
      </w:r>
      <w:r>
        <w:rPr>
          <w:rFonts w:ascii="Times New Roman" w:hAnsi="Times New Roman" w:cs="Times New Roman"/>
          <w:sz w:val="28"/>
          <w:szCs w:val="28"/>
          <w:lang w:val="uk-UA"/>
        </w:rPr>
        <w:t xml:space="preserve">малих </w:t>
      </w:r>
      <w:r w:rsidRPr="00773992">
        <w:rPr>
          <w:rFonts w:ascii="Times New Roman" w:hAnsi="Times New Roman" w:cs="Times New Roman"/>
          <w:sz w:val="28"/>
          <w:szCs w:val="28"/>
          <w:lang w:val="uk-UA"/>
        </w:rPr>
        <w:t>систем розподілу</w:t>
      </w:r>
      <w:r>
        <w:rPr>
          <w:rFonts w:ascii="Times New Roman" w:hAnsi="Times New Roman" w:cs="Times New Roman"/>
          <w:sz w:val="28"/>
          <w:szCs w:val="28"/>
          <w:lang w:val="uk-UA"/>
        </w:rPr>
        <w:t>;</w:t>
      </w:r>
    </w:p>
    <w:p w:rsidR="00027BD1"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027BD1"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у рядку 0</w:t>
      </w:r>
      <w:r w:rsidR="001E4BF6">
        <w:rPr>
          <w:rFonts w:ascii="Times New Roman" w:hAnsi="Times New Roman" w:cs="Times New Roman"/>
          <w:sz w:val="28"/>
          <w:szCs w:val="28"/>
          <w:lang w:val="uk-UA"/>
        </w:rPr>
        <w:t>75</w:t>
      </w:r>
      <w:r w:rsidRPr="00773992">
        <w:rPr>
          <w:rFonts w:ascii="Times New Roman" w:hAnsi="Times New Roman" w:cs="Times New Roman"/>
          <w:sz w:val="28"/>
          <w:szCs w:val="28"/>
          <w:lang w:val="uk-UA"/>
        </w:rPr>
        <w:t xml:space="preserve"> «</w:t>
      </w:r>
      <w:r w:rsidRPr="00027BD1">
        <w:rPr>
          <w:rFonts w:ascii="Times New Roman" w:hAnsi="Times New Roman" w:cs="Times New Roman"/>
          <w:sz w:val="28"/>
          <w:szCs w:val="28"/>
          <w:lang w:val="uk-UA"/>
        </w:rPr>
        <w:t>Оператори  УЗЕ</w:t>
      </w:r>
      <w:r w:rsidRPr="00773992">
        <w:rPr>
          <w:rFonts w:ascii="Times New Roman" w:hAnsi="Times New Roman" w:cs="Times New Roman"/>
          <w:sz w:val="28"/>
          <w:szCs w:val="28"/>
          <w:lang w:val="uk-UA"/>
        </w:rPr>
        <w:t xml:space="preserve">» зазначається інформація щодо приєднань до мереж ОСП операторів </w:t>
      </w:r>
      <w:r>
        <w:rPr>
          <w:rFonts w:ascii="Times New Roman" w:hAnsi="Times New Roman" w:cs="Times New Roman"/>
          <w:sz w:val="28"/>
          <w:szCs w:val="28"/>
          <w:lang w:val="uk-UA"/>
        </w:rPr>
        <w:t>установок зберігання енергії</w:t>
      </w:r>
      <w:r w:rsidR="00042B17" w:rsidRPr="00773992">
        <w:rPr>
          <w:rFonts w:ascii="Times New Roman" w:hAnsi="Times New Roman" w:cs="Times New Roman"/>
          <w:sz w:val="28"/>
          <w:szCs w:val="28"/>
          <w:lang w:val="uk-UA"/>
        </w:rPr>
        <w:t>.</w:t>
      </w:r>
    </w:p>
    <w:p w:rsidR="00042B17" w:rsidRPr="00BB6C0F"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00042B17" w:rsidRPr="00773992">
        <w:rPr>
          <w:rFonts w:ascii="Times New Roman" w:hAnsi="Times New Roman" w:cs="Times New Roman"/>
          <w:sz w:val="28"/>
          <w:szCs w:val="28"/>
          <w:lang w:val="uk-UA"/>
        </w:rPr>
        <w:t>У розділі IІ «Інформація щодо запитів на приєднання до системи передачі» відображається  інформація щодо запитів на приєднання та їх реалізації:</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у графі 1 «Разом за рік» зазначаються сумарні дані за рік, значення цієї графи дорівнює сумі граф 2, 11, 12</w:t>
      </w:r>
      <w:r w:rsidR="00027BD1">
        <w:rPr>
          <w:rFonts w:ascii="Times New Roman" w:hAnsi="Times New Roman" w:cs="Times New Roman"/>
          <w:sz w:val="28"/>
          <w:szCs w:val="28"/>
          <w:lang w:val="uk-UA"/>
        </w:rPr>
        <w:t>, 13</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w:t>
      </w:r>
      <w:r w:rsidR="00042B17" w:rsidRPr="00773992">
        <w:rPr>
          <w:rFonts w:ascii="Times New Roman" w:hAnsi="Times New Roman" w:cs="Times New Roman"/>
          <w:sz w:val="28"/>
          <w:szCs w:val="28"/>
          <w:lang w:val="uk-UA"/>
        </w:rPr>
        <w:t xml:space="preserve">у графах 2 – </w:t>
      </w:r>
      <w:r w:rsidR="00027BD1" w:rsidRPr="00773992">
        <w:rPr>
          <w:rFonts w:ascii="Times New Roman" w:hAnsi="Times New Roman" w:cs="Times New Roman"/>
          <w:sz w:val="28"/>
          <w:szCs w:val="28"/>
          <w:lang w:val="uk-UA"/>
        </w:rPr>
        <w:t>1</w:t>
      </w:r>
      <w:r w:rsidR="00027BD1">
        <w:rPr>
          <w:rFonts w:ascii="Times New Roman" w:hAnsi="Times New Roman" w:cs="Times New Roman"/>
          <w:sz w:val="28"/>
          <w:szCs w:val="28"/>
          <w:lang w:val="uk-UA"/>
        </w:rPr>
        <w:t>3</w:t>
      </w:r>
      <w:r w:rsidR="00027BD1"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зазначаються дані за категоріями </w:t>
      </w:r>
      <w:r w:rsidR="00056C03">
        <w:rPr>
          <w:rFonts w:ascii="Times New Roman" w:hAnsi="Times New Roman" w:cs="Times New Roman"/>
          <w:sz w:val="28"/>
          <w:szCs w:val="28"/>
          <w:lang w:val="uk-UA"/>
        </w:rPr>
        <w:t>приєднання електроустановок</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виробництва</w:t>
      </w:r>
      <w:r w:rsidR="00056C03"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електричної енергії (графи 2 – 10), </w:t>
      </w:r>
      <w:r w:rsidR="00056C03">
        <w:rPr>
          <w:rFonts w:ascii="Times New Roman" w:hAnsi="Times New Roman" w:cs="Times New Roman"/>
          <w:sz w:val="28"/>
          <w:szCs w:val="28"/>
          <w:lang w:val="uk-UA"/>
        </w:rPr>
        <w:t xml:space="preserve">електроустановок </w:t>
      </w:r>
      <w:r w:rsidR="00042B17" w:rsidRPr="00773992">
        <w:rPr>
          <w:rFonts w:ascii="Times New Roman" w:hAnsi="Times New Roman" w:cs="Times New Roman"/>
          <w:sz w:val="28"/>
          <w:szCs w:val="28"/>
          <w:lang w:val="uk-UA"/>
        </w:rPr>
        <w:t>оператор</w:t>
      </w:r>
      <w:r w:rsidR="00056C03">
        <w:rPr>
          <w:rFonts w:ascii="Times New Roman" w:hAnsi="Times New Roman" w:cs="Times New Roman"/>
          <w:sz w:val="28"/>
          <w:szCs w:val="28"/>
          <w:lang w:val="uk-UA"/>
        </w:rPr>
        <w:t>ів</w:t>
      </w:r>
      <w:r w:rsidR="00042B17" w:rsidRPr="00773992">
        <w:rPr>
          <w:rFonts w:ascii="Times New Roman" w:hAnsi="Times New Roman" w:cs="Times New Roman"/>
          <w:sz w:val="28"/>
          <w:szCs w:val="28"/>
          <w:lang w:val="uk-UA"/>
        </w:rPr>
        <w:t xml:space="preserve"> систем розподілу (графа 11)</w:t>
      </w:r>
      <w:r w:rsidR="00027BD1">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w:t>
      </w:r>
      <w:r w:rsidR="00056C03">
        <w:rPr>
          <w:rFonts w:ascii="Times New Roman" w:hAnsi="Times New Roman" w:cs="Times New Roman"/>
          <w:sz w:val="28"/>
          <w:szCs w:val="28"/>
          <w:lang w:val="uk-UA"/>
        </w:rPr>
        <w:t>призначених для споживання електричної енергії</w:t>
      </w:r>
      <w:r w:rsidR="00056C03" w:rsidRPr="00773992" w:rsidDel="00056C03">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(графа 12)</w:t>
      </w:r>
      <w:r w:rsidR="00027BD1">
        <w:rPr>
          <w:rFonts w:ascii="Times New Roman" w:hAnsi="Times New Roman" w:cs="Times New Roman"/>
          <w:sz w:val="28"/>
          <w:szCs w:val="28"/>
          <w:lang w:val="uk-UA"/>
        </w:rPr>
        <w:t xml:space="preserve"> та для зберігання електричної енергії</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запитів на приєднання» відображаються сумарні дані щодо кількості запитів на приєднання до мереж ОСП (кількість заяв про приєднання від замовників) та за метою приєднання (рядки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0</w:t>
      </w:r>
      <w:r w:rsidR="001E4BF6">
        <w:rPr>
          <w:rFonts w:ascii="Times New Roman" w:hAnsi="Times New Roman" w:cs="Times New Roman"/>
          <w:sz w:val="28"/>
          <w:szCs w:val="28"/>
          <w:lang w:val="uk-UA"/>
        </w:rPr>
        <w:t>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випадків відмови (розшифрувати в додатку)» вказується кількість випадків відмови у приєднанні до мереж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у рядку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реалізованих запитів (факт приєднання)» відображаються сумарні дані щодо кількості здійснених приєднань у звітному періоді та за метою приєднання (рядки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дорівнює сумі значень рядків </w:t>
      </w:r>
      <w:r w:rsidR="001E4BF6">
        <w:rPr>
          <w:rFonts w:ascii="Times New Roman" w:hAnsi="Times New Roman" w:cs="Times New Roman"/>
          <w:sz w:val="28"/>
          <w:szCs w:val="28"/>
          <w:lang w:val="uk-UA"/>
        </w:rPr>
        <w:t>10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567"/>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«Залишились незавершеними у звітному періоді (перенесені на наступний період)» відображаються сумарні дані щодо приєднань, які залишилися незавершеними у звітному періоді та будуть виконані в наступних періодах, та за метою приєднання (рядки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Значення рядка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дорівнює сумі значень рядків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та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042B17" w:rsidRPr="00773992">
        <w:rPr>
          <w:rFonts w:ascii="Times New Roman" w:hAnsi="Times New Roman" w:cs="Times New Roman"/>
          <w:sz w:val="28"/>
          <w:szCs w:val="28"/>
          <w:lang w:val="uk-UA"/>
        </w:rPr>
        <w:t>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«Середня тривалість виконання робіт з приєднання» відображаються сумарні дані щодо середньої тривалості виконання робіт з приєднання, які були завершені у звітному періоді. Тривалість виконання робіт з приєднання дорівнює</w:t>
      </w:r>
      <w:r w:rsidR="00042B17" w:rsidRPr="00773992">
        <w:rPr>
          <w:lang w:val="uk-UA"/>
        </w:rPr>
        <w:t xml:space="preserve"> </w:t>
      </w:r>
      <w:r w:rsidR="00042B17" w:rsidRPr="00773992">
        <w:rPr>
          <w:rFonts w:ascii="Times New Roman" w:hAnsi="Times New Roman" w:cs="Times New Roman"/>
          <w:sz w:val="28"/>
          <w:szCs w:val="28"/>
          <w:lang w:val="uk-UA"/>
        </w:rPr>
        <w:t>кількості календарних днів з дати оплати замовником послуги з приєднання до дати підписання сторонами акта про надання послуги з приєднання.</w:t>
      </w:r>
    </w:p>
    <w:p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00042B17" w:rsidRPr="00773992">
        <w:rPr>
          <w:rFonts w:ascii="Times New Roman" w:hAnsi="Times New Roman" w:cs="Times New Roman"/>
          <w:sz w:val="28"/>
          <w:szCs w:val="28"/>
          <w:lang w:val="uk-UA"/>
        </w:rPr>
        <w:t>У розділі ІІІ «Інформація щодо укладених договорів» відображається  інформація щодо кількості укладених договорів ОСП станом на 01.01 (графа 1), 01.04 (графа 2), 01.07 (графа 3), 01.10 (графа 4) та 31.12 (графа 5) звітного року:</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 споживачу</w:t>
      </w:r>
      <w:r w:rsidR="001E4BF6">
        <w:rPr>
          <w:rFonts w:ascii="Times New Roman" w:hAnsi="Times New Roman" w:cs="Times New Roman"/>
          <w:sz w:val="28"/>
          <w:szCs w:val="28"/>
          <w:lang w:val="uk-UA"/>
        </w:rPr>
        <w:t xml:space="preserve"> (відповідно до ПРРЕЕ)</w:t>
      </w:r>
      <w:r w:rsidR="00042B17" w:rsidRPr="00773992">
        <w:rPr>
          <w:rFonts w:ascii="Times New Roman" w:hAnsi="Times New Roman" w:cs="Times New Roman"/>
          <w:sz w:val="28"/>
          <w:szCs w:val="28"/>
          <w:lang w:val="uk-UA"/>
        </w:rPr>
        <w:t xml:space="preserve">» зазначаються дані щодо сумарної кількості  укладених договорів споживача про надання послуг з </w:t>
      </w:r>
      <w:r w:rsidR="00042B17" w:rsidRPr="00773992">
        <w:rPr>
          <w:rFonts w:ascii="Times New Roman" w:hAnsi="Times New Roman" w:cs="Times New Roman"/>
          <w:sz w:val="28"/>
          <w:szCs w:val="28"/>
          <w:lang w:val="uk-UA"/>
        </w:rPr>
        <w:lastRenderedPageBreak/>
        <w:t>передачі електричної енергії</w:t>
      </w:r>
      <w:r w:rsidR="001E4BF6">
        <w:rPr>
          <w:rFonts w:ascii="Times New Roman" w:hAnsi="Times New Roman" w:cs="Times New Roman"/>
          <w:sz w:val="28"/>
          <w:szCs w:val="28"/>
          <w:lang w:val="uk-UA"/>
        </w:rPr>
        <w:t xml:space="preserve"> відповідно до Правил роздрібного ринку електричної енергії, затверджених постановою НКРЕКП від </w:t>
      </w:r>
      <w:r w:rsidR="001E4BF6" w:rsidRPr="001E4BF6">
        <w:rPr>
          <w:rFonts w:ascii="Times New Roman" w:hAnsi="Times New Roman" w:cs="Times New Roman"/>
          <w:sz w:val="28"/>
          <w:szCs w:val="28"/>
          <w:lang w:val="uk-UA"/>
        </w:rPr>
        <w:t>14.03.2018  № 312</w:t>
      </w:r>
      <w:r w:rsidR="00042B17" w:rsidRPr="00773992">
        <w:rPr>
          <w:rFonts w:ascii="Times New Roman" w:hAnsi="Times New Roman" w:cs="Times New Roman"/>
          <w:sz w:val="28"/>
          <w:szCs w:val="28"/>
          <w:lang w:val="uk-UA"/>
        </w:rPr>
        <w:t>;</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«Кількість договорів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про надання послуг з передачі електричної енергії» зазначаються дані щодо сумарної кількості  укладених договорів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про надання послуг з передачі електричної енергії;</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 з передачі електричної енергії</w:t>
      </w:r>
      <w:r w:rsidR="001E4BF6" w:rsidRPr="001E4BF6">
        <w:rPr>
          <w:rFonts w:ascii="Times New Roman" w:hAnsi="Times New Roman" w:cs="Times New Roman"/>
          <w:sz w:val="28"/>
          <w:szCs w:val="28"/>
          <w:lang w:val="uk-UA"/>
        </w:rPr>
        <w:t xml:space="preserve">, у </w:t>
      </w:r>
      <w:proofErr w:type="spellStart"/>
      <w:r w:rsidR="001E4BF6" w:rsidRPr="001E4BF6">
        <w:rPr>
          <w:rFonts w:ascii="Times New Roman" w:hAnsi="Times New Roman" w:cs="Times New Roman"/>
          <w:sz w:val="28"/>
          <w:szCs w:val="28"/>
          <w:lang w:val="uk-UA"/>
        </w:rPr>
        <w:t>т.ч</w:t>
      </w:r>
      <w:proofErr w:type="spellEnd"/>
      <w:r w:rsidR="001E4BF6" w:rsidRPr="001E4BF6">
        <w:rPr>
          <w:rFonts w:ascii="Times New Roman" w:hAnsi="Times New Roman" w:cs="Times New Roman"/>
          <w:sz w:val="28"/>
          <w:szCs w:val="28"/>
          <w:lang w:val="uk-UA"/>
        </w:rPr>
        <w:t>.:</w:t>
      </w:r>
      <w:r w:rsidR="00042B17" w:rsidRPr="00773992">
        <w:rPr>
          <w:rFonts w:ascii="Times New Roman" w:hAnsi="Times New Roman" w:cs="Times New Roman"/>
          <w:sz w:val="28"/>
          <w:szCs w:val="28"/>
          <w:lang w:val="uk-UA"/>
        </w:rPr>
        <w:t xml:space="preserve">» зазначаються сумарні дані щодо кількості  укладених договорів про надання послуг з передачі електричної енергії </w:t>
      </w:r>
      <w:r w:rsidR="001E4BF6">
        <w:rPr>
          <w:rFonts w:ascii="Times New Roman" w:hAnsi="Times New Roman" w:cs="Times New Roman"/>
          <w:sz w:val="28"/>
          <w:szCs w:val="28"/>
          <w:lang w:val="uk-UA"/>
        </w:rPr>
        <w:t xml:space="preserve">відповідно до КСП </w:t>
      </w:r>
      <w:r w:rsidR="001E4BF6" w:rsidRPr="00773992">
        <w:rPr>
          <w:rFonts w:ascii="Times New Roman" w:hAnsi="Times New Roman" w:cs="Times New Roman"/>
          <w:sz w:val="28"/>
          <w:szCs w:val="28"/>
          <w:lang w:val="uk-UA"/>
        </w:rPr>
        <w:t>та за категоріями користувачів (рядки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711748">
        <w:rPr>
          <w:rFonts w:ascii="Times New Roman" w:hAnsi="Times New Roman" w:cs="Times New Roman"/>
          <w:sz w:val="28"/>
          <w:szCs w:val="28"/>
          <w:lang w:val="uk-UA"/>
        </w:rPr>
        <w:t>85</w:t>
      </w:r>
      <w:r w:rsidR="001E4BF6" w:rsidRPr="00773992">
        <w:rPr>
          <w:rFonts w:ascii="Times New Roman" w:hAnsi="Times New Roman" w:cs="Times New Roman"/>
          <w:sz w:val="28"/>
          <w:szCs w:val="28"/>
          <w:lang w:val="uk-UA"/>
        </w:rPr>
        <w:t>). Значення рядка 1</w:t>
      </w:r>
      <w:r w:rsidR="001E4BF6">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5 дорівнює сумі значень рядків 1</w:t>
      </w:r>
      <w:r w:rsidR="001E4BF6">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0 – 1</w:t>
      </w:r>
      <w:r w:rsidR="00711748">
        <w:rPr>
          <w:rFonts w:ascii="Times New Roman" w:hAnsi="Times New Roman" w:cs="Times New Roman"/>
          <w:sz w:val="28"/>
          <w:szCs w:val="28"/>
          <w:lang w:val="uk-UA"/>
        </w:rPr>
        <w:t>85</w:t>
      </w:r>
      <w:r w:rsidR="001E4BF6" w:rsidRPr="00773992">
        <w:rPr>
          <w:rFonts w:ascii="Times New Roman" w:hAnsi="Times New Roman" w:cs="Times New Roman"/>
          <w:sz w:val="28"/>
          <w:szCs w:val="28"/>
          <w:lang w:val="uk-UA"/>
        </w:rPr>
        <w:t>;</w:t>
      </w:r>
    </w:p>
    <w:p w:rsidR="00D56857" w:rsidRDefault="00D5685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1</w:t>
      </w:r>
      <w:r>
        <w:rPr>
          <w:rFonts w:ascii="Times New Roman" w:hAnsi="Times New Roman" w:cs="Times New Roman"/>
          <w:sz w:val="28"/>
          <w:szCs w:val="28"/>
          <w:lang w:val="uk-UA"/>
        </w:rPr>
        <w:t>9</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надання послуг комерційного обліку електричної енергії» зазначаються дані щодо сумарної кількості  укладених договорів про надання послуг комерційного обліку електричної енергії;</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195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інформаційну взаємодію на ринку електричної енергії» зазначаються дані щодо сумарної кількості  укладених між ОСП в ролі адміністратора комерційного обліку та постачальниками послуг комерційного обліку електричної енергії договорів про інформаційну взаємодію на ринку електричної енергії;</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20</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договорів про надання послуг з диспетчерського (оперативно-технологічного) управління» зазначаються дані щодо сумарної кількості  укладених договорів про надання послуг з диспетчерського (оперативно-технологічного) управління та за категоріями користувачів (рядки </w:t>
      </w:r>
      <w:r>
        <w:rPr>
          <w:rFonts w:ascii="Times New Roman" w:hAnsi="Times New Roman" w:cs="Times New Roman"/>
          <w:sz w:val="28"/>
          <w:szCs w:val="28"/>
          <w:lang w:val="uk-UA"/>
        </w:rPr>
        <w:t>2</w:t>
      </w:r>
      <w:r w:rsidR="00711748">
        <w:rPr>
          <w:rFonts w:ascii="Times New Roman" w:hAnsi="Times New Roman" w:cs="Times New Roman"/>
          <w:sz w:val="28"/>
          <w:szCs w:val="28"/>
          <w:lang w:val="uk-UA"/>
        </w:rPr>
        <w:t>05</w:t>
      </w:r>
      <w:r w:rsidR="00042B17" w:rsidRPr="00773992">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711748">
        <w:rPr>
          <w:rFonts w:ascii="Times New Roman" w:hAnsi="Times New Roman" w:cs="Times New Roman"/>
          <w:sz w:val="28"/>
          <w:szCs w:val="28"/>
          <w:lang w:val="uk-UA"/>
        </w:rPr>
        <w:t>2</w:t>
      </w:r>
      <w:r>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20</w:t>
      </w:r>
      <w:r w:rsidR="00711748">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w:t>
      </w:r>
      <w:r w:rsidR="00711748">
        <w:rPr>
          <w:rFonts w:ascii="Times New Roman" w:hAnsi="Times New Roman" w:cs="Times New Roman"/>
          <w:sz w:val="28"/>
          <w:szCs w:val="28"/>
          <w:lang w:val="uk-UA"/>
        </w:rPr>
        <w:t>05</w:t>
      </w:r>
      <w:r w:rsidRPr="00773992">
        <w:rPr>
          <w:rFonts w:ascii="Times New Roman" w:hAnsi="Times New Roman" w:cs="Times New Roman"/>
          <w:sz w:val="28"/>
          <w:szCs w:val="28"/>
          <w:lang w:val="uk-UA"/>
        </w:rPr>
        <w:t xml:space="preserve"> – </w:t>
      </w:r>
      <w:r>
        <w:rPr>
          <w:rFonts w:ascii="Times New Roman" w:hAnsi="Times New Roman" w:cs="Times New Roman"/>
          <w:sz w:val="28"/>
          <w:szCs w:val="28"/>
          <w:lang w:val="uk-UA"/>
        </w:rPr>
        <w:t>2</w:t>
      </w:r>
      <w:r w:rsidR="00711748">
        <w:rPr>
          <w:rFonts w:ascii="Times New Roman" w:hAnsi="Times New Roman" w:cs="Times New Roman"/>
          <w:sz w:val="28"/>
          <w:szCs w:val="28"/>
          <w:lang w:val="uk-UA"/>
        </w:rPr>
        <w:t>2</w:t>
      </w:r>
      <w:r>
        <w:rPr>
          <w:rFonts w:ascii="Times New Roman" w:hAnsi="Times New Roman" w:cs="Times New Roman"/>
          <w:sz w:val="28"/>
          <w:szCs w:val="28"/>
          <w:lang w:val="uk-UA"/>
        </w:rPr>
        <w:t>5</w:t>
      </w:r>
      <w:r w:rsidR="00042B17"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«Кількість договорів про врегулювання небалансів електричної енергії, у т. ч.:» зазначаються дані щодо сумарної кількості  укладених з учасниками ринку договорів про врегулювання небалансів електричної енергії та за категоріями сторін договору (рядки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Значення рядка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0</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дорівнює сумі значень рядків </w:t>
      </w:r>
      <w:r>
        <w:rPr>
          <w:rFonts w:ascii="Times New Roman" w:hAnsi="Times New Roman" w:cs="Times New Roman"/>
          <w:sz w:val="28"/>
          <w:szCs w:val="28"/>
          <w:lang w:val="uk-UA"/>
        </w:rPr>
        <w:t>2</w:t>
      </w:r>
      <w:r w:rsidR="00711748">
        <w:rPr>
          <w:rFonts w:ascii="Times New Roman" w:hAnsi="Times New Roman" w:cs="Times New Roman"/>
          <w:sz w:val="28"/>
          <w:szCs w:val="28"/>
          <w:lang w:val="uk-UA"/>
        </w:rPr>
        <w:t>3</w:t>
      </w:r>
      <w:r>
        <w:rPr>
          <w:rFonts w:ascii="Times New Roman" w:hAnsi="Times New Roman" w:cs="Times New Roman"/>
          <w:sz w:val="28"/>
          <w:szCs w:val="28"/>
          <w:lang w:val="uk-UA"/>
        </w:rPr>
        <w:t>5</w:t>
      </w:r>
      <w:r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0</w:t>
      </w:r>
      <w:r w:rsidR="00042B17" w:rsidRPr="00773992">
        <w:rPr>
          <w:rFonts w:ascii="Times New Roman" w:hAnsi="Times New Roman" w:cs="Times New Roman"/>
          <w:sz w:val="28"/>
          <w:szCs w:val="28"/>
          <w:lang w:val="uk-UA"/>
        </w:rPr>
        <w:t xml:space="preserve">; </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1E4BF6"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7</w:t>
      </w:r>
      <w:r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«Кількість договорів про надання допоміжних послуг з регулювання частоти та активної потужності» зазначаються дані щодо сумарної </w:t>
      </w:r>
      <w:r w:rsidR="00042B17" w:rsidRPr="00773992">
        <w:rPr>
          <w:rFonts w:ascii="Times New Roman" w:hAnsi="Times New Roman" w:cs="Times New Roman"/>
          <w:sz w:val="28"/>
          <w:szCs w:val="28"/>
          <w:lang w:val="uk-UA"/>
        </w:rPr>
        <w:lastRenderedPageBreak/>
        <w:t>кількості  укладених з постачальниками допоміжних послуг договорів про надання допоміжних послуг з регулювання частоти та активної потужності;</w:t>
      </w:r>
    </w:p>
    <w:p w:rsidR="00042B17" w:rsidRPr="00121192" w:rsidRDefault="00042B17" w:rsidP="00773992">
      <w:pPr>
        <w:pStyle w:val="a4"/>
        <w:tabs>
          <w:tab w:val="left" w:pos="709"/>
          <w:tab w:val="left" w:pos="993"/>
        </w:tabs>
        <w:spacing w:after="0"/>
        <w:ind w:left="0" w:firstLine="709"/>
        <w:rPr>
          <w:rFonts w:ascii="Times New Roman" w:hAnsi="Times New Roman" w:cs="Times New Roman"/>
          <w:sz w:val="2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9</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надання допоміжних послуг із забезпечення відновлення функціонування ОЕС України після системних аварій» зазначаються дані щодо сумарної кількості укладених з постачальниками допоміжних послуг договорів про надання допоміжних послуг із забезпечення відновлення функціонування ОЕС України після системних аварій;</w:t>
      </w:r>
    </w:p>
    <w:p w:rsidR="00042B17" w:rsidRPr="00121192" w:rsidRDefault="00042B17" w:rsidP="00773992">
      <w:pPr>
        <w:tabs>
          <w:tab w:val="left" w:pos="709"/>
          <w:tab w:val="left" w:pos="993"/>
        </w:tabs>
        <w:spacing w:after="0"/>
        <w:ind w:firstLine="709"/>
        <w:rPr>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10</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2</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надання послуги з регулювання напруги та реактивної потужності в режимі синхронного компенсатора» зазначаються дані щодо сумарної кількості укладених з постачальниками допоміжних послуг договорів про надання послуги з регулювання напруги та реактивної потужності в режимі синхронного компенсатора;</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11</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29</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«Кількість договорів про участь у балансуючому ринку» зазначаються дані щодо сумарної кількості укладених з учасниками ринку договорів про участь у балансуючому ринку;</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1E4BF6">
        <w:rPr>
          <w:rFonts w:ascii="Times New Roman" w:hAnsi="Times New Roman" w:cs="Times New Roman"/>
          <w:sz w:val="28"/>
          <w:szCs w:val="28"/>
          <w:lang w:val="uk-UA"/>
        </w:rPr>
        <w:t>12</w:t>
      </w:r>
      <w:r w:rsid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711748">
        <w:rPr>
          <w:rFonts w:ascii="Times New Roman" w:hAnsi="Times New Roman" w:cs="Times New Roman"/>
          <w:sz w:val="28"/>
          <w:szCs w:val="28"/>
          <w:lang w:val="uk-UA"/>
        </w:rPr>
        <w:t>29</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«Кількість договорів про доступ до пропускної спроможності міждержавних перетинів» зазначаються дані щодо сумарної кількості укладених з учасниками ринку договорів про доступ до пропускної спроможності міждержавних перетинів.</w:t>
      </w:r>
    </w:p>
    <w:p w:rsidR="00951A7E" w:rsidRPr="00773992" w:rsidRDefault="00951A7E"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00042B17" w:rsidRPr="00773992">
        <w:rPr>
          <w:rFonts w:ascii="Times New Roman" w:hAnsi="Times New Roman" w:cs="Times New Roman"/>
          <w:sz w:val="28"/>
          <w:szCs w:val="28"/>
          <w:lang w:val="uk-UA"/>
        </w:rPr>
        <w:t xml:space="preserve">У розділі ІV </w:t>
      </w:r>
      <w:r w:rsidR="00042B17" w:rsidRPr="00773992">
        <w:rPr>
          <w:lang w:val="uk-UA"/>
        </w:rPr>
        <w:t>«</w:t>
      </w:r>
      <w:r w:rsidR="00042B17" w:rsidRPr="00773992">
        <w:rPr>
          <w:rFonts w:ascii="Times New Roman" w:hAnsi="Times New Roman" w:cs="Times New Roman"/>
          <w:sz w:val="28"/>
          <w:szCs w:val="28"/>
          <w:lang w:val="uk-UA"/>
        </w:rPr>
        <w:t>Інформація щодо відключення/відновлення електроживлення споживачів електричної енергії» відображається  інформація щодо відключення/відновлення електроживлення споживачів протягом кварталів звітного періоду (графи 1 – 4) та разом за рік (графа 5):</w:t>
      </w:r>
    </w:p>
    <w:p w:rsidR="00042B17" w:rsidRPr="001211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0</w:t>
      </w:r>
      <w:r w:rsidR="001E4BF6">
        <w:rPr>
          <w:rFonts w:ascii="Times New Roman" w:hAnsi="Times New Roman" w:cs="Times New Roman"/>
          <w:sz w:val="28"/>
          <w:szCs w:val="28"/>
          <w:lang w:val="uk-UA"/>
        </w:rPr>
        <w:t>0</w:t>
      </w:r>
      <w:r w:rsidR="001E4BF6" w:rsidRPr="00773992">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«Кількість випадків відключення електроживлення споживачів, з них за ініціативою:» зазначаються дані щодо загальної кількості випадків відключення електроживлення споживачів у звітному періоді;</w:t>
      </w:r>
    </w:p>
    <w:p w:rsidR="00042B17" w:rsidRPr="00121192" w:rsidRDefault="00042B17" w:rsidP="00773992">
      <w:pPr>
        <w:pStyle w:val="a4"/>
        <w:tabs>
          <w:tab w:val="left" w:pos="709"/>
          <w:tab w:val="left" w:pos="993"/>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0</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«ОСП,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за надані послуги з передачі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за ініціативою ОСП;</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773992" w:rsidP="00773992">
      <w:pPr>
        <w:tabs>
          <w:tab w:val="left" w:pos="709"/>
          <w:tab w:val="left" w:pos="993"/>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1</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зокрема» зазначаються дані щодо кількості випадків відключення електроживлення споживачів у звітному періоді</w:t>
      </w:r>
      <w:r w:rsidR="00042B17" w:rsidRPr="00773992" w:rsidDel="006E2400">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за ініціативою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кількості випадків відключення електроживлення споживачів за заборгованість з оплати за спожиту електричну енергію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 xml:space="preserve">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w:t>
      </w:r>
    </w:p>
    <w:p w:rsidR="00042B17" w:rsidRPr="007739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6)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2</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«споживача» зазначаються дані щодо кількості випадків відключення електроживлення споживачів у звітному періоді</w:t>
      </w:r>
      <w:r w:rsidRPr="00773992" w:rsidDel="006E2400">
        <w:rPr>
          <w:rFonts w:ascii="Times New Roman" w:hAnsi="Times New Roman" w:cs="Times New Roman"/>
          <w:sz w:val="28"/>
          <w:szCs w:val="28"/>
          <w:lang w:val="uk-UA"/>
        </w:rPr>
        <w:t xml:space="preserve"> </w:t>
      </w:r>
      <w:r w:rsidRPr="00773992">
        <w:rPr>
          <w:rFonts w:ascii="Times New Roman" w:hAnsi="Times New Roman" w:cs="Times New Roman"/>
          <w:sz w:val="28"/>
          <w:szCs w:val="28"/>
          <w:lang w:val="uk-UA"/>
        </w:rPr>
        <w:t>за ініціативою споживача;</w:t>
      </w: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7) </w:t>
      </w:r>
      <w:r w:rsidRPr="001E4BF6">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3</w:t>
      </w:r>
      <w:r w:rsidR="001E4BF6" w:rsidRPr="001E4BF6">
        <w:rPr>
          <w:rFonts w:ascii="Times New Roman" w:hAnsi="Times New Roman" w:cs="Times New Roman"/>
          <w:sz w:val="28"/>
          <w:szCs w:val="28"/>
          <w:lang w:val="uk-UA"/>
        </w:rPr>
        <w:t xml:space="preserve">0 </w:t>
      </w:r>
      <w:r w:rsidRPr="001E4BF6">
        <w:rPr>
          <w:rFonts w:ascii="Times New Roman" w:hAnsi="Times New Roman" w:cs="Times New Roman"/>
          <w:sz w:val="28"/>
          <w:szCs w:val="28"/>
          <w:lang w:val="uk-UA"/>
        </w:rPr>
        <w:t>«Кількість випадків відновлення електроживлення споживачів, які були відключені за ініціативою:» зазначаються дані щодо загальної кількості</w:t>
      </w:r>
      <w:r w:rsidRPr="00773992">
        <w:rPr>
          <w:rFonts w:ascii="Times New Roman" w:hAnsi="Times New Roman" w:cs="Times New Roman"/>
          <w:sz w:val="28"/>
          <w:szCs w:val="28"/>
          <w:lang w:val="uk-UA"/>
        </w:rPr>
        <w:t xml:space="preserve"> випадків відновлення електроживлення споживачів у звітному періоді;</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773992" w:rsidRDefault="00042B17"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8)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3</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«ОСП,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ОСП;</w:t>
      </w:r>
    </w:p>
    <w:p w:rsidR="001E4BF6" w:rsidRPr="00773992" w:rsidRDefault="001E4BF6" w:rsidP="00FC2F50">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p>
    <w:p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9)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за надані послуги з передачі електричної енергії за ініціативою ОСП;</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 w:val="left" w:pos="1276"/>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10)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4</w:t>
      </w:r>
      <w:r w:rsidR="001E4BF6" w:rsidRPr="00773992">
        <w:rPr>
          <w:rFonts w:ascii="Times New Roman" w:hAnsi="Times New Roman" w:cs="Times New Roman"/>
          <w:sz w:val="28"/>
          <w:szCs w:val="28"/>
          <w:lang w:val="uk-UA"/>
        </w:rPr>
        <w:t xml:space="preserve">5 </w:t>
      </w:r>
      <w:r w:rsidRPr="00773992">
        <w:rPr>
          <w:rFonts w:ascii="Times New Roman" w:hAnsi="Times New Roman" w:cs="Times New Roman"/>
          <w:sz w:val="28"/>
          <w:szCs w:val="28"/>
          <w:lang w:val="uk-UA"/>
        </w:rPr>
        <w:t>«</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зокрема» зазначаються дані щодо загальної кількості випадків відновлення електроживлення споживачів у звітному періоді, які були відключені 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s>
        <w:spacing w:after="0"/>
        <w:ind w:left="0" w:firstLine="709"/>
        <w:rPr>
          <w:rFonts w:ascii="Times New Roman" w:hAnsi="Times New Roman" w:cs="Times New Roman"/>
          <w:sz w:val="28"/>
          <w:szCs w:val="28"/>
          <w:lang w:val="uk-UA"/>
        </w:rPr>
      </w:pPr>
    </w:p>
    <w:p w:rsidR="00042B17" w:rsidRPr="00773992" w:rsidRDefault="00042B17"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11) </w:t>
      </w:r>
      <w:r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 xml:space="preserve">0 </w:t>
      </w:r>
      <w:r w:rsidRPr="00773992">
        <w:rPr>
          <w:rFonts w:ascii="Times New Roman" w:hAnsi="Times New Roman" w:cs="Times New Roman"/>
          <w:sz w:val="28"/>
          <w:szCs w:val="28"/>
          <w:lang w:val="uk-UA"/>
        </w:rPr>
        <w:t xml:space="preserve">«за заборгованість» зазначаються дані щодо загальної кількості випадків відновлення електроживлення споживачів, які були відключені за заборгованість з оплати за спожиту електричну енергію за ініціативою </w:t>
      </w:r>
      <w:proofErr w:type="spellStart"/>
      <w:r w:rsidRPr="00773992">
        <w:rPr>
          <w:rFonts w:ascii="Times New Roman" w:hAnsi="Times New Roman" w:cs="Times New Roman"/>
          <w:sz w:val="28"/>
          <w:szCs w:val="28"/>
          <w:lang w:val="uk-UA"/>
        </w:rPr>
        <w:t>електропостачальника</w:t>
      </w:r>
      <w:proofErr w:type="spellEnd"/>
      <w:r w:rsidRPr="00773992">
        <w:rPr>
          <w:rFonts w:ascii="Times New Roman" w:hAnsi="Times New Roman" w:cs="Times New Roman"/>
          <w:sz w:val="28"/>
          <w:szCs w:val="28"/>
          <w:lang w:val="uk-UA"/>
        </w:rPr>
        <w:t xml:space="preserve">; </w:t>
      </w:r>
    </w:p>
    <w:p w:rsidR="00042B17" w:rsidRPr="00121192" w:rsidRDefault="00042B17" w:rsidP="00773992">
      <w:pPr>
        <w:pStyle w:val="a4"/>
        <w:tabs>
          <w:tab w:val="left" w:pos="709"/>
        </w:tabs>
        <w:spacing w:after="0" w:line="276" w:lineRule="auto"/>
        <w:ind w:left="0" w:firstLine="709"/>
        <w:jc w:val="both"/>
        <w:rPr>
          <w:rFonts w:ascii="Times New Roman" w:hAnsi="Times New Roman" w:cs="Times New Roman"/>
          <w:sz w:val="28"/>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12)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5</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«споживача» зазначаються дані щодо кількості випадків відновлення електроживлення споживачів у звітному періоді, які були відключені за ініціативою споживача;</w:t>
      </w:r>
    </w:p>
    <w:p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13)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6</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його запитом» зазначаються дані щодо максимального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 </w:t>
      </w:r>
    </w:p>
    <w:p w:rsidR="00042B17" w:rsidRPr="00676883" w:rsidRDefault="00042B17" w:rsidP="00773992">
      <w:pPr>
        <w:pStyle w:val="a4"/>
        <w:tabs>
          <w:tab w:val="left" w:pos="709"/>
        </w:tabs>
        <w:spacing w:after="0"/>
        <w:ind w:left="0" w:firstLine="709"/>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14) </w:t>
      </w:r>
      <w:r w:rsidR="00042B17" w:rsidRPr="00773992">
        <w:rPr>
          <w:rFonts w:ascii="Times New Roman" w:hAnsi="Times New Roman" w:cs="Times New Roman"/>
          <w:sz w:val="28"/>
          <w:szCs w:val="28"/>
          <w:lang w:val="uk-UA"/>
        </w:rPr>
        <w:t xml:space="preserve">у рядку </w:t>
      </w:r>
      <w:r w:rsidR="001E4BF6">
        <w:rPr>
          <w:rFonts w:ascii="Times New Roman" w:hAnsi="Times New Roman" w:cs="Times New Roman"/>
          <w:sz w:val="28"/>
          <w:szCs w:val="28"/>
          <w:lang w:val="uk-UA"/>
        </w:rPr>
        <w:t>3</w:t>
      </w:r>
      <w:r w:rsidR="00711748">
        <w:rPr>
          <w:rFonts w:ascii="Times New Roman" w:hAnsi="Times New Roman" w:cs="Times New Roman"/>
          <w:sz w:val="28"/>
          <w:szCs w:val="28"/>
          <w:lang w:val="uk-UA"/>
        </w:rPr>
        <w:t>6</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«Мінімальний термін відключення електроживлення споживача за його запитом» зазначаються дані щодо мінімального фактичного терміну здійснення відключення електроживлення споживача за його запитом (кількість календарних днів від дати подання запиту до дати фактичного припинення електроживлення);</w:t>
      </w:r>
    </w:p>
    <w:p w:rsidR="00042B17" w:rsidRPr="00676883" w:rsidRDefault="00042B17" w:rsidP="00773992">
      <w:pPr>
        <w:pStyle w:val="a4"/>
        <w:tabs>
          <w:tab w:val="left" w:pos="709"/>
          <w:tab w:val="left" w:pos="993"/>
        </w:tabs>
        <w:spacing w:after="0" w:line="276" w:lineRule="auto"/>
        <w:ind w:left="0" w:firstLine="709"/>
        <w:jc w:val="both"/>
        <w:rPr>
          <w:rFonts w:ascii="Times New Roman" w:hAnsi="Times New Roman" w:cs="Times New Roman"/>
          <w:sz w:val="20"/>
          <w:szCs w:val="28"/>
          <w:lang w:val="uk-UA"/>
        </w:rPr>
      </w:pPr>
    </w:p>
    <w:p w:rsidR="00042B17"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15)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7</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відключення електроживлення споживача за заборгованість» зазначаються дані щодо максимального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відключення електроживлення); </w:t>
      </w:r>
    </w:p>
    <w:p w:rsidR="00951A7E" w:rsidRPr="00676883" w:rsidRDefault="00951A7E"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16)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7</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«Мінімальний термін відключення електроживлення споживача за заборгованість» зазначаються дані щодо мінімального фактичного терміну здійснення відключення електроживлення споживача за заборгованість за надані послуги з передачі (кількість календарних днів від дати кінцевого строку оплати за надані послуги з передачі до дати фактичного відключення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відключення електроживлення); </w:t>
      </w:r>
    </w:p>
    <w:p w:rsidR="00042B17" w:rsidRPr="00676883" w:rsidRDefault="00042B17" w:rsidP="00773992">
      <w:pPr>
        <w:tabs>
          <w:tab w:val="left" w:pos="709"/>
          <w:tab w:val="left" w:pos="993"/>
        </w:tabs>
        <w:spacing w:after="0" w:line="276" w:lineRule="auto"/>
        <w:ind w:firstLine="709"/>
        <w:jc w:val="both"/>
        <w:rPr>
          <w:rFonts w:ascii="Times New Roman" w:hAnsi="Times New Roman" w:cs="Times New Roman"/>
          <w:sz w:val="20"/>
          <w:szCs w:val="28"/>
          <w:lang w:val="uk-UA"/>
        </w:rPr>
      </w:pPr>
    </w:p>
    <w:p w:rsidR="00042B17" w:rsidRPr="00773992" w:rsidRDefault="00773992" w:rsidP="00773992">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17)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0 </w:t>
      </w:r>
      <w:r w:rsidR="00042B17" w:rsidRPr="00773992">
        <w:rPr>
          <w:rFonts w:ascii="Times New Roman" w:hAnsi="Times New Roman" w:cs="Times New Roman"/>
          <w:sz w:val="28"/>
          <w:szCs w:val="28"/>
          <w:lang w:val="uk-UA"/>
        </w:rPr>
        <w:t xml:space="preserve">«Максимальний термін відновлення електроживлення споживача (після відключення за заборгованість)» зазначаються дані щодо максимального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w:t>
      </w:r>
      <w:r w:rsidR="00042B17" w:rsidRPr="00773992">
        <w:rPr>
          <w:rFonts w:ascii="Times New Roman" w:hAnsi="Times New Roman" w:cs="Times New Roman"/>
          <w:sz w:val="28"/>
          <w:szCs w:val="28"/>
          <w:lang w:val="uk-UA"/>
        </w:rPr>
        <w:lastRenderedPageBreak/>
        <w:t xml:space="preserve">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ОСП до дати фактичного відновлення електроживлення);</w:t>
      </w:r>
    </w:p>
    <w:p w:rsidR="00042B17" w:rsidRPr="00676883" w:rsidRDefault="00042B17" w:rsidP="00773992">
      <w:pPr>
        <w:pStyle w:val="a4"/>
        <w:tabs>
          <w:tab w:val="left" w:pos="709"/>
        </w:tabs>
        <w:ind w:left="0" w:firstLine="709"/>
        <w:rPr>
          <w:rFonts w:ascii="Times New Roman" w:hAnsi="Times New Roman" w:cs="Times New Roman"/>
          <w:sz w:val="18"/>
          <w:szCs w:val="28"/>
          <w:lang w:val="uk-UA"/>
        </w:rPr>
      </w:pPr>
    </w:p>
    <w:p w:rsidR="00042B17" w:rsidRPr="00773992" w:rsidRDefault="005E20DC" w:rsidP="00773992">
      <w:pPr>
        <w:tabs>
          <w:tab w:val="left" w:pos="709"/>
          <w:tab w:val="left" w:pos="993"/>
        </w:tabs>
        <w:spacing w:after="0" w:line="276" w:lineRule="auto"/>
        <w:ind w:firstLine="709"/>
        <w:jc w:val="both"/>
        <w:rPr>
          <w:rFonts w:ascii="Times New Roman" w:hAnsi="Times New Roman" w:cs="Times New Roman"/>
          <w:sz w:val="28"/>
          <w:szCs w:val="28"/>
          <w:lang w:val="uk-UA"/>
        </w:rPr>
      </w:pPr>
      <w:r w:rsidRPr="00773992">
        <w:rPr>
          <w:rFonts w:ascii="Times New Roman" w:hAnsi="Times New Roman" w:cs="Times New Roman"/>
          <w:sz w:val="28"/>
          <w:szCs w:val="28"/>
          <w:lang w:val="uk-UA"/>
        </w:rPr>
        <w:t xml:space="preserve"> </w:t>
      </w:r>
      <w:r w:rsidR="00773992">
        <w:rPr>
          <w:rFonts w:ascii="Times New Roman" w:hAnsi="Times New Roman" w:cs="Times New Roman"/>
          <w:sz w:val="28"/>
          <w:szCs w:val="28"/>
          <w:lang w:val="uk-UA"/>
        </w:rPr>
        <w:t xml:space="preserve">18) </w:t>
      </w:r>
      <w:r w:rsidR="00042B17" w:rsidRPr="00773992">
        <w:rPr>
          <w:rFonts w:ascii="Times New Roman" w:hAnsi="Times New Roman" w:cs="Times New Roman"/>
          <w:sz w:val="28"/>
          <w:szCs w:val="28"/>
          <w:lang w:val="uk-UA"/>
        </w:rPr>
        <w:t xml:space="preserve">у рядку </w:t>
      </w:r>
      <w:r w:rsidR="001E4BF6" w:rsidRPr="00773992">
        <w:rPr>
          <w:rFonts w:ascii="Times New Roman" w:hAnsi="Times New Roman" w:cs="Times New Roman"/>
          <w:sz w:val="28"/>
          <w:szCs w:val="28"/>
          <w:lang w:val="uk-UA"/>
        </w:rPr>
        <w:t>3</w:t>
      </w:r>
      <w:r w:rsidR="00711748">
        <w:rPr>
          <w:rFonts w:ascii="Times New Roman" w:hAnsi="Times New Roman" w:cs="Times New Roman"/>
          <w:sz w:val="28"/>
          <w:szCs w:val="28"/>
          <w:lang w:val="uk-UA"/>
        </w:rPr>
        <w:t>8</w:t>
      </w:r>
      <w:r w:rsidR="001E4BF6" w:rsidRPr="00773992">
        <w:rPr>
          <w:rFonts w:ascii="Times New Roman" w:hAnsi="Times New Roman" w:cs="Times New Roman"/>
          <w:sz w:val="28"/>
          <w:szCs w:val="28"/>
          <w:lang w:val="uk-UA"/>
        </w:rPr>
        <w:t xml:space="preserve">5 </w:t>
      </w:r>
      <w:r w:rsidR="00042B17" w:rsidRPr="00773992">
        <w:rPr>
          <w:rFonts w:ascii="Times New Roman" w:hAnsi="Times New Roman" w:cs="Times New Roman"/>
          <w:sz w:val="28"/>
          <w:szCs w:val="28"/>
          <w:lang w:val="uk-UA"/>
        </w:rPr>
        <w:t xml:space="preserve">«Мінімальний термін відновлення електроживлення споживача (після відключення за заборгованість)» зазначаються дані щодо мінімального фактичного терміну здійснення відновлення електроживлення споживача після відключення за заборгованість за надані послуги з передачі (кількість календарних днів від дати підтвердження оплати заборгованості за надані послуги з передачі до дати фактичного відновлення електроживлення) та/або з оплати за спожиту електричну енергію (кількість календарних днів від дати звернення </w:t>
      </w:r>
      <w:proofErr w:type="spellStart"/>
      <w:r w:rsidR="00042B17" w:rsidRPr="00773992">
        <w:rPr>
          <w:rFonts w:ascii="Times New Roman" w:hAnsi="Times New Roman" w:cs="Times New Roman"/>
          <w:sz w:val="28"/>
          <w:szCs w:val="28"/>
          <w:lang w:val="uk-UA"/>
        </w:rPr>
        <w:t>електропостачальника</w:t>
      </w:r>
      <w:proofErr w:type="spellEnd"/>
      <w:r w:rsidR="00042B17" w:rsidRPr="00773992">
        <w:rPr>
          <w:rFonts w:ascii="Times New Roman" w:hAnsi="Times New Roman" w:cs="Times New Roman"/>
          <w:sz w:val="28"/>
          <w:szCs w:val="28"/>
          <w:lang w:val="uk-UA"/>
        </w:rPr>
        <w:t xml:space="preserve"> до ОСР до дати фактичного відновлення електроживлення).</w:t>
      </w:r>
    </w:p>
    <w:p w:rsidR="00042B17" w:rsidRPr="00676883" w:rsidRDefault="00042B17" w:rsidP="00773992">
      <w:pPr>
        <w:tabs>
          <w:tab w:val="left" w:pos="709"/>
          <w:tab w:val="left" w:pos="851"/>
        </w:tabs>
        <w:spacing w:after="0" w:line="276" w:lineRule="auto"/>
        <w:ind w:firstLine="709"/>
        <w:jc w:val="both"/>
        <w:rPr>
          <w:rFonts w:ascii="Times New Roman" w:hAnsi="Times New Roman" w:cs="Times New Roman"/>
          <w:sz w:val="18"/>
          <w:szCs w:val="28"/>
          <w:lang w:val="uk-UA"/>
        </w:rPr>
      </w:pPr>
    </w:p>
    <w:p w:rsidR="00042B17" w:rsidRPr="00121192" w:rsidRDefault="00773992" w:rsidP="00676883">
      <w:pPr>
        <w:tabs>
          <w:tab w:val="left" w:pos="709"/>
        </w:tabs>
        <w:spacing w:after="0" w:line="276"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00042B17" w:rsidRPr="00773992">
        <w:rPr>
          <w:rFonts w:ascii="Times New Roman" w:hAnsi="Times New Roman" w:cs="Times New Roman"/>
          <w:sz w:val="28"/>
          <w:szCs w:val="28"/>
          <w:lang w:val="uk-UA"/>
        </w:rPr>
        <w:t xml:space="preserve">У додатку </w:t>
      </w:r>
      <w:r w:rsidR="001E4BF6" w:rsidRPr="00773992">
        <w:rPr>
          <w:rFonts w:ascii="Times New Roman" w:hAnsi="Times New Roman" w:cs="Times New Roman"/>
          <w:sz w:val="28"/>
          <w:szCs w:val="28"/>
          <w:lang w:val="uk-UA"/>
        </w:rPr>
        <w:t>«Інформація щодо причин відмови у приєднанні до системи передачі» до форми звітності № 10</w:t>
      </w:r>
      <w:r w:rsidR="001E4BF6">
        <w:rPr>
          <w:rFonts w:ascii="Times New Roman" w:hAnsi="Times New Roman" w:cs="Times New Roman"/>
          <w:sz w:val="28"/>
          <w:szCs w:val="28"/>
          <w:lang w:val="uk-UA"/>
        </w:rPr>
        <w:t xml:space="preserve"> </w:t>
      </w:r>
      <w:r w:rsidR="00042B17" w:rsidRPr="00773992">
        <w:rPr>
          <w:rFonts w:ascii="Times New Roman" w:hAnsi="Times New Roman" w:cs="Times New Roman"/>
          <w:sz w:val="28"/>
          <w:szCs w:val="28"/>
          <w:lang w:val="uk-UA"/>
        </w:rPr>
        <w:t xml:space="preserve">відображається інформація щодо кількості </w:t>
      </w:r>
      <w:r w:rsidR="00056C03">
        <w:rPr>
          <w:rFonts w:ascii="Times New Roman" w:hAnsi="Times New Roman" w:cs="Times New Roman"/>
          <w:sz w:val="28"/>
          <w:szCs w:val="28"/>
          <w:lang w:val="uk-UA"/>
        </w:rPr>
        <w:t>замовників</w:t>
      </w:r>
      <w:r w:rsidR="00042B17" w:rsidRPr="00773992">
        <w:rPr>
          <w:rFonts w:ascii="Times New Roman" w:hAnsi="Times New Roman" w:cs="Times New Roman"/>
          <w:sz w:val="28"/>
          <w:szCs w:val="28"/>
          <w:lang w:val="uk-UA"/>
        </w:rPr>
        <w:t xml:space="preserve">, яким було відмовлено у приєднанні (у розрізі категорій замовників) (графи 1 – </w:t>
      </w:r>
      <w:r w:rsidR="001E4BF6">
        <w:rPr>
          <w:rFonts w:ascii="Times New Roman" w:hAnsi="Times New Roman" w:cs="Times New Roman"/>
          <w:sz w:val="28"/>
          <w:szCs w:val="28"/>
          <w:lang w:val="uk-UA"/>
        </w:rPr>
        <w:t>9</w:t>
      </w:r>
      <w:r w:rsidR="00042B17" w:rsidRPr="00773992">
        <w:rPr>
          <w:rFonts w:ascii="Times New Roman" w:hAnsi="Times New Roman" w:cs="Times New Roman"/>
          <w:sz w:val="28"/>
          <w:szCs w:val="28"/>
          <w:lang w:val="uk-UA"/>
        </w:rPr>
        <w:t>), та причин відмови у приєднанні.</w:t>
      </w:r>
    </w:p>
    <w:p w:rsidR="00042B17" w:rsidRPr="00121192" w:rsidRDefault="00042B17" w:rsidP="00042B17">
      <w:pPr>
        <w:spacing w:after="0" w:line="276" w:lineRule="auto"/>
        <w:ind w:firstLine="567"/>
        <w:jc w:val="both"/>
        <w:rPr>
          <w:rFonts w:ascii="Times New Roman" w:hAnsi="Times New Roman" w:cs="Times New Roman"/>
          <w:sz w:val="28"/>
          <w:szCs w:val="28"/>
          <w:lang w:val="uk-UA"/>
        </w:rPr>
      </w:pPr>
    </w:p>
    <w:p w:rsidR="00027BD1" w:rsidRDefault="00027BD1" w:rsidP="00027BD1">
      <w:pPr>
        <w:spacing w:after="0" w:line="240" w:lineRule="auto"/>
        <w:ind w:firstLine="567"/>
        <w:jc w:val="center"/>
        <w:rPr>
          <w:rFonts w:ascii="Times New Roman" w:hAnsi="Times New Roman" w:cs="Times New Roman"/>
          <w:b/>
          <w:sz w:val="28"/>
          <w:szCs w:val="28"/>
          <w:lang w:val="uk-UA"/>
        </w:rPr>
      </w:pPr>
      <w:bookmarkStart w:id="4" w:name="_Hlk152751612"/>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rsidR="00027BD1" w:rsidRPr="00353F2A" w:rsidRDefault="00027BD1" w:rsidP="00027BD1">
      <w:pPr>
        <w:spacing w:after="0" w:line="240" w:lineRule="auto"/>
        <w:ind w:firstLine="567"/>
        <w:jc w:val="center"/>
        <w:rPr>
          <w:rFonts w:ascii="Times New Roman" w:hAnsi="Times New Roman" w:cs="Times New Roman"/>
          <w:sz w:val="28"/>
          <w:szCs w:val="28"/>
          <w:lang w:val="uk-UA"/>
        </w:rPr>
      </w:pPr>
    </w:p>
    <w:p w:rsidR="00027BD1" w:rsidRDefault="00027BD1" w:rsidP="00027BD1">
      <w:pPr>
        <w:pStyle w:val="af6"/>
        <w:ind w:firstLine="709"/>
        <w:rPr>
          <w:szCs w:val="28"/>
        </w:rPr>
      </w:pPr>
      <w:r w:rsidRPr="00353F2A">
        <w:rPr>
          <w:szCs w:val="28"/>
        </w:rPr>
        <w:t xml:space="preserve">4.1. </w:t>
      </w:r>
      <w:r>
        <w:rPr>
          <w:szCs w:val="28"/>
        </w:rPr>
        <w:t>Електронний бланк форми звітності № 1</w:t>
      </w:r>
      <w:r w:rsidR="0018448A">
        <w:rPr>
          <w:szCs w:val="28"/>
        </w:rPr>
        <w:t>0</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5"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6" w:name="_Hlk150504958"/>
      <w:bookmarkEnd w:id="5"/>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6"/>
      <w:r>
        <w:rPr>
          <w:szCs w:val="28"/>
        </w:rPr>
        <w:t>. 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rsidR="00027BD1" w:rsidRDefault="00027BD1" w:rsidP="00027BD1">
      <w:pPr>
        <w:pStyle w:val="af6"/>
        <w:ind w:firstLine="709"/>
        <w:rPr>
          <w:szCs w:val="28"/>
        </w:rPr>
      </w:pPr>
    </w:p>
    <w:p w:rsidR="00027BD1" w:rsidRPr="00CB35BE" w:rsidRDefault="00027BD1" w:rsidP="00027BD1">
      <w:pPr>
        <w:pStyle w:val="af6"/>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1</w:t>
      </w:r>
      <w:r w:rsidR="0018448A">
        <w:rPr>
          <w:szCs w:val="28"/>
        </w:rPr>
        <w:t>0</w:t>
      </w:r>
      <w:r>
        <w:rPr>
          <w:szCs w:val="28"/>
        </w:rPr>
        <w:t xml:space="preserve"> </w:t>
      </w:r>
      <w:r w:rsidRPr="00CB35BE">
        <w:rPr>
          <w:szCs w:val="28"/>
        </w:rPr>
        <w:t xml:space="preserve">здійснюється </w:t>
      </w:r>
      <w:r>
        <w:rPr>
          <w:szCs w:val="28"/>
        </w:rPr>
        <w:t>таким чином:</w:t>
      </w:r>
    </w:p>
    <w:p w:rsidR="00027BD1" w:rsidRPr="00422C0D" w:rsidRDefault="00027BD1" w:rsidP="00027BD1">
      <w:pPr>
        <w:pStyle w:val="af6"/>
        <w:ind w:firstLine="709"/>
        <w:rPr>
          <w:szCs w:val="28"/>
        </w:rPr>
      </w:pPr>
      <w:r w:rsidRPr="00422C0D">
        <w:rPr>
          <w:szCs w:val="28"/>
        </w:rPr>
        <w:t>ХХХХХХХХ_1</w:t>
      </w:r>
      <w:r w:rsidR="0018448A">
        <w:rPr>
          <w:szCs w:val="28"/>
        </w:rPr>
        <w:t>0</w:t>
      </w:r>
      <w:r>
        <w:rPr>
          <w:szCs w:val="28"/>
        </w:rPr>
        <w:t>Т</w:t>
      </w:r>
      <w:r>
        <w:rPr>
          <w:szCs w:val="28"/>
          <w:lang w:val="en-US"/>
        </w:rPr>
        <w:t>_</w:t>
      </w:r>
      <w:r w:rsidRPr="00422C0D">
        <w:rPr>
          <w:szCs w:val="28"/>
          <w:lang w:val="en-US"/>
        </w:rPr>
        <w:t>YY</w:t>
      </w:r>
      <w:r w:rsidRPr="00422C0D">
        <w:rPr>
          <w:szCs w:val="28"/>
        </w:rPr>
        <w:t xml:space="preserve">, </w:t>
      </w:r>
    </w:p>
    <w:p w:rsidR="00027BD1" w:rsidRPr="00CB59B1" w:rsidRDefault="00027BD1" w:rsidP="00027BD1">
      <w:pPr>
        <w:pStyle w:val="af6"/>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rsidR="00027BD1" w:rsidRDefault="00027BD1" w:rsidP="00027BD1">
      <w:pPr>
        <w:pStyle w:val="af6"/>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rsidR="00027BD1" w:rsidRDefault="00027BD1" w:rsidP="00027BD1">
      <w:pPr>
        <w:pStyle w:val="af6"/>
        <w:ind w:firstLine="709"/>
        <w:rPr>
          <w:szCs w:val="28"/>
        </w:rPr>
      </w:pPr>
    </w:p>
    <w:p w:rsidR="00027BD1" w:rsidRPr="00581FDF" w:rsidRDefault="00027BD1" w:rsidP="00027BD1">
      <w:pPr>
        <w:pStyle w:val="af6"/>
        <w:ind w:firstLine="709"/>
        <w:rPr>
          <w:szCs w:val="28"/>
        </w:rPr>
      </w:pPr>
      <w:r w:rsidRPr="00FA6029">
        <w:rPr>
          <w:szCs w:val="28"/>
        </w:rPr>
        <w:t xml:space="preserve">4.3. </w:t>
      </w:r>
      <w:r w:rsidRPr="00581FDF">
        <w:rPr>
          <w:szCs w:val="28"/>
        </w:rPr>
        <w:t xml:space="preserve"> </w:t>
      </w:r>
      <w:bookmarkStart w:id="7" w:name="_Hlk150505380"/>
      <w:r w:rsidRPr="00581FDF">
        <w:rPr>
          <w:szCs w:val="28"/>
        </w:rPr>
        <w:t>У разі надсилання скоригованої форми звітності</w:t>
      </w:r>
      <w:r>
        <w:rPr>
          <w:szCs w:val="28"/>
          <w:lang w:val="en-US"/>
        </w:rPr>
        <w:t xml:space="preserve"> </w:t>
      </w:r>
      <w:r>
        <w:rPr>
          <w:szCs w:val="28"/>
        </w:rPr>
        <w:t>№ 1</w:t>
      </w:r>
      <w:r w:rsidR="0018448A">
        <w:rPr>
          <w:szCs w:val="28"/>
        </w:rPr>
        <w:t>0</w:t>
      </w:r>
      <w:r w:rsidRPr="00FA6029">
        <w:rPr>
          <w:szCs w:val="28"/>
        </w:rPr>
        <w:t>, до назви форми звітності додаються знаки та символи</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7"/>
    </w:p>
    <w:p w:rsidR="00027BD1" w:rsidRPr="00121192" w:rsidRDefault="00027BD1" w:rsidP="00027BD1">
      <w:pPr>
        <w:spacing w:after="0" w:line="240" w:lineRule="auto"/>
        <w:ind w:firstLine="709"/>
        <w:jc w:val="both"/>
        <w:rPr>
          <w:rFonts w:ascii="Times New Roman" w:hAnsi="Times New Roman" w:cs="Times New Roman"/>
          <w:sz w:val="28"/>
          <w:szCs w:val="28"/>
          <w:lang w:val="uk-UA"/>
        </w:rPr>
      </w:pPr>
    </w:p>
    <w:p w:rsidR="00027BD1" w:rsidRPr="00121192" w:rsidRDefault="00027BD1" w:rsidP="00027BD1">
      <w:pPr>
        <w:spacing w:after="0" w:line="240" w:lineRule="auto"/>
        <w:ind w:firstLine="567"/>
        <w:jc w:val="both"/>
        <w:rPr>
          <w:rFonts w:ascii="Times New Roman" w:hAnsi="Times New Roman" w:cs="Times New Roman"/>
          <w:sz w:val="28"/>
          <w:szCs w:val="28"/>
          <w:lang w:val="uk-UA"/>
        </w:rPr>
      </w:pPr>
    </w:p>
    <w:p w:rsidR="00027BD1" w:rsidRPr="006854DD" w:rsidRDefault="00027BD1" w:rsidP="00027BD1">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rsidR="00CB03F3" w:rsidRPr="00042B17" w:rsidRDefault="00027BD1" w:rsidP="00676883">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bookmarkEnd w:id="4"/>
    </w:p>
    <w:sectPr w:rsidR="00CB03F3" w:rsidRPr="00042B17" w:rsidSect="00F737E8">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5E53" w:rsidRDefault="00FD5E53" w:rsidP="00F737E8">
      <w:pPr>
        <w:spacing w:after="0" w:line="240" w:lineRule="auto"/>
      </w:pPr>
      <w:r>
        <w:separator/>
      </w:r>
    </w:p>
  </w:endnote>
  <w:endnote w:type="continuationSeparator" w:id="0">
    <w:p w:rsidR="00FD5E53" w:rsidRDefault="00FD5E53" w:rsidP="00F737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5E53" w:rsidRDefault="00FD5E53" w:rsidP="00F737E8">
      <w:pPr>
        <w:spacing w:after="0" w:line="240" w:lineRule="auto"/>
      </w:pPr>
      <w:r>
        <w:separator/>
      </w:r>
    </w:p>
  </w:footnote>
  <w:footnote w:type="continuationSeparator" w:id="0">
    <w:p w:rsidR="00FD5E53" w:rsidRDefault="00FD5E53" w:rsidP="00F737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9180653"/>
      <w:docPartObj>
        <w:docPartGallery w:val="Page Numbers (Top of Page)"/>
        <w:docPartUnique/>
      </w:docPartObj>
    </w:sdtPr>
    <w:sdtEndPr>
      <w:rPr>
        <w:rFonts w:ascii="Times New Roman" w:hAnsi="Times New Roman" w:cs="Times New Roman"/>
        <w:sz w:val="28"/>
        <w:szCs w:val="28"/>
      </w:rPr>
    </w:sdtEndPr>
    <w:sdtContent>
      <w:p w:rsidR="00DC09B9" w:rsidRPr="00F737E8" w:rsidRDefault="00905E37">
        <w:pPr>
          <w:pStyle w:val="af2"/>
          <w:jc w:val="center"/>
          <w:rPr>
            <w:rFonts w:ascii="Times New Roman" w:hAnsi="Times New Roman" w:cs="Times New Roman"/>
            <w:sz w:val="28"/>
            <w:szCs w:val="28"/>
          </w:rPr>
        </w:pPr>
        <w:r w:rsidRPr="00F737E8">
          <w:rPr>
            <w:rFonts w:ascii="Times New Roman" w:hAnsi="Times New Roman" w:cs="Times New Roman"/>
            <w:sz w:val="28"/>
            <w:szCs w:val="28"/>
          </w:rPr>
          <w:fldChar w:fldCharType="begin"/>
        </w:r>
        <w:r w:rsidR="00DC09B9" w:rsidRPr="00F737E8">
          <w:rPr>
            <w:rFonts w:ascii="Times New Roman" w:hAnsi="Times New Roman" w:cs="Times New Roman"/>
            <w:sz w:val="28"/>
            <w:szCs w:val="28"/>
          </w:rPr>
          <w:instrText>PAGE   \* MERGEFORMAT</w:instrText>
        </w:r>
        <w:r w:rsidRPr="00F737E8">
          <w:rPr>
            <w:rFonts w:ascii="Times New Roman" w:hAnsi="Times New Roman" w:cs="Times New Roman"/>
            <w:sz w:val="28"/>
            <w:szCs w:val="28"/>
          </w:rPr>
          <w:fldChar w:fldCharType="separate"/>
        </w:r>
        <w:r w:rsidR="00A25359" w:rsidRPr="00A25359">
          <w:rPr>
            <w:rFonts w:ascii="Times New Roman" w:hAnsi="Times New Roman" w:cs="Times New Roman"/>
            <w:noProof/>
            <w:sz w:val="28"/>
            <w:szCs w:val="28"/>
            <w:lang w:val="uk-UA"/>
          </w:rPr>
          <w:t>4</w:t>
        </w:r>
        <w:r w:rsidRPr="00F737E8">
          <w:rPr>
            <w:rFonts w:ascii="Times New Roman" w:hAnsi="Times New Roman" w:cs="Times New Roman"/>
            <w:sz w:val="28"/>
            <w:szCs w:val="28"/>
          </w:rPr>
          <w:fldChar w:fldCharType="end"/>
        </w:r>
      </w:p>
    </w:sdtContent>
  </w:sdt>
  <w:p w:rsidR="00DC09B9" w:rsidRDefault="00DC09B9">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023A5"/>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1C72F5"/>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07EB7AD8"/>
    <w:multiLevelType w:val="hybridMultilevel"/>
    <w:tmpl w:val="77BCC6A4"/>
    <w:lvl w:ilvl="0" w:tplc="C3D433EE">
      <w:start w:val="1"/>
      <w:numFmt w:val="decimal"/>
      <w:lvlText w:val="%1)"/>
      <w:lvlJc w:val="left"/>
      <w:pPr>
        <w:ind w:left="1211" w:hanging="360"/>
      </w:pPr>
      <w:rPr>
        <w:rFonts w:hint="default"/>
      </w:rPr>
    </w:lvl>
    <w:lvl w:ilvl="1" w:tplc="04220019">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0C9261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4D779E6"/>
    <w:multiLevelType w:val="hybridMultilevel"/>
    <w:tmpl w:val="E4A89BC8"/>
    <w:lvl w:ilvl="0" w:tplc="D76CF49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63D3C8E"/>
    <w:multiLevelType w:val="hybridMultilevel"/>
    <w:tmpl w:val="FDA8C6E8"/>
    <w:lvl w:ilvl="0" w:tplc="D2B4DA2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28520DAB"/>
    <w:multiLevelType w:val="multilevel"/>
    <w:tmpl w:val="FEB03016"/>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A3D1242"/>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B145191"/>
    <w:multiLevelType w:val="multilevel"/>
    <w:tmpl w:val="D7DA6F24"/>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361D284B"/>
    <w:multiLevelType w:val="hybridMultilevel"/>
    <w:tmpl w:val="4B80E612"/>
    <w:lvl w:ilvl="0" w:tplc="65B2ED0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0" w15:restartNumberingAfterBreak="0">
    <w:nsid w:val="3C095DC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40900E59"/>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264DA3"/>
    <w:multiLevelType w:val="hybridMultilevel"/>
    <w:tmpl w:val="5ED471C0"/>
    <w:lvl w:ilvl="0" w:tplc="7B42FE96">
      <w:start w:val="1"/>
      <w:numFmt w:val="decimal"/>
      <w:lvlText w:val="%1)"/>
      <w:lvlJc w:val="left"/>
      <w:pPr>
        <w:ind w:left="992" w:hanging="360"/>
      </w:pPr>
      <w:rPr>
        <w:rFonts w:hint="default"/>
      </w:rPr>
    </w:lvl>
    <w:lvl w:ilvl="1" w:tplc="04220019" w:tentative="1">
      <w:start w:val="1"/>
      <w:numFmt w:val="lowerLetter"/>
      <w:lvlText w:val="%2."/>
      <w:lvlJc w:val="left"/>
      <w:pPr>
        <w:ind w:left="1712" w:hanging="360"/>
      </w:pPr>
    </w:lvl>
    <w:lvl w:ilvl="2" w:tplc="0422001B" w:tentative="1">
      <w:start w:val="1"/>
      <w:numFmt w:val="lowerRoman"/>
      <w:lvlText w:val="%3."/>
      <w:lvlJc w:val="right"/>
      <w:pPr>
        <w:ind w:left="2432" w:hanging="180"/>
      </w:pPr>
    </w:lvl>
    <w:lvl w:ilvl="3" w:tplc="0422000F" w:tentative="1">
      <w:start w:val="1"/>
      <w:numFmt w:val="decimal"/>
      <w:lvlText w:val="%4."/>
      <w:lvlJc w:val="left"/>
      <w:pPr>
        <w:ind w:left="3152" w:hanging="360"/>
      </w:pPr>
    </w:lvl>
    <w:lvl w:ilvl="4" w:tplc="04220019" w:tentative="1">
      <w:start w:val="1"/>
      <w:numFmt w:val="lowerLetter"/>
      <w:lvlText w:val="%5."/>
      <w:lvlJc w:val="left"/>
      <w:pPr>
        <w:ind w:left="3872" w:hanging="360"/>
      </w:pPr>
    </w:lvl>
    <w:lvl w:ilvl="5" w:tplc="0422001B" w:tentative="1">
      <w:start w:val="1"/>
      <w:numFmt w:val="lowerRoman"/>
      <w:lvlText w:val="%6."/>
      <w:lvlJc w:val="right"/>
      <w:pPr>
        <w:ind w:left="4592" w:hanging="180"/>
      </w:pPr>
    </w:lvl>
    <w:lvl w:ilvl="6" w:tplc="0422000F" w:tentative="1">
      <w:start w:val="1"/>
      <w:numFmt w:val="decimal"/>
      <w:lvlText w:val="%7."/>
      <w:lvlJc w:val="left"/>
      <w:pPr>
        <w:ind w:left="5312" w:hanging="360"/>
      </w:pPr>
    </w:lvl>
    <w:lvl w:ilvl="7" w:tplc="04220019" w:tentative="1">
      <w:start w:val="1"/>
      <w:numFmt w:val="lowerLetter"/>
      <w:lvlText w:val="%8."/>
      <w:lvlJc w:val="left"/>
      <w:pPr>
        <w:ind w:left="6032" w:hanging="360"/>
      </w:pPr>
    </w:lvl>
    <w:lvl w:ilvl="8" w:tplc="0422001B" w:tentative="1">
      <w:start w:val="1"/>
      <w:numFmt w:val="lowerRoman"/>
      <w:lvlText w:val="%9."/>
      <w:lvlJc w:val="right"/>
      <w:pPr>
        <w:ind w:left="6752" w:hanging="180"/>
      </w:pPr>
    </w:lvl>
  </w:abstractNum>
  <w:abstractNum w:abstractNumId="13"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4" w15:restartNumberingAfterBreak="0">
    <w:nsid w:val="4E5733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FB7AA3"/>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2764594"/>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60D73C9"/>
    <w:multiLevelType w:val="hybridMultilevel"/>
    <w:tmpl w:val="1342288E"/>
    <w:lvl w:ilvl="0" w:tplc="C5E8FF1A">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8" w15:restartNumberingAfterBreak="0">
    <w:nsid w:val="5954455F"/>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1A63FD"/>
    <w:multiLevelType w:val="hybridMultilevel"/>
    <w:tmpl w:val="9A2AC40C"/>
    <w:lvl w:ilvl="0" w:tplc="0D9EA2A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15:restartNumberingAfterBreak="0">
    <w:nsid w:val="5AA6503F"/>
    <w:multiLevelType w:val="hybridMultilevel"/>
    <w:tmpl w:val="BA9EEBE0"/>
    <w:lvl w:ilvl="0" w:tplc="6D385B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5BE76675"/>
    <w:multiLevelType w:val="hybridMultilevel"/>
    <w:tmpl w:val="E616981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5E33249B"/>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674A459A"/>
    <w:multiLevelType w:val="hybridMultilevel"/>
    <w:tmpl w:val="942621AC"/>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E615C4C"/>
    <w:multiLevelType w:val="hybridMultilevel"/>
    <w:tmpl w:val="4226F830"/>
    <w:lvl w:ilvl="0" w:tplc="CF94E564">
      <w:start w:val="1"/>
      <w:numFmt w:val="decimal"/>
      <w:lvlText w:val="%1)"/>
      <w:lvlJc w:val="left"/>
      <w:pPr>
        <w:ind w:left="928"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F432669"/>
    <w:multiLevelType w:val="hybridMultilevel"/>
    <w:tmpl w:val="77BCC6A4"/>
    <w:lvl w:ilvl="0" w:tplc="C3D433EE">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7" w15:restartNumberingAfterBreak="0">
    <w:nsid w:val="700710EB"/>
    <w:multiLevelType w:val="hybridMultilevel"/>
    <w:tmpl w:val="30720816"/>
    <w:lvl w:ilvl="0" w:tplc="9CA04EFE">
      <w:start w:val="1"/>
      <w:numFmt w:val="decimal"/>
      <w:lvlText w:val="%1)"/>
      <w:lvlJc w:val="left"/>
      <w:pPr>
        <w:ind w:left="928"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0B050AF"/>
    <w:multiLevelType w:val="hybridMultilevel"/>
    <w:tmpl w:val="30720816"/>
    <w:lvl w:ilvl="0" w:tplc="9CA04EFE">
      <w:start w:val="1"/>
      <w:numFmt w:val="decimal"/>
      <w:lvlText w:val="%1)"/>
      <w:lvlJc w:val="left"/>
      <w:pPr>
        <w:ind w:left="720" w:hanging="360"/>
      </w:pPr>
      <w:rPr>
        <w:rFonts w:hint="default"/>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FCE6492"/>
    <w:multiLevelType w:val="multilevel"/>
    <w:tmpl w:val="DF72BDB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7"/>
  </w:num>
  <w:num w:numId="2">
    <w:abstractNumId w:val="23"/>
  </w:num>
  <w:num w:numId="3">
    <w:abstractNumId w:val="15"/>
  </w:num>
  <w:num w:numId="4">
    <w:abstractNumId w:val="13"/>
  </w:num>
  <w:num w:numId="5">
    <w:abstractNumId w:val="3"/>
  </w:num>
  <w:num w:numId="6">
    <w:abstractNumId w:val="26"/>
  </w:num>
  <w:num w:numId="7">
    <w:abstractNumId w:val="2"/>
  </w:num>
  <w:num w:numId="8">
    <w:abstractNumId w:val="28"/>
  </w:num>
  <w:num w:numId="9">
    <w:abstractNumId w:val="10"/>
  </w:num>
  <w:num w:numId="10">
    <w:abstractNumId w:val="1"/>
  </w:num>
  <w:num w:numId="11">
    <w:abstractNumId w:val="6"/>
  </w:num>
  <w:num w:numId="12">
    <w:abstractNumId w:val="24"/>
  </w:num>
  <w:num w:numId="13">
    <w:abstractNumId w:val="25"/>
  </w:num>
  <w:num w:numId="14">
    <w:abstractNumId w:val="7"/>
  </w:num>
  <w:num w:numId="15">
    <w:abstractNumId w:val="8"/>
  </w:num>
  <w:num w:numId="16">
    <w:abstractNumId w:val="18"/>
  </w:num>
  <w:num w:numId="17">
    <w:abstractNumId w:val="16"/>
  </w:num>
  <w:num w:numId="18">
    <w:abstractNumId w:val="14"/>
  </w:num>
  <w:num w:numId="19">
    <w:abstractNumId w:val="11"/>
  </w:num>
  <w:num w:numId="20">
    <w:abstractNumId w:val="0"/>
  </w:num>
  <w:num w:numId="21">
    <w:abstractNumId w:val="22"/>
  </w:num>
  <w:num w:numId="22">
    <w:abstractNumId w:val="9"/>
  </w:num>
  <w:num w:numId="23">
    <w:abstractNumId w:val="29"/>
  </w:num>
  <w:num w:numId="24">
    <w:abstractNumId w:val="17"/>
  </w:num>
  <w:num w:numId="25">
    <w:abstractNumId w:val="12"/>
  </w:num>
  <w:num w:numId="26">
    <w:abstractNumId w:val="21"/>
  </w:num>
  <w:num w:numId="27">
    <w:abstractNumId w:val="19"/>
  </w:num>
  <w:num w:numId="28">
    <w:abstractNumId w:val="5"/>
  </w:num>
  <w:num w:numId="29">
    <w:abstractNumId w:val="20"/>
  </w:num>
  <w:num w:numId="30">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7C8B"/>
    <w:rsid w:val="00012D3E"/>
    <w:rsid w:val="000270CE"/>
    <w:rsid w:val="00027BD1"/>
    <w:rsid w:val="000337D6"/>
    <w:rsid w:val="00042B17"/>
    <w:rsid w:val="00055A0D"/>
    <w:rsid w:val="00056C03"/>
    <w:rsid w:val="00061FE3"/>
    <w:rsid w:val="00083D32"/>
    <w:rsid w:val="000A630A"/>
    <w:rsid w:val="000D0B77"/>
    <w:rsid w:val="000D16E9"/>
    <w:rsid w:val="000E776D"/>
    <w:rsid w:val="001142E0"/>
    <w:rsid w:val="001175D8"/>
    <w:rsid w:val="00120BD6"/>
    <w:rsid w:val="00120E61"/>
    <w:rsid w:val="00121192"/>
    <w:rsid w:val="00142BD9"/>
    <w:rsid w:val="00162DD5"/>
    <w:rsid w:val="00164775"/>
    <w:rsid w:val="00167F64"/>
    <w:rsid w:val="001748BC"/>
    <w:rsid w:val="0018315D"/>
    <w:rsid w:val="0018448A"/>
    <w:rsid w:val="001A5FA5"/>
    <w:rsid w:val="001B0836"/>
    <w:rsid w:val="001B148F"/>
    <w:rsid w:val="001B31FF"/>
    <w:rsid w:val="001D722B"/>
    <w:rsid w:val="001E4BF6"/>
    <w:rsid w:val="001E4E4E"/>
    <w:rsid w:val="001F2511"/>
    <w:rsid w:val="00211E9D"/>
    <w:rsid w:val="002127C0"/>
    <w:rsid w:val="002210DF"/>
    <w:rsid w:val="00243EB7"/>
    <w:rsid w:val="002670C7"/>
    <w:rsid w:val="00285F2E"/>
    <w:rsid w:val="002A010B"/>
    <w:rsid w:val="002B0159"/>
    <w:rsid w:val="002B6015"/>
    <w:rsid w:val="002C79D5"/>
    <w:rsid w:val="002D06C3"/>
    <w:rsid w:val="002E1060"/>
    <w:rsid w:val="002E3E34"/>
    <w:rsid w:val="00327BC7"/>
    <w:rsid w:val="003371B7"/>
    <w:rsid w:val="00375038"/>
    <w:rsid w:val="003823F6"/>
    <w:rsid w:val="003A1AC9"/>
    <w:rsid w:val="003B1ACB"/>
    <w:rsid w:val="003F6084"/>
    <w:rsid w:val="00411E2A"/>
    <w:rsid w:val="0043049E"/>
    <w:rsid w:val="0043072C"/>
    <w:rsid w:val="00447F04"/>
    <w:rsid w:val="004702DD"/>
    <w:rsid w:val="00473B75"/>
    <w:rsid w:val="004A076D"/>
    <w:rsid w:val="004B4829"/>
    <w:rsid w:val="004E28A0"/>
    <w:rsid w:val="004E55C9"/>
    <w:rsid w:val="00505620"/>
    <w:rsid w:val="005113C3"/>
    <w:rsid w:val="00523958"/>
    <w:rsid w:val="0054282B"/>
    <w:rsid w:val="00544346"/>
    <w:rsid w:val="0057682F"/>
    <w:rsid w:val="0058688B"/>
    <w:rsid w:val="005A7D7F"/>
    <w:rsid w:val="005B29E0"/>
    <w:rsid w:val="005C655F"/>
    <w:rsid w:val="005E20DC"/>
    <w:rsid w:val="00603196"/>
    <w:rsid w:val="00605899"/>
    <w:rsid w:val="00651E47"/>
    <w:rsid w:val="00657C8B"/>
    <w:rsid w:val="006620A8"/>
    <w:rsid w:val="00676883"/>
    <w:rsid w:val="00680C50"/>
    <w:rsid w:val="006A1C0B"/>
    <w:rsid w:val="006B1B62"/>
    <w:rsid w:val="006B7A0B"/>
    <w:rsid w:val="0070109B"/>
    <w:rsid w:val="00711748"/>
    <w:rsid w:val="0072299A"/>
    <w:rsid w:val="007671A8"/>
    <w:rsid w:val="00772C25"/>
    <w:rsid w:val="00773992"/>
    <w:rsid w:val="0077466D"/>
    <w:rsid w:val="00796ECA"/>
    <w:rsid w:val="007A6F8B"/>
    <w:rsid w:val="007C584B"/>
    <w:rsid w:val="007D1F89"/>
    <w:rsid w:val="007D5746"/>
    <w:rsid w:val="007D6549"/>
    <w:rsid w:val="007F1B3E"/>
    <w:rsid w:val="00817EE0"/>
    <w:rsid w:val="008440B3"/>
    <w:rsid w:val="00854BDA"/>
    <w:rsid w:val="00874F13"/>
    <w:rsid w:val="00880858"/>
    <w:rsid w:val="008A12D8"/>
    <w:rsid w:val="008A46A7"/>
    <w:rsid w:val="008C6393"/>
    <w:rsid w:val="008D04B3"/>
    <w:rsid w:val="008D4152"/>
    <w:rsid w:val="008E4000"/>
    <w:rsid w:val="008E419F"/>
    <w:rsid w:val="008F4A53"/>
    <w:rsid w:val="008F5F61"/>
    <w:rsid w:val="008F7FEE"/>
    <w:rsid w:val="00903630"/>
    <w:rsid w:val="00905E37"/>
    <w:rsid w:val="0091452D"/>
    <w:rsid w:val="009212A5"/>
    <w:rsid w:val="0093419A"/>
    <w:rsid w:val="00936A84"/>
    <w:rsid w:val="00937330"/>
    <w:rsid w:val="009456AA"/>
    <w:rsid w:val="00951A7E"/>
    <w:rsid w:val="0095312C"/>
    <w:rsid w:val="0098094C"/>
    <w:rsid w:val="009865F1"/>
    <w:rsid w:val="009B4498"/>
    <w:rsid w:val="009B77D0"/>
    <w:rsid w:val="009C77B9"/>
    <w:rsid w:val="009E4A86"/>
    <w:rsid w:val="009F1153"/>
    <w:rsid w:val="00A25359"/>
    <w:rsid w:val="00A3458E"/>
    <w:rsid w:val="00A55862"/>
    <w:rsid w:val="00A55B31"/>
    <w:rsid w:val="00A668C1"/>
    <w:rsid w:val="00A7297D"/>
    <w:rsid w:val="00AA7E0A"/>
    <w:rsid w:val="00AB7F4F"/>
    <w:rsid w:val="00AD0E9B"/>
    <w:rsid w:val="00AE3968"/>
    <w:rsid w:val="00AE4F88"/>
    <w:rsid w:val="00B30AB8"/>
    <w:rsid w:val="00B339D5"/>
    <w:rsid w:val="00B52B5D"/>
    <w:rsid w:val="00B621FF"/>
    <w:rsid w:val="00B6728D"/>
    <w:rsid w:val="00B70D8C"/>
    <w:rsid w:val="00B90991"/>
    <w:rsid w:val="00BA534A"/>
    <w:rsid w:val="00BB1B59"/>
    <w:rsid w:val="00BB6C0F"/>
    <w:rsid w:val="00BB7497"/>
    <w:rsid w:val="00BB7819"/>
    <w:rsid w:val="00BC327D"/>
    <w:rsid w:val="00BD4C68"/>
    <w:rsid w:val="00BD786C"/>
    <w:rsid w:val="00BE2E15"/>
    <w:rsid w:val="00BE3747"/>
    <w:rsid w:val="00BE6ADA"/>
    <w:rsid w:val="00BF40C6"/>
    <w:rsid w:val="00BF57DC"/>
    <w:rsid w:val="00C14532"/>
    <w:rsid w:val="00C21107"/>
    <w:rsid w:val="00C344F9"/>
    <w:rsid w:val="00C50497"/>
    <w:rsid w:val="00C67356"/>
    <w:rsid w:val="00C843D0"/>
    <w:rsid w:val="00CA0BAD"/>
    <w:rsid w:val="00CA0EE2"/>
    <w:rsid w:val="00CB03F3"/>
    <w:rsid w:val="00CE2247"/>
    <w:rsid w:val="00CF5CDC"/>
    <w:rsid w:val="00D114F3"/>
    <w:rsid w:val="00D25DCF"/>
    <w:rsid w:val="00D31384"/>
    <w:rsid w:val="00D33A98"/>
    <w:rsid w:val="00D42CF8"/>
    <w:rsid w:val="00D56857"/>
    <w:rsid w:val="00D57676"/>
    <w:rsid w:val="00D74BCD"/>
    <w:rsid w:val="00DA4EFC"/>
    <w:rsid w:val="00DA5569"/>
    <w:rsid w:val="00DA74A1"/>
    <w:rsid w:val="00DC09B9"/>
    <w:rsid w:val="00DD3283"/>
    <w:rsid w:val="00DD3441"/>
    <w:rsid w:val="00DD38E3"/>
    <w:rsid w:val="00DD68EE"/>
    <w:rsid w:val="00DF32C8"/>
    <w:rsid w:val="00E1018A"/>
    <w:rsid w:val="00E16A4D"/>
    <w:rsid w:val="00E30E2A"/>
    <w:rsid w:val="00E30EFD"/>
    <w:rsid w:val="00E321CF"/>
    <w:rsid w:val="00E45E5D"/>
    <w:rsid w:val="00E504D9"/>
    <w:rsid w:val="00E60736"/>
    <w:rsid w:val="00E76469"/>
    <w:rsid w:val="00E87922"/>
    <w:rsid w:val="00EC25F4"/>
    <w:rsid w:val="00ED084E"/>
    <w:rsid w:val="00EE710C"/>
    <w:rsid w:val="00EF133A"/>
    <w:rsid w:val="00EF3964"/>
    <w:rsid w:val="00EF61DB"/>
    <w:rsid w:val="00F048F3"/>
    <w:rsid w:val="00F320E3"/>
    <w:rsid w:val="00F33359"/>
    <w:rsid w:val="00F37E8A"/>
    <w:rsid w:val="00F725DC"/>
    <w:rsid w:val="00F737E8"/>
    <w:rsid w:val="00F971F2"/>
    <w:rsid w:val="00FC2F50"/>
    <w:rsid w:val="00FD01AF"/>
    <w:rsid w:val="00FD2F0B"/>
    <w:rsid w:val="00FD5E53"/>
    <w:rsid w:val="00FD60AD"/>
    <w:rsid w:val="00FF34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4C3C7EB-7297-4742-A0BD-D6D41016E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E4A86"/>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basedOn w:val="a0"/>
    <w:link w:val="a5"/>
    <w:uiPriority w:val="99"/>
    <w:semiHidden/>
    <w:rsid w:val="009E4A86"/>
    <w:rPr>
      <w:sz w:val="20"/>
      <w:szCs w:val="20"/>
      <w:lang w:val="ru-RU"/>
    </w:rPr>
  </w:style>
  <w:style w:type="character" w:styleId="a7">
    <w:name w:val="footnote reference"/>
    <w:basedOn w:val="a0"/>
    <w:uiPriority w:val="99"/>
    <w:semiHidden/>
    <w:unhideWhenUsed/>
    <w:rsid w:val="009E4A86"/>
    <w:rPr>
      <w:vertAlign w:val="superscript"/>
    </w:rPr>
  </w:style>
  <w:style w:type="character" w:styleId="a8">
    <w:name w:val="annotation reference"/>
    <w:basedOn w:val="a0"/>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basedOn w:val="a0"/>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basedOn w:val="aa"/>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E4A86"/>
    <w:rPr>
      <w:rFonts w:ascii="Segoe UI" w:hAnsi="Segoe UI" w:cs="Segoe UI"/>
      <w:sz w:val="18"/>
      <w:szCs w:val="18"/>
      <w:lang w:val="ru-RU"/>
    </w:rPr>
  </w:style>
  <w:style w:type="character" w:styleId="af">
    <w:name w:val="Hyperlink"/>
    <w:basedOn w:val="a0"/>
    <w:uiPriority w:val="99"/>
    <w:unhideWhenUsed/>
    <w:rsid w:val="009E4A86"/>
    <w:rPr>
      <w:color w:val="0000FF"/>
      <w:u w:val="single"/>
    </w:rPr>
  </w:style>
  <w:style w:type="paragraph" w:styleId="af0">
    <w:name w:val="Revision"/>
    <w:hidden/>
    <w:uiPriority w:val="99"/>
    <w:semiHidden/>
    <w:rsid w:val="009E4A86"/>
    <w:pPr>
      <w:spacing w:after="0" w:line="240" w:lineRule="auto"/>
    </w:pPr>
    <w:rPr>
      <w:lang w:val="ru-RU"/>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basedOn w:val="a0"/>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basedOn w:val="a0"/>
    <w:link w:val="af4"/>
    <w:uiPriority w:val="99"/>
    <w:rsid w:val="009E4A86"/>
    <w:rPr>
      <w:lang w:val="ru-RU"/>
    </w:rPr>
  </w:style>
  <w:style w:type="paragraph" w:customStyle="1" w:styleId="rvps2">
    <w:name w:val="rvps2"/>
    <w:basedOn w:val="a"/>
    <w:rsid w:val="00027B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f6">
    <w:name w:val="Body Text Indent"/>
    <w:basedOn w:val="a"/>
    <w:link w:val="af7"/>
    <w:unhideWhenUsed/>
    <w:rsid w:val="00027BD1"/>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f7">
    <w:name w:val="Основний текст з відступом Знак"/>
    <w:basedOn w:val="a0"/>
    <w:link w:val="af6"/>
    <w:rsid w:val="00027BD1"/>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474032484">
      <w:bodyDiv w:val="1"/>
      <w:marLeft w:val="0"/>
      <w:marRight w:val="0"/>
      <w:marTop w:val="0"/>
      <w:marBottom w:val="0"/>
      <w:divBdr>
        <w:top w:val="none" w:sz="0" w:space="0" w:color="auto"/>
        <w:left w:val="none" w:sz="0" w:space="0" w:color="auto"/>
        <w:bottom w:val="none" w:sz="0" w:space="0" w:color="auto"/>
        <w:right w:val="none" w:sz="0" w:space="0" w:color="auto"/>
      </w:divBdr>
    </w:div>
    <w:div w:id="810055149">
      <w:bodyDiv w:val="1"/>
      <w:marLeft w:val="0"/>
      <w:marRight w:val="0"/>
      <w:marTop w:val="0"/>
      <w:marBottom w:val="0"/>
      <w:divBdr>
        <w:top w:val="none" w:sz="0" w:space="0" w:color="auto"/>
        <w:left w:val="none" w:sz="0" w:space="0" w:color="auto"/>
        <w:bottom w:val="none" w:sz="0" w:space="0" w:color="auto"/>
        <w:right w:val="none" w:sz="0" w:space="0" w:color="auto"/>
      </w:divBdr>
    </w:div>
    <w:div w:id="1832140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C4EC2-C884-4BF0-BC16-05C049636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10</Pages>
  <Words>13115</Words>
  <Characters>7477</Characters>
  <Application>Microsoft Office Word</Application>
  <DocSecurity>0</DocSecurity>
  <Lines>62</Lines>
  <Paragraphs>41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35</cp:revision>
  <cp:lastPrinted>2019-10-01T08:35:00Z</cp:lastPrinted>
  <dcterms:created xsi:type="dcterms:W3CDTF">2019-09-18T07:49:00Z</dcterms:created>
  <dcterms:modified xsi:type="dcterms:W3CDTF">2024-02-06T12:32:00Z</dcterms:modified>
</cp:coreProperties>
</file>