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18428" w14:textId="77777777" w:rsidR="00EA7CA2" w:rsidRPr="00526F7D" w:rsidRDefault="00EA7CA2"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ЗАТВЕРДЖЕНО</w:t>
      </w:r>
      <w:r w:rsidRPr="00526F7D">
        <w:rPr>
          <w:sz w:val="28"/>
          <w:szCs w:val="28"/>
        </w:rPr>
        <w:br/>
        <w:t>Постанова Національної комісії, що здійснює державне регулювання у сферах</w:t>
      </w:r>
      <w:r w:rsidRPr="00526F7D">
        <w:rPr>
          <w:sz w:val="28"/>
          <w:szCs w:val="28"/>
          <w:lang w:val="ru-RU"/>
        </w:rPr>
        <w:t xml:space="preserve"> </w:t>
      </w:r>
      <w:r w:rsidRPr="00526F7D">
        <w:rPr>
          <w:sz w:val="28"/>
          <w:szCs w:val="28"/>
        </w:rPr>
        <w:t>енергетики та комунальних</w:t>
      </w:r>
      <w:r w:rsidRPr="00526F7D">
        <w:rPr>
          <w:sz w:val="28"/>
          <w:szCs w:val="28"/>
          <w:lang w:val="ru-RU"/>
        </w:rPr>
        <w:t xml:space="preserve"> </w:t>
      </w:r>
      <w:r w:rsidRPr="00526F7D">
        <w:rPr>
          <w:sz w:val="28"/>
          <w:szCs w:val="28"/>
        </w:rPr>
        <w:t xml:space="preserve">послуг </w:t>
      </w:r>
    </w:p>
    <w:p w14:paraId="69F7C3E7" w14:textId="77777777" w:rsidR="00EA7CA2" w:rsidRPr="00526F7D" w:rsidRDefault="00EA7CA2"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29.03.2019 № 450</w:t>
      </w:r>
    </w:p>
    <w:p w14:paraId="612358CC" w14:textId="667C3FB0" w:rsidR="006E200B" w:rsidRPr="00526F7D" w:rsidRDefault="006E200B" w:rsidP="007A0F37">
      <w:pPr>
        <w:pStyle w:val="a6"/>
        <w:framePr w:hSpace="45" w:wrap="around" w:vAnchor="text" w:hAnchor="page" w:x="1501" w:y="112"/>
        <w:tabs>
          <w:tab w:val="left" w:pos="9072"/>
        </w:tabs>
        <w:spacing w:before="0" w:beforeAutospacing="0" w:after="0" w:afterAutospacing="0"/>
        <w:ind w:left="5812"/>
        <w:rPr>
          <w:sz w:val="28"/>
          <w:szCs w:val="28"/>
        </w:rPr>
      </w:pPr>
      <w:r w:rsidRPr="00526F7D">
        <w:rPr>
          <w:sz w:val="28"/>
          <w:szCs w:val="28"/>
        </w:rPr>
        <w:t>(</w:t>
      </w:r>
      <w:r w:rsidR="00907B49" w:rsidRPr="00526F7D">
        <w:rPr>
          <w:sz w:val="28"/>
          <w:szCs w:val="28"/>
        </w:rPr>
        <w:t>у</w:t>
      </w:r>
      <w:r w:rsidRPr="00526F7D">
        <w:rPr>
          <w:sz w:val="28"/>
          <w:szCs w:val="28"/>
        </w:rPr>
        <w:t xml:space="preserve"> редакції постанови </w:t>
      </w:r>
      <w:r w:rsidR="002A4D78" w:rsidRPr="00526F7D">
        <w:rPr>
          <w:sz w:val="28"/>
          <w:szCs w:val="28"/>
        </w:rPr>
        <w:t>НКРЕКП</w:t>
      </w:r>
    </w:p>
    <w:p w14:paraId="241268D2" w14:textId="598129D0" w:rsidR="006E200B" w:rsidRPr="00526F7D" w:rsidRDefault="000F6C06" w:rsidP="007A0F37">
      <w:pPr>
        <w:pStyle w:val="a6"/>
        <w:framePr w:hSpace="45" w:wrap="around" w:vAnchor="text" w:hAnchor="page" w:x="1501" w:y="112"/>
        <w:tabs>
          <w:tab w:val="left" w:pos="9072"/>
        </w:tabs>
        <w:spacing w:before="0" w:beforeAutospacing="0" w:after="0" w:afterAutospacing="0"/>
        <w:ind w:left="5812"/>
        <w:rPr>
          <w:sz w:val="28"/>
          <w:szCs w:val="28"/>
        </w:rPr>
      </w:pPr>
      <w:r>
        <w:rPr>
          <w:sz w:val="28"/>
          <w:szCs w:val="28"/>
        </w:rPr>
        <w:t xml:space="preserve">від </w:t>
      </w:r>
      <w:r w:rsidR="008A4C0C">
        <w:rPr>
          <w:sz w:val="28"/>
          <w:szCs w:val="28"/>
          <w:lang w:val="ru-RU"/>
        </w:rPr>
        <w:t>06.02.2024</w:t>
      </w:r>
      <w:r w:rsidR="008A4C0C">
        <w:rPr>
          <w:sz w:val="28"/>
          <w:szCs w:val="28"/>
        </w:rPr>
        <w:t xml:space="preserve"> № 234</w:t>
      </w:r>
      <w:r w:rsidR="006E200B" w:rsidRPr="00526F7D">
        <w:rPr>
          <w:sz w:val="28"/>
          <w:szCs w:val="28"/>
        </w:rPr>
        <w:t>)</w:t>
      </w:r>
    </w:p>
    <w:p w14:paraId="714C0A8A" w14:textId="77777777" w:rsidR="00EA7CA2" w:rsidRPr="00526F7D" w:rsidRDefault="00EA7CA2" w:rsidP="007A0F37">
      <w:pPr>
        <w:pStyle w:val="a6"/>
        <w:spacing w:before="0" w:beforeAutospacing="0" w:after="0" w:afterAutospacing="0"/>
        <w:ind w:left="5954"/>
        <w:rPr>
          <w:b/>
          <w:sz w:val="28"/>
          <w:szCs w:val="28"/>
        </w:rPr>
      </w:pPr>
      <w:r w:rsidRPr="00526F7D">
        <w:rPr>
          <w:sz w:val="28"/>
          <w:szCs w:val="28"/>
        </w:rPr>
        <w:br w:type="textWrapping" w:clear="all"/>
      </w:r>
    </w:p>
    <w:p w14:paraId="0D3D5090"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ІНСТРУКЦІЯ</w:t>
      </w:r>
    </w:p>
    <w:p w14:paraId="044864AE"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 xml:space="preserve">щодо заповнення форми звітності № 7-НКРЕКП-моніторинг-розподіл (річна) </w:t>
      </w:r>
      <w:r w:rsidRPr="00526F7D">
        <w:rPr>
          <w:lang w:val="uk-UA"/>
        </w:rPr>
        <w:t>«</w:t>
      </w:r>
      <w:r w:rsidRPr="00526F7D">
        <w:rPr>
          <w:rFonts w:ascii="Times New Roman" w:hAnsi="Times New Roman" w:cs="Times New Roman"/>
          <w:b/>
          <w:sz w:val="28"/>
          <w:szCs w:val="28"/>
          <w:lang w:val="uk-UA"/>
        </w:rPr>
        <w:t>Звіт про доступ та приєднання до системи розподілу електричної енергії»</w:t>
      </w:r>
    </w:p>
    <w:p w14:paraId="684B1BCF" w14:textId="77777777" w:rsidR="00EA7CA2" w:rsidRPr="00526F7D" w:rsidRDefault="00EA7CA2" w:rsidP="007A0F37">
      <w:pPr>
        <w:spacing w:after="0" w:line="240" w:lineRule="auto"/>
        <w:jc w:val="center"/>
        <w:rPr>
          <w:rFonts w:ascii="Times New Roman" w:hAnsi="Times New Roman" w:cs="Times New Roman"/>
          <w:b/>
          <w:sz w:val="28"/>
          <w:szCs w:val="28"/>
          <w:lang w:val="uk-UA"/>
        </w:rPr>
      </w:pPr>
    </w:p>
    <w:p w14:paraId="2476C1AC"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1. Загальні положення</w:t>
      </w:r>
    </w:p>
    <w:p w14:paraId="7AF0A56B"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7D06F413" w14:textId="519EC678"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розподілу електричної </w:t>
      </w:r>
      <w:r w:rsidR="00907B49"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(далі – ОСР</w:t>
      </w:r>
      <w:r w:rsidR="00C61A0B">
        <w:rPr>
          <w:rFonts w:ascii="Times New Roman" w:hAnsi="Times New Roman" w:cs="Times New Roman"/>
          <w:sz w:val="28"/>
          <w:szCs w:val="28"/>
          <w:lang w:val="uk-UA"/>
        </w:rPr>
        <w:t>, ліцензіат</w:t>
      </w:r>
      <w:r w:rsidRPr="00526F7D">
        <w:rPr>
          <w:rFonts w:ascii="Times New Roman" w:hAnsi="Times New Roman" w:cs="Times New Roman"/>
          <w:sz w:val="28"/>
          <w:szCs w:val="28"/>
          <w:lang w:val="uk-UA"/>
        </w:rPr>
        <w:t>).</w:t>
      </w:r>
    </w:p>
    <w:p w14:paraId="0ECE8700"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p>
    <w:p w14:paraId="241DB57D" w14:textId="5501876F"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1.2. Ця Інструкція визначає порядок заповнення форми звітності</w:t>
      </w:r>
      <w:r w:rsidR="004E3716"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7-НКРЕКП-моніторинг-розподіл (річна) «Звіт про доступ та приєднання до системи розподілу електричної енергії» (далі – форма звітності № 7)</w:t>
      </w:r>
      <w:r w:rsidR="00AA6103">
        <w:rPr>
          <w:rFonts w:ascii="Times New Roman" w:hAnsi="Times New Roman" w:cs="Times New Roman"/>
          <w:sz w:val="28"/>
          <w:szCs w:val="28"/>
          <w:lang w:val="uk-UA"/>
        </w:rPr>
        <w:t xml:space="preserve"> та додатків до неї</w:t>
      </w:r>
      <w:r w:rsidRPr="00526F7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22C82F83"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p>
    <w:p w14:paraId="74D389C8"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1.3. Цю Інструкцію розроблено відповідно до:</w:t>
      </w:r>
    </w:p>
    <w:p w14:paraId="7259ABA6"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526F7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26F7D">
        <w:rPr>
          <w:rFonts w:ascii="Times New Roman" w:hAnsi="Times New Roman" w:cs="Times New Roman"/>
          <w:sz w:val="28"/>
          <w:szCs w:val="28"/>
          <w:lang w:val="uk-UA"/>
        </w:rPr>
        <w:t>, </w:t>
      </w:r>
      <w:hyperlink r:id="rId8" w:tgtFrame="_blank" w:history="1">
        <w:r w:rsidRPr="00526F7D">
          <w:rPr>
            <w:rFonts w:ascii="Times New Roman" w:hAnsi="Times New Roman" w:cs="Times New Roman"/>
            <w:sz w:val="28"/>
            <w:szCs w:val="28"/>
            <w:lang w:val="uk-UA"/>
          </w:rPr>
          <w:t>«Про інформацію»</w:t>
        </w:r>
      </w:hyperlink>
      <w:r w:rsidRPr="00526F7D">
        <w:rPr>
          <w:rFonts w:ascii="Times New Roman" w:hAnsi="Times New Roman" w:cs="Times New Roman"/>
          <w:sz w:val="28"/>
          <w:szCs w:val="28"/>
          <w:lang w:val="uk-UA"/>
        </w:rPr>
        <w:t>, </w:t>
      </w:r>
      <w:hyperlink r:id="rId9" w:tgtFrame="_blank" w:history="1">
        <w:r w:rsidRPr="00526F7D">
          <w:rPr>
            <w:rFonts w:ascii="Times New Roman" w:hAnsi="Times New Roman" w:cs="Times New Roman"/>
            <w:sz w:val="28"/>
            <w:szCs w:val="28"/>
            <w:lang w:val="uk-UA"/>
          </w:rPr>
          <w:t>«Про доступ до публічної інформації»</w:t>
        </w:r>
      </w:hyperlink>
      <w:r w:rsidRPr="00526F7D">
        <w:rPr>
          <w:rFonts w:ascii="Times New Roman" w:hAnsi="Times New Roman" w:cs="Times New Roman"/>
          <w:sz w:val="28"/>
          <w:szCs w:val="28"/>
          <w:lang w:val="uk-UA"/>
        </w:rPr>
        <w:t>;</w:t>
      </w:r>
    </w:p>
    <w:p w14:paraId="751AF204" w14:textId="268FE054"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w:t>
      </w:r>
      <w:r w:rsidR="00A87B1C">
        <w:rPr>
          <w:rFonts w:ascii="Times New Roman" w:hAnsi="Times New Roman" w:cs="Times New Roman"/>
          <w:sz w:val="28"/>
          <w:szCs w:val="28"/>
          <w:lang w:val="uk-UA"/>
        </w:rPr>
        <w:t xml:space="preserve"> (далі – КСР)</w:t>
      </w:r>
      <w:r w:rsidRPr="00526F7D">
        <w:rPr>
          <w:rFonts w:ascii="Times New Roman" w:hAnsi="Times New Roman" w:cs="Times New Roman"/>
          <w:sz w:val="28"/>
          <w:szCs w:val="28"/>
          <w:lang w:val="uk-UA"/>
        </w:rPr>
        <w:t>, 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r w:rsidR="00A87B1C">
        <w:rPr>
          <w:rFonts w:ascii="Times New Roman" w:hAnsi="Times New Roman" w:cs="Times New Roman"/>
          <w:sz w:val="28"/>
          <w:szCs w:val="28"/>
          <w:lang w:val="uk-UA"/>
        </w:rPr>
        <w:t xml:space="preserve">, </w:t>
      </w:r>
      <w:r w:rsidR="00A87B1C" w:rsidRPr="00A87B1C">
        <w:rPr>
          <w:rFonts w:ascii="Times New Roman" w:hAnsi="Times New Roman" w:cs="Times New Roman"/>
          <w:sz w:val="28"/>
          <w:szCs w:val="28"/>
          <w:lang w:val="uk-UA"/>
        </w:rPr>
        <w:t>Методики (порядку) формування плати за приєднання до системи передачі та системи розподілу</w:t>
      </w:r>
      <w:r w:rsidR="00A87B1C">
        <w:rPr>
          <w:rFonts w:ascii="Times New Roman" w:hAnsi="Times New Roman" w:cs="Times New Roman"/>
          <w:sz w:val="28"/>
          <w:szCs w:val="28"/>
          <w:lang w:val="uk-UA"/>
        </w:rPr>
        <w:t xml:space="preserve">, затвердженої постановою НКРЕКП від </w:t>
      </w:r>
      <w:r w:rsidR="00A87B1C" w:rsidRPr="00A87B1C">
        <w:rPr>
          <w:rFonts w:ascii="Times New Roman" w:hAnsi="Times New Roman" w:cs="Times New Roman"/>
          <w:sz w:val="28"/>
          <w:szCs w:val="28"/>
          <w:lang w:val="uk-UA"/>
        </w:rPr>
        <w:t>18.12.2018  № 1965</w:t>
      </w:r>
      <w:r w:rsidR="00A87B1C">
        <w:rPr>
          <w:rFonts w:ascii="Times New Roman" w:hAnsi="Times New Roman" w:cs="Times New Roman"/>
          <w:sz w:val="28"/>
          <w:szCs w:val="28"/>
          <w:lang w:val="uk-UA"/>
        </w:rPr>
        <w:t xml:space="preserve"> (далі – Методика)</w:t>
      </w:r>
      <w:r w:rsidRPr="00526F7D">
        <w:rPr>
          <w:rFonts w:ascii="Times New Roman" w:hAnsi="Times New Roman" w:cs="Times New Roman"/>
          <w:sz w:val="28"/>
          <w:szCs w:val="28"/>
          <w:lang w:val="uk-UA"/>
        </w:rPr>
        <w:t>;</w:t>
      </w:r>
    </w:p>
    <w:p w14:paraId="25C38741" w14:textId="77777777" w:rsidR="00EA7CA2" w:rsidRPr="00526F7D" w:rsidRDefault="00EA7CA2" w:rsidP="007A0F37">
      <w:pPr>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9288F92"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0418AE68"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2. Порядок та термін надання інформації</w:t>
      </w:r>
    </w:p>
    <w:p w14:paraId="41E78181" w14:textId="77777777" w:rsidR="00EA7CA2" w:rsidRPr="00526F7D" w:rsidRDefault="00EA7CA2" w:rsidP="007A0F37">
      <w:pPr>
        <w:spacing w:after="0" w:line="240" w:lineRule="auto"/>
        <w:jc w:val="both"/>
        <w:rPr>
          <w:rFonts w:ascii="Times New Roman" w:hAnsi="Times New Roman" w:cs="Times New Roman"/>
          <w:sz w:val="28"/>
          <w:szCs w:val="28"/>
          <w:lang w:val="uk-UA"/>
        </w:rPr>
      </w:pPr>
    </w:p>
    <w:p w14:paraId="636F5DC0" w14:textId="77777777" w:rsidR="00747131" w:rsidRDefault="00747131" w:rsidP="007A0F3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426C8955" w14:textId="77777777" w:rsidR="00747131" w:rsidRDefault="00747131" w:rsidP="007A0F37">
      <w:pPr>
        <w:tabs>
          <w:tab w:val="left" w:pos="426"/>
          <w:tab w:val="left" w:pos="567"/>
        </w:tabs>
        <w:spacing w:after="0" w:line="240" w:lineRule="auto"/>
        <w:ind w:firstLine="709"/>
        <w:jc w:val="both"/>
        <w:rPr>
          <w:rFonts w:ascii="Times New Roman" w:hAnsi="Times New Roman" w:cs="Times New Roman"/>
          <w:sz w:val="28"/>
          <w:szCs w:val="28"/>
        </w:rPr>
      </w:pPr>
    </w:p>
    <w:p w14:paraId="58DD6203" w14:textId="14301536" w:rsidR="00747131" w:rsidRDefault="00747131" w:rsidP="007A0F3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sidR="00C61A0B">
        <w:rPr>
          <w:rFonts w:ascii="Times New Roman" w:hAnsi="Times New Roman" w:cs="Times New Roman"/>
          <w:sz w:val="28"/>
          <w:szCs w:val="28"/>
        </w:rPr>
        <w:t>№ 7</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4005E8A7" w14:textId="77777777" w:rsidR="00747131" w:rsidRDefault="00747131" w:rsidP="007A0F37">
      <w:pPr>
        <w:tabs>
          <w:tab w:val="left" w:pos="426"/>
          <w:tab w:val="left" w:pos="993"/>
        </w:tabs>
        <w:spacing w:after="0" w:line="240" w:lineRule="auto"/>
        <w:ind w:firstLine="709"/>
        <w:jc w:val="both"/>
        <w:rPr>
          <w:rFonts w:ascii="Times New Roman" w:hAnsi="Times New Roman" w:cs="Times New Roman"/>
          <w:sz w:val="28"/>
          <w:szCs w:val="28"/>
        </w:rPr>
      </w:pPr>
    </w:p>
    <w:p w14:paraId="68968262" w14:textId="77777777" w:rsidR="00046C9D" w:rsidRPr="00046C9D" w:rsidRDefault="00747131" w:rsidP="00046C9D">
      <w:pPr>
        <w:tabs>
          <w:tab w:val="left" w:pos="426"/>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046C9D" w:rsidRPr="00046C9D">
        <w:rPr>
          <w:rFonts w:ascii="Times New Roman" w:hAnsi="Times New Roman" w:cs="Times New Roman"/>
          <w:sz w:val="28"/>
          <w:szCs w:val="28"/>
          <w:lang w:val="uk-UA"/>
        </w:rPr>
        <w:t xml:space="preserve">. </w:t>
      </w:r>
      <w:bookmarkStart w:id="0" w:name="_Hlk202787761"/>
      <w:r w:rsidR="00046C9D" w:rsidRPr="00046C9D">
        <w:rPr>
          <w:rFonts w:ascii="Times New Roman" w:hAnsi="Times New Roman" w:cs="Times New Roman"/>
          <w:sz w:val="28"/>
          <w:szCs w:val="28"/>
          <w:lang w:val="uk-UA"/>
        </w:rPr>
        <w:t>Форма звітності № 7 подається до НКРЕКП виключно в електронній формі (файл у форматі «</w:t>
      </w:r>
      <w:proofErr w:type="spellStart"/>
      <w:r w:rsidR="00046C9D" w:rsidRPr="00046C9D">
        <w:rPr>
          <w:rFonts w:ascii="Times New Roman" w:hAnsi="Times New Roman" w:cs="Times New Roman"/>
          <w:sz w:val="28"/>
          <w:szCs w:val="28"/>
          <w:lang w:val="uk-UA"/>
        </w:rPr>
        <w:t>xlsx</w:t>
      </w:r>
      <w:proofErr w:type="spellEnd"/>
      <w:r w:rsidR="00046C9D" w:rsidRPr="00046C9D">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0" w:history="1">
        <w:r w:rsidR="00046C9D" w:rsidRPr="00046C9D">
          <w:rPr>
            <w:rStyle w:val="a5"/>
            <w:rFonts w:ascii="Times New Roman" w:hAnsi="Times New Roman" w:cs="Times New Roman"/>
            <w:sz w:val="28"/>
            <w:szCs w:val="28"/>
            <w:lang w:val="uk-UA"/>
          </w:rPr>
          <w:t>https://rpt.nerc.gov.ua</w:t>
        </w:r>
      </w:hyperlink>
      <w:r w:rsidR="00046C9D" w:rsidRPr="00046C9D">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046C9D" w:rsidRPr="00046C9D">
        <w:rPr>
          <w:rFonts w:ascii="Times New Roman" w:hAnsi="Times New Roman" w:cs="Times New Roman"/>
          <w:sz w:val="28"/>
          <w:szCs w:val="28"/>
          <w:lang w:val="uk-UA"/>
        </w:rPr>
        <w:t>засвідчувальним</w:t>
      </w:r>
      <w:proofErr w:type="spellEnd"/>
      <w:r w:rsidR="00046C9D" w:rsidRPr="00046C9D">
        <w:rPr>
          <w:rFonts w:ascii="Times New Roman" w:hAnsi="Times New Roman" w:cs="Times New Roman"/>
          <w:sz w:val="28"/>
          <w:szCs w:val="28"/>
          <w:lang w:val="uk-UA"/>
        </w:rPr>
        <w:t xml:space="preserve"> органом. </w:t>
      </w:r>
    </w:p>
    <w:p w14:paraId="7114D486" w14:textId="77777777" w:rsidR="00046C9D" w:rsidRPr="00046C9D" w:rsidRDefault="00046C9D" w:rsidP="00046C9D">
      <w:pPr>
        <w:tabs>
          <w:tab w:val="left" w:pos="426"/>
        </w:tabs>
        <w:spacing w:after="0" w:line="240" w:lineRule="auto"/>
        <w:ind w:firstLine="709"/>
        <w:jc w:val="both"/>
        <w:rPr>
          <w:rFonts w:ascii="Times New Roman" w:hAnsi="Times New Roman" w:cs="Times New Roman"/>
          <w:sz w:val="28"/>
          <w:szCs w:val="28"/>
          <w:lang w:val="uk-UA"/>
        </w:rPr>
      </w:pPr>
      <w:r w:rsidRPr="00046C9D">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729FA3C" w14:textId="77777777" w:rsidR="00046C9D" w:rsidRPr="00046C9D" w:rsidRDefault="00046C9D" w:rsidP="00046C9D">
      <w:pPr>
        <w:tabs>
          <w:tab w:val="left" w:pos="426"/>
        </w:tabs>
        <w:spacing w:after="0" w:line="240" w:lineRule="auto"/>
        <w:ind w:firstLine="709"/>
        <w:jc w:val="both"/>
        <w:rPr>
          <w:rFonts w:ascii="Times New Roman" w:hAnsi="Times New Roman" w:cs="Times New Roman"/>
          <w:sz w:val="28"/>
          <w:szCs w:val="28"/>
          <w:lang w:val="uk-UA"/>
        </w:rPr>
      </w:pPr>
      <w:r w:rsidRPr="00046C9D">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071BCD2" w14:textId="77777777" w:rsidR="00046C9D" w:rsidRPr="00046C9D" w:rsidRDefault="00046C9D" w:rsidP="00046C9D">
      <w:pPr>
        <w:tabs>
          <w:tab w:val="left" w:pos="426"/>
        </w:tabs>
        <w:spacing w:after="0" w:line="240" w:lineRule="auto"/>
        <w:ind w:firstLine="709"/>
        <w:jc w:val="both"/>
        <w:rPr>
          <w:rFonts w:ascii="Times New Roman" w:hAnsi="Times New Roman" w:cs="Times New Roman"/>
          <w:sz w:val="28"/>
          <w:szCs w:val="28"/>
          <w:lang w:val="uk-UA"/>
        </w:rPr>
      </w:pPr>
      <w:r w:rsidRPr="00046C9D">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Pr="00046C9D">
          <w:rPr>
            <w:rStyle w:val="a5"/>
            <w:rFonts w:ascii="Times New Roman" w:hAnsi="Times New Roman" w:cs="Times New Roman"/>
            <w:sz w:val="28"/>
            <w:szCs w:val="28"/>
            <w:lang w:val="uk-UA"/>
          </w:rPr>
          <w:t>box</w:t>
        </w:r>
        <w:r w:rsidRPr="00046C9D">
          <w:rPr>
            <w:rStyle w:val="a5"/>
            <w:rFonts w:ascii="Times New Roman" w:hAnsi="Times New Roman" w:cs="Times New Roman"/>
            <w:bCs/>
            <w:sz w:val="28"/>
            <w:szCs w:val="28"/>
            <w:lang w:val="uk-UA"/>
          </w:rPr>
          <w:t>@nerc.gov.ua</w:t>
        </w:r>
      </w:hyperlink>
      <w:r w:rsidRPr="00046C9D">
        <w:rPr>
          <w:rFonts w:ascii="Times New Roman" w:hAnsi="Times New Roman" w:cs="Times New Roman"/>
          <w:bCs/>
          <w:sz w:val="28"/>
          <w:szCs w:val="28"/>
          <w:lang w:val="uk-UA"/>
        </w:rPr>
        <w:t xml:space="preserve"> </w:t>
      </w:r>
      <w:r w:rsidRPr="00046C9D">
        <w:rPr>
          <w:rFonts w:ascii="Times New Roman" w:hAnsi="Times New Roman" w:cs="Times New Roman"/>
          <w:sz w:val="28"/>
          <w:szCs w:val="28"/>
          <w:lang w:val="uk-UA"/>
        </w:rPr>
        <w:t xml:space="preserve">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046C9D">
        <w:rPr>
          <w:rFonts w:ascii="Times New Roman" w:hAnsi="Times New Roman" w:cs="Times New Roman"/>
          <w:sz w:val="28"/>
          <w:szCs w:val="28"/>
          <w:lang w:val="uk-UA"/>
        </w:rPr>
        <w:t>засвідчувальним</w:t>
      </w:r>
      <w:proofErr w:type="spellEnd"/>
      <w:r w:rsidRPr="00046C9D">
        <w:rPr>
          <w:rFonts w:ascii="Times New Roman" w:hAnsi="Times New Roman" w:cs="Times New Roman"/>
          <w:sz w:val="28"/>
          <w:szCs w:val="28"/>
          <w:lang w:val="uk-UA"/>
        </w:rPr>
        <w:t xml:space="preserve"> органом.</w:t>
      </w:r>
    </w:p>
    <w:p w14:paraId="5D5D8A56" w14:textId="166582C8" w:rsidR="00747131" w:rsidRPr="00665D42" w:rsidRDefault="00046C9D" w:rsidP="00046C9D">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46C9D">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0"/>
    </w:p>
    <w:p w14:paraId="6890F8C8" w14:textId="77777777"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01BB8E29" w14:textId="5B6E6E8D" w:rsidR="00747131" w:rsidRPr="00665D42" w:rsidRDefault="00747131" w:rsidP="007A0F3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sidR="00C61A0B">
        <w:rPr>
          <w:rFonts w:ascii="Times New Roman" w:eastAsia="Times New Roman" w:hAnsi="Times New Roman" w:cs="Times New Roman"/>
          <w:sz w:val="28"/>
          <w:szCs w:val="28"/>
          <w:lang w:val="uk-UA" w:eastAsia="uk-UA"/>
        </w:rPr>
        <w:t>№ 7</w:t>
      </w:r>
      <w:r w:rsidRPr="00665D42">
        <w:rPr>
          <w:rFonts w:ascii="Times New Roman" w:eastAsia="Times New Roman" w:hAnsi="Times New Roman" w:cs="Times New Roman"/>
          <w:sz w:val="28"/>
          <w:szCs w:val="28"/>
          <w:lang w:val="uk-UA" w:eastAsia="uk-UA"/>
        </w:rPr>
        <w:t xml:space="preserve">. </w:t>
      </w:r>
    </w:p>
    <w:p w14:paraId="03809FAA" w14:textId="5592D029" w:rsidR="00747131" w:rsidRDefault="00747131" w:rsidP="007A0F37">
      <w:pPr>
        <w:pStyle w:val="rvps2"/>
        <w:shd w:val="clear" w:color="auto" w:fill="FFFFFF"/>
        <w:spacing w:after="0" w:afterAutospacing="0"/>
        <w:ind w:firstLine="709"/>
        <w:jc w:val="both"/>
        <w:rPr>
          <w:sz w:val="28"/>
          <w:szCs w:val="28"/>
          <w:lang w:val="uk-UA"/>
        </w:rPr>
      </w:pPr>
      <w:r w:rsidRPr="00665D42">
        <w:rPr>
          <w:sz w:val="28"/>
          <w:szCs w:val="28"/>
          <w:lang w:val="uk-UA"/>
        </w:rPr>
        <w:t xml:space="preserve">2.5. Усі показники форми звітності </w:t>
      </w:r>
      <w:r w:rsidR="00C61A0B">
        <w:rPr>
          <w:sz w:val="28"/>
          <w:szCs w:val="28"/>
          <w:lang w:val="uk-UA"/>
        </w:rPr>
        <w:t>№ 7</w:t>
      </w:r>
      <w:r w:rsidRPr="00665D42">
        <w:rPr>
          <w:sz w:val="28"/>
          <w:szCs w:val="28"/>
          <w:lang w:val="uk-UA"/>
        </w:rPr>
        <w:t xml:space="preserve"> мають ґрунтуватися на даних первинних документів, що забезпечує можливість порівняння і контролю даних.</w:t>
      </w:r>
    </w:p>
    <w:p w14:paraId="7C4888D0" w14:textId="77777777" w:rsidR="007A0F37" w:rsidRPr="00665D42" w:rsidRDefault="007A0F37" w:rsidP="007A0F37">
      <w:pPr>
        <w:pStyle w:val="rvps2"/>
        <w:shd w:val="clear" w:color="auto" w:fill="FFFFFF"/>
        <w:spacing w:after="0" w:afterAutospacing="0"/>
        <w:ind w:firstLine="709"/>
        <w:jc w:val="both"/>
        <w:rPr>
          <w:sz w:val="28"/>
          <w:szCs w:val="28"/>
          <w:lang w:val="uk-UA"/>
        </w:rPr>
      </w:pPr>
    </w:p>
    <w:p w14:paraId="78050AD9" w14:textId="3F08CD0F"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4FAF8207" w14:textId="77777777" w:rsidR="00747131" w:rsidRP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747E11C0" w14:textId="39F944F5"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64F3EEF" w14:textId="1F2B47A2" w:rsidR="00747131" w:rsidRDefault="00747131" w:rsidP="007A0F37">
      <w:pPr>
        <w:pStyle w:val="rvps2"/>
        <w:shd w:val="clear" w:color="auto" w:fill="FFFFFF"/>
        <w:spacing w:after="0" w:afterAutospacing="0"/>
        <w:ind w:firstLine="709"/>
        <w:jc w:val="both"/>
        <w:rPr>
          <w:sz w:val="28"/>
          <w:szCs w:val="28"/>
        </w:rPr>
      </w:pPr>
      <w:r w:rsidRPr="00665D42">
        <w:rPr>
          <w:sz w:val="28"/>
          <w:szCs w:val="28"/>
          <w:lang w:val="uk-UA"/>
        </w:rPr>
        <w:t xml:space="preserve">Вартісні показники у формі звітності </w:t>
      </w:r>
      <w:r w:rsidR="00C61A0B">
        <w:rPr>
          <w:sz w:val="28"/>
          <w:szCs w:val="28"/>
          <w:lang w:val="uk-UA"/>
        </w:rPr>
        <w:t>№ 7</w:t>
      </w:r>
      <w:r w:rsidRPr="00665D42">
        <w:rPr>
          <w:sz w:val="28"/>
          <w:szCs w:val="28"/>
          <w:lang w:val="uk-UA"/>
        </w:rPr>
        <w:t xml:space="preserve"> наводяться без урахування податку на додану вартість (далі – ПДВ).</w:t>
      </w:r>
    </w:p>
    <w:p w14:paraId="092E56F5" w14:textId="5F25DE58" w:rsidR="00747131" w:rsidRPr="00665D42"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sidR="00C61A0B">
        <w:rPr>
          <w:rFonts w:ascii="Times New Roman" w:hAnsi="Times New Roman" w:cs="Times New Roman"/>
          <w:sz w:val="28"/>
          <w:szCs w:val="28"/>
          <w:lang w:val="uk-UA"/>
        </w:rPr>
        <w:t>№ 7</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469A27A" w14:textId="4E32EB0B" w:rsid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26FF40B" w14:textId="77777777" w:rsidR="00747131" w:rsidRPr="00747131" w:rsidRDefault="00747131" w:rsidP="007A0F37">
      <w:pPr>
        <w:tabs>
          <w:tab w:val="left" w:pos="993"/>
        </w:tabs>
        <w:spacing w:after="0" w:line="240" w:lineRule="auto"/>
        <w:ind w:firstLine="709"/>
        <w:jc w:val="both"/>
        <w:rPr>
          <w:rFonts w:ascii="Times New Roman" w:hAnsi="Times New Roman" w:cs="Times New Roman"/>
          <w:sz w:val="28"/>
          <w:szCs w:val="28"/>
          <w:lang w:val="uk-UA"/>
        </w:rPr>
      </w:pPr>
    </w:p>
    <w:p w14:paraId="1EF38E57" w14:textId="77777777" w:rsidR="00046C9D" w:rsidRPr="00046C9D" w:rsidRDefault="00747131" w:rsidP="00046C9D">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bookmarkStart w:id="1" w:name="_Hlk202787804"/>
      <w:r w:rsidR="00046C9D" w:rsidRPr="00046C9D">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0A8619F" w14:textId="77777777" w:rsidR="00046C9D" w:rsidRPr="00046C9D" w:rsidRDefault="00046C9D" w:rsidP="00046C9D">
      <w:pPr>
        <w:tabs>
          <w:tab w:val="left" w:pos="993"/>
        </w:tabs>
        <w:spacing w:after="0" w:line="240" w:lineRule="auto"/>
        <w:ind w:firstLine="709"/>
        <w:jc w:val="both"/>
        <w:rPr>
          <w:rFonts w:ascii="Times New Roman" w:hAnsi="Times New Roman" w:cs="Times New Roman"/>
          <w:sz w:val="28"/>
          <w:szCs w:val="28"/>
          <w:lang w:val="uk-UA"/>
        </w:rPr>
      </w:pPr>
      <w:r w:rsidRPr="00046C9D">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046C9D">
        <w:rPr>
          <w:rFonts w:ascii="Times New Roman" w:hAnsi="Times New Roman" w:cs="Times New Roman"/>
          <w:sz w:val="28"/>
          <w:szCs w:val="28"/>
          <w:lang w:val="uk-UA"/>
        </w:rPr>
        <w:t>xlsx</w:t>
      </w:r>
      <w:proofErr w:type="spellEnd"/>
      <w:r w:rsidRPr="00046C9D">
        <w:rPr>
          <w:rFonts w:ascii="Times New Roman" w:hAnsi="Times New Roman" w:cs="Times New Roman"/>
          <w:sz w:val="28"/>
          <w:szCs w:val="28"/>
          <w:lang w:val="uk-UA"/>
        </w:rPr>
        <w:t xml:space="preserve">») через автоматизований модуль збору звітності за посиланням </w:t>
      </w:r>
      <w:hyperlink r:id="rId12" w:history="1">
        <w:r w:rsidRPr="00046C9D">
          <w:rPr>
            <w:rStyle w:val="a5"/>
            <w:rFonts w:ascii="Times New Roman" w:hAnsi="Times New Roman" w:cs="Times New Roman"/>
            <w:sz w:val="28"/>
            <w:szCs w:val="28"/>
            <w:lang w:val="uk-UA"/>
          </w:rPr>
          <w:t>https://rpt.nerc.gov.ua</w:t>
        </w:r>
      </w:hyperlink>
      <w:r w:rsidRPr="00046C9D">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4C94612E" w14:textId="0B508DD2" w:rsidR="00747131" w:rsidRDefault="00046C9D" w:rsidP="00046C9D">
      <w:pPr>
        <w:tabs>
          <w:tab w:val="left" w:pos="993"/>
        </w:tabs>
        <w:spacing w:after="0" w:line="240" w:lineRule="auto"/>
        <w:ind w:firstLine="709"/>
        <w:jc w:val="both"/>
        <w:rPr>
          <w:rFonts w:ascii="Times New Roman" w:hAnsi="Times New Roman" w:cs="Times New Roman"/>
          <w:b/>
          <w:sz w:val="28"/>
          <w:szCs w:val="28"/>
          <w:lang w:val="uk-UA"/>
        </w:rPr>
      </w:pPr>
      <w:r w:rsidRPr="00046C9D">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1"/>
    </w:p>
    <w:p w14:paraId="6CE6A7A4" w14:textId="77777777" w:rsidR="00747131" w:rsidRPr="00526F7D" w:rsidRDefault="00747131" w:rsidP="007A0F37">
      <w:pPr>
        <w:spacing w:after="0" w:line="240" w:lineRule="auto"/>
        <w:ind w:firstLine="567"/>
        <w:jc w:val="both"/>
        <w:rPr>
          <w:rFonts w:ascii="Times New Roman" w:hAnsi="Times New Roman" w:cs="Times New Roman"/>
          <w:b/>
          <w:sz w:val="28"/>
          <w:szCs w:val="28"/>
          <w:lang w:val="uk-UA"/>
        </w:rPr>
      </w:pPr>
    </w:p>
    <w:p w14:paraId="3608AF2E" w14:textId="77777777" w:rsidR="00EA7CA2" w:rsidRPr="00526F7D" w:rsidRDefault="00EA7CA2" w:rsidP="007A0F37">
      <w:pPr>
        <w:spacing w:after="0" w:line="240" w:lineRule="auto"/>
        <w:jc w:val="center"/>
        <w:rPr>
          <w:rFonts w:ascii="Times New Roman" w:hAnsi="Times New Roman" w:cs="Times New Roman"/>
          <w:b/>
          <w:sz w:val="28"/>
          <w:szCs w:val="28"/>
          <w:lang w:val="uk-UA"/>
        </w:rPr>
      </w:pPr>
      <w:r w:rsidRPr="00526F7D">
        <w:rPr>
          <w:rFonts w:ascii="Times New Roman" w:hAnsi="Times New Roman" w:cs="Times New Roman"/>
          <w:b/>
          <w:sz w:val="28"/>
          <w:szCs w:val="28"/>
          <w:lang w:val="uk-UA"/>
        </w:rPr>
        <w:t>3. Пояснення щодо заповнення форми звітності № 7</w:t>
      </w:r>
    </w:p>
    <w:p w14:paraId="06353B4D" w14:textId="77777777" w:rsidR="00EA7CA2" w:rsidRPr="00526F7D" w:rsidRDefault="00EA7CA2" w:rsidP="007A0F37">
      <w:pPr>
        <w:tabs>
          <w:tab w:val="left" w:pos="993"/>
        </w:tabs>
        <w:spacing w:after="0" w:line="240" w:lineRule="auto"/>
        <w:ind w:firstLine="567"/>
        <w:jc w:val="center"/>
        <w:rPr>
          <w:rFonts w:ascii="Times New Roman" w:hAnsi="Times New Roman" w:cs="Times New Roman"/>
          <w:b/>
          <w:sz w:val="28"/>
          <w:szCs w:val="28"/>
          <w:lang w:val="uk-UA"/>
        </w:rPr>
      </w:pPr>
    </w:p>
    <w:p w14:paraId="4330A64E" w14:textId="77777777" w:rsidR="00EA7CA2" w:rsidRPr="00526F7D" w:rsidRDefault="00EA7CA2" w:rsidP="007A0F37">
      <w:pPr>
        <w:pStyle w:val="a3"/>
        <w:numPr>
          <w:ilvl w:val="1"/>
          <w:numId w:val="7"/>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розділі І «Інформація щодо кількості договорів» відображається  інформація щодо кількості укладених договорів оператором системи розподілу станом на 01.01 (графа 1), 01.04 (графа 2), 01.07 (графа 3), 01.10 (графа 4) та 31.12 (графа 5) звітного року:</w:t>
      </w:r>
    </w:p>
    <w:p w14:paraId="3C68D40E" w14:textId="77777777" w:rsidR="00EA7CA2" w:rsidRPr="00526F7D" w:rsidRDefault="00EA7CA2" w:rsidP="007A0F37">
      <w:pPr>
        <w:pStyle w:val="a3"/>
        <w:tabs>
          <w:tab w:val="left" w:pos="993"/>
        </w:tabs>
        <w:spacing w:after="0" w:line="240" w:lineRule="auto"/>
        <w:ind w:left="426" w:firstLine="709"/>
        <w:jc w:val="both"/>
        <w:rPr>
          <w:rFonts w:ascii="Times New Roman" w:hAnsi="Times New Roman" w:cs="Times New Roman"/>
          <w:sz w:val="28"/>
          <w:szCs w:val="28"/>
          <w:lang w:val="uk-UA"/>
        </w:rPr>
      </w:pPr>
    </w:p>
    <w:p w14:paraId="680E299B" w14:textId="78EF1D84" w:rsidR="004547F1"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005 «Загальна кількість договорів про надання послуг з розподілу електричної енергії споживачу» зазначаються дані щодо сумарної кількості  укладених договорів споживача про надання послуг з розподілу електричної енергії. Значення рядка 005 дорівнює сумі значень рядків 010 та 025</w:t>
      </w:r>
      <w:r w:rsidR="004547F1">
        <w:rPr>
          <w:rFonts w:ascii="Times New Roman" w:hAnsi="Times New Roman" w:cs="Times New Roman"/>
          <w:sz w:val="28"/>
          <w:szCs w:val="28"/>
          <w:lang w:val="uk-UA"/>
        </w:rPr>
        <w:t>.</w:t>
      </w:r>
    </w:p>
    <w:p w14:paraId="1C9BEF23" w14:textId="37EEDE70" w:rsidR="00EA7CA2" w:rsidRPr="00526F7D" w:rsidRDefault="004547F1" w:rsidP="007A0F37">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Дані щодо </w:t>
      </w:r>
      <w:r w:rsidRPr="00526F7D">
        <w:rPr>
          <w:rFonts w:ascii="Times New Roman" w:hAnsi="Times New Roman" w:cs="Times New Roman"/>
          <w:sz w:val="28"/>
          <w:szCs w:val="28"/>
          <w:lang w:val="uk-UA"/>
        </w:rPr>
        <w:t>кільк</w:t>
      </w:r>
      <w:r>
        <w:rPr>
          <w:rFonts w:ascii="Times New Roman" w:hAnsi="Times New Roman" w:cs="Times New Roman"/>
          <w:sz w:val="28"/>
          <w:szCs w:val="28"/>
          <w:lang w:val="uk-UA"/>
        </w:rPr>
        <w:t>ості</w:t>
      </w:r>
      <w:r w:rsidRPr="00526F7D">
        <w:rPr>
          <w:rFonts w:ascii="Times New Roman" w:hAnsi="Times New Roman" w:cs="Times New Roman"/>
          <w:sz w:val="28"/>
          <w:szCs w:val="28"/>
          <w:lang w:val="uk-UA"/>
        </w:rPr>
        <w:t xml:space="preserve"> договорів про надання послуг з розподілу електричної енергії споживачу</w:t>
      </w:r>
      <w:r>
        <w:rPr>
          <w:rFonts w:ascii="Times New Roman" w:hAnsi="Times New Roman" w:cs="Times New Roman"/>
          <w:sz w:val="28"/>
          <w:szCs w:val="28"/>
          <w:lang w:val="uk-UA"/>
        </w:rPr>
        <w:t xml:space="preserve"> мають узгоджуватись з даними </w:t>
      </w:r>
      <w:r w:rsidRPr="002A147C">
        <w:rPr>
          <w:rFonts w:ascii="Times New Roman" w:hAnsi="Times New Roman" w:cs="Times New Roman"/>
          <w:sz w:val="28"/>
          <w:szCs w:val="28"/>
          <w:lang w:val="uk-UA"/>
        </w:rPr>
        <w:t>розділ</w:t>
      </w:r>
      <w:r>
        <w:rPr>
          <w:rFonts w:ascii="Times New Roman" w:hAnsi="Times New Roman" w:cs="Times New Roman"/>
          <w:sz w:val="28"/>
          <w:szCs w:val="28"/>
          <w:lang w:val="uk-UA"/>
        </w:rPr>
        <w:t>у</w:t>
      </w:r>
      <w:r w:rsidRPr="002A147C">
        <w:rPr>
          <w:rFonts w:ascii="Times New Roman" w:hAnsi="Times New Roman" w:cs="Times New Roman"/>
          <w:sz w:val="28"/>
          <w:szCs w:val="28"/>
          <w:lang w:val="uk-UA"/>
        </w:rPr>
        <w:t xml:space="preserve"> I «Характеристика користувачів системи розподілу»</w:t>
      </w:r>
      <w:r>
        <w:rPr>
          <w:rFonts w:ascii="Times New Roman" w:hAnsi="Times New Roman" w:cs="Times New Roman"/>
          <w:sz w:val="28"/>
          <w:szCs w:val="28"/>
          <w:lang w:val="uk-UA"/>
        </w:rPr>
        <w:t xml:space="preserve"> форми звітності </w:t>
      </w:r>
      <w:r w:rsidRPr="00814B23">
        <w:rPr>
          <w:rFonts w:ascii="Times New Roman" w:hAnsi="Times New Roman" w:cs="Times New Roman"/>
          <w:sz w:val="28"/>
          <w:szCs w:val="28"/>
          <w:lang w:val="uk-UA"/>
        </w:rPr>
        <w:t xml:space="preserve">№ </w:t>
      </w:r>
      <w:r w:rsidRPr="004547F1">
        <w:rPr>
          <w:rFonts w:ascii="Times New Roman" w:hAnsi="Times New Roman" w:cs="Times New Roman"/>
          <w:sz w:val="28"/>
          <w:szCs w:val="28"/>
          <w:lang w:val="uk-UA"/>
        </w:rPr>
        <w:t>2-НКРЕКП-моніторинг-розподіл (річна) «Звіт про характеристику користувачів системи розподілу»</w:t>
      </w:r>
      <w:r w:rsidR="00EA7CA2" w:rsidRPr="00526F7D">
        <w:rPr>
          <w:rFonts w:ascii="Times New Roman" w:hAnsi="Times New Roman" w:cs="Times New Roman"/>
          <w:sz w:val="28"/>
          <w:szCs w:val="28"/>
          <w:lang w:val="uk-UA"/>
        </w:rPr>
        <w:t>;</w:t>
      </w:r>
    </w:p>
    <w:p w14:paraId="2531C139"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00CE6155" w14:textId="0AD301CA" w:rsidR="00EA7CA2" w:rsidRPr="009B3E63"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010 «з побутовими споживачами, у т. ч.:» зазначаються сумарні дані щодо кількості  укладених договорів споживача про надання послуг з </w:t>
      </w:r>
      <w:r w:rsidRPr="00526F7D">
        <w:rPr>
          <w:rFonts w:ascii="Times New Roman" w:hAnsi="Times New Roman" w:cs="Times New Roman"/>
          <w:sz w:val="28"/>
          <w:szCs w:val="28"/>
          <w:lang w:val="uk-UA"/>
        </w:rPr>
        <w:lastRenderedPageBreak/>
        <w:t xml:space="preserve">розподілу електричної енергії з побутовими споживачами та за категоріями побутових споживачів (рядки 015 </w:t>
      </w:r>
      <w:r w:rsidR="00E24B9C">
        <w:rPr>
          <w:rFonts w:ascii="Times New Roman" w:hAnsi="Times New Roman" w:cs="Times New Roman"/>
          <w:sz w:val="28"/>
          <w:szCs w:val="28"/>
          <w:lang w:val="uk-UA"/>
        </w:rPr>
        <w:t>та</w:t>
      </w:r>
      <w:r w:rsidRPr="00526F7D">
        <w:rPr>
          <w:rFonts w:ascii="Times New Roman" w:hAnsi="Times New Roman" w:cs="Times New Roman"/>
          <w:sz w:val="28"/>
          <w:szCs w:val="28"/>
          <w:lang w:val="uk-UA"/>
        </w:rPr>
        <w:t xml:space="preserve"> 020)</w:t>
      </w:r>
      <w:r w:rsidRPr="009B3E63">
        <w:rPr>
          <w:rFonts w:ascii="Times New Roman" w:hAnsi="Times New Roman" w:cs="Times New Roman"/>
          <w:sz w:val="28"/>
          <w:szCs w:val="28"/>
          <w:lang w:val="uk-UA"/>
        </w:rPr>
        <w:t xml:space="preserve">; </w:t>
      </w:r>
    </w:p>
    <w:p w14:paraId="0878A125"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16CAC2D1" w14:textId="77777777" w:rsidR="003152D8"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025 «непобутовими споживачами, у т. ч.:» зазначаються сумарні дані щодо кількості  укладених договорів споживача про надання послуг з розподілу електричної енергії з непобутовими споживачами та за категоріями непобутових споживачів (рядки 030 – 0</w:t>
      </w:r>
      <w:r w:rsidR="003152D8"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5)</w:t>
      </w:r>
      <w:r w:rsidR="003152D8" w:rsidRPr="00526F7D">
        <w:rPr>
          <w:rFonts w:ascii="Times New Roman" w:hAnsi="Times New Roman" w:cs="Times New Roman"/>
          <w:sz w:val="28"/>
          <w:szCs w:val="28"/>
          <w:lang w:val="uk-UA"/>
        </w:rPr>
        <w:t>. Значення рядка 025 дорівнює сумі значень рядків 030 та 045.</w:t>
      </w:r>
    </w:p>
    <w:p w14:paraId="7BA077A5" w14:textId="77777777" w:rsidR="00EA7CA2" w:rsidRPr="00526F7D" w:rsidRDefault="003152D8" w:rsidP="007A0F37">
      <w:pPr>
        <w:tabs>
          <w:tab w:val="left" w:pos="993"/>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ab/>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p>
    <w:p w14:paraId="561AE179"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6048D02C" w14:textId="77777777"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060</w:t>
      </w:r>
      <w:r w:rsidRPr="00526F7D">
        <w:rPr>
          <w:rFonts w:ascii="Times New Roman" w:hAnsi="Times New Roman" w:cs="Times New Roman"/>
          <w:sz w:val="28"/>
          <w:szCs w:val="28"/>
          <w:lang w:val="uk-UA"/>
        </w:rPr>
        <w:t xml:space="preserve"> «Кількість договорів про надання послуг комерційного обліку електричної енергії» зазначаються дані щодо сумарної кількості  укладених договорів про надання послуг комерційного обліку електричної енергії</w:t>
      </w:r>
      <w:r w:rsidR="003152D8" w:rsidRPr="00526F7D">
        <w:rPr>
          <w:rFonts w:ascii="Times New Roman" w:hAnsi="Times New Roman" w:cs="Times New Roman"/>
          <w:sz w:val="28"/>
          <w:szCs w:val="28"/>
          <w:lang w:val="uk-UA"/>
        </w:rPr>
        <w:t>. Значення рядка 060 дорівнює сумі значень рядків 065 та 080</w:t>
      </w:r>
      <w:r w:rsidRPr="00526F7D">
        <w:rPr>
          <w:rFonts w:ascii="Times New Roman" w:hAnsi="Times New Roman" w:cs="Times New Roman"/>
          <w:sz w:val="28"/>
          <w:szCs w:val="28"/>
          <w:lang w:val="uk-UA"/>
        </w:rPr>
        <w:t>;</w:t>
      </w:r>
    </w:p>
    <w:p w14:paraId="6467136E"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61614EEE" w14:textId="715F06A8"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w:t>
      </w:r>
      <w:r w:rsidR="003152D8" w:rsidRPr="00526F7D">
        <w:rPr>
          <w:rFonts w:ascii="Times New Roman" w:hAnsi="Times New Roman" w:cs="Times New Roman"/>
          <w:sz w:val="28"/>
          <w:szCs w:val="28"/>
          <w:lang w:val="uk-UA"/>
        </w:rPr>
        <w:t>6</w:t>
      </w:r>
      <w:r w:rsidRPr="00526F7D">
        <w:rPr>
          <w:rFonts w:ascii="Times New Roman" w:hAnsi="Times New Roman" w:cs="Times New Roman"/>
          <w:sz w:val="28"/>
          <w:szCs w:val="28"/>
          <w:lang w:val="uk-UA"/>
        </w:rPr>
        <w:t>5 «з побутовими споживачами, у т. ч.:»</w:t>
      </w:r>
      <w:r w:rsidR="003152D8"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зазначаються сумарні дані щодо кількості  укладених договорів споживача про надання послуг комерційного обліку електричної енергії з побутовими споживачами та за категоріями побутових споживачів (ряд</w:t>
      </w:r>
      <w:r w:rsidR="003152D8" w:rsidRPr="00526F7D">
        <w:rPr>
          <w:rFonts w:ascii="Times New Roman" w:hAnsi="Times New Roman" w:cs="Times New Roman"/>
          <w:sz w:val="28"/>
          <w:szCs w:val="28"/>
          <w:lang w:val="uk-UA"/>
        </w:rPr>
        <w:t xml:space="preserve">ки 070 </w:t>
      </w:r>
      <w:r w:rsidR="00E24B9C">
        <w:rPr>
          <w:rFonts w:ascii="Times New Roman" w:hAnsi="Times New Roman" w:cs="Times New Roman"/>
          <w:sz w:val="28"/>
          <w:szCs w:val="28"/>
          <w:lang w:val="uk-UA"/>
        </w:rPr>
        <w:t>та</w:t>
      </w:r>
      <w:r w:rsidRPr="00526F7D">
        <w:rPr>
          <w:rFonts w:ascii="Times New Roman" w:hAnsi="Times New Roman" w:cs="Times New Roman"/>
          <w:sz w:val="28"/>
          <w:szCs w:val="28"/>
          <w:lang w:val="uk-UA"/>
        </w:rPr>
        <w:t xml:space="preserve"> 0</w:t>
      </w:r>
      <w:r w:rsidR="003152D8" w:rsidRPr="00526F7D">
        <w:rPr>
          <w:rFonts w:ascii="Times New Roman" w:hAnsi="Times New Roman" w:cs="Times New Roman"/>
          <w:sz w:val="28"/>
          <w:szCs w:val="28"/>
          <w:lang w:val="uk-UA"/>
        </w:rPr>
        <w:t>7</w:t>
      </w:r>
      <w:r w:rsidRPr="00526F7D">
        <w:rPr>
          <w:rFonts w:ascii="Times New Roman" w:hAnsi="Times New Roman" w:cs="Times New Roman"/>
          <w:sz w:val="28"/>
          <w:szCs w:val="28"/>
          <w:lang w:val="uk-UA"/>
        </w:rPr>
        <w:t>5)</w:t>
      </w:r>
      <w:r w:rsidR="003152D8" w:rsidRPr="00526F7D">
        <w:rPr>
          <w:rFonts w:ascii="Times New Roman" w:hAnsi="Times New Roman" w:cs="Times New Roman"/>
          <w:sz w:val="28"/>
          <w:szCs w:val="28"/>
          <w:lang w:val="uk-UA"/>
        </w:rPr>
        <w:t>. Значення рядка 065 дорівнює сумі значень рядків 070 та 075</w:t>
      </w:r>
      <w:r w:rsidRPr="00526F7D">
        <w:rPr>
          <w:rFonts w:ascii="Times New Roman" w:hAnsi="Times New Roman" w:cs="Times New Roman"/>
          <w:sz w:val="28"/>
          <w:szCs w:val="28"/>
          <w:lang w:val="uk-UA"/>
        </w:rPr>
        <w:t xml:space="preserve">; </w:t>
      </w:r>
    </w:p>
    <w:p w14:paraId="6D1DF6D8"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3193BC5F" w14:textId="77777777" w:rsidR="0060466B" w:rsidRPr="00526F7D" w:rsidRDefault="00EA7CA2" w:rsidP="007A0F37">
      <w:pPr>
        <w:pStyle w:val="a3"/>
        <w:numPr>
          <w:ilvl w:val="0"/>
          <w:numId w:val="1"/>
        </w:numPr>
        <w:tabs>
          <w:tab w:val="left" w:pos="709"/>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0</w:t>
      </w:r>
      <w:r w:rsidR="003152D8" w:rsidRPr="00526F7D">
        <w:rPr>
          <w:rFonts w:ascii="Times New Roman" w:hAnsi="Times New Roman" w:cs="Times New Roman"/>
          <w:sz w:val="28"/>
          <w:szCs w:val="28"/>
          <w:lang w:val="uk-UA"/>
        </w:rPr>
        <w:t>8</w:t>
      </w:r>
      <w:r w:rsidRPr="00526F7D">
        <w:rPr>
          <w:rFonts w:ascii="Times New Roman" w:hAnsi="Times New Roman" w:cs="Times New Roman"/>
          <w:sz w:val="28"/>
          <w:szCs w:val="28"/>
          <w:lang w:val="uk-UA"/>
        </w:rPr>
        <w:t>0 «непобутовими споживачами, у т. ч.:» зазначаються сумарні дані щодо кількості  укладених договорів споживача про надання послуг комерційного обліку електричної енергії з непобутовими споживачами та за категоріями непобутових споживачів (рядки 0</w:t>
      </w:r>
      <w:r w:rsidR="003152D8" w:rsidRPr="00526F7D">
        <w:rPr>
          <w:rFonts w:ascii="Times New Roman" w:hAnsi="Times New Roman" w:cs="Times New Roman"/>
          <w:sz w:val="28"/>
          <w:szCs w:val="28"/>
          <w:lang w:val="uk-UA"/>
        </w:rPr>
        <w:t>8</w:t>
      </w:r>
      <w:r w:rsidRPr="00526F7D">
        <w:rPr>
          <w:rFonts w:ascii="Times New Roman" w:hAnsi="Times New Roman" w:cs="Times New Roman"/>
          <w:sz w:val="28"/>
          <w:szCs w:val="28"/>
          <w:lang w:val="uk-UA"/>
        </w:rPr>
        <w:t>5 – 1</w:t>
      </w:r>
      <w:r w:rsidR="003152D8" w:rsidRPr="00526F7D">
        <w:rPr>
          <w:rFonts w:ascii="Times New Roman" w:hAnsi="Times New Roman" w:cs="Times New Roman"/>
          <w:sz w:val="28"/>
          <w:szCs w:val="28"/>
          <w:lang w:val="uk-UA"/>
        </w:rPr>
        <w:t>1</w:t>
      </w:r>
      <w:r w:rsidRPr="00526F7D">
        <w:rPr>
          <w:rFonts w:ascii="Times New Roman" w:hAnsi="Times New Roman" w:cs="Times New Roman"/>
          <w:sz w:val="28"/>
          <w:szCs w:val="28"/>
          <w:lang w:val="uk-UA"/>
        </w:rPr>
        <w:t>0)</w:t>
      </w:r>
      <w:r w:rsidR="0060466B" w:rsidRPr="00526F7D">
        <w:rPr>
          <w:rFonts w:ascii="Times New Roman" w:hAnsi="Times New Roman" w:cs="Times New Roman"/>
          <w:sz w:val="28"/>
          <w:szCs w:val="28"/>
        </w:rPr>
        <w:t>.</w:t>
      </w:r>
      <w:r w:rsidR="003152D8" w:rsidRPr="00526F7D">
        <w:rPr>
          <w:rFonts w:ascii="Times New Roman" w:hAnsi="Times New Roman" w:cs="Times New Roman"/>
          <w:sz w:val="28"/>
          <w:szCs w:val="28"/>
          <w:lang w:val="uk-UA"/>
        </w:rPr>
        <w:t xml:space="preserve"> Значення рядка 080 дорівнює сумі значень рядків 085 та 100</w:t>
      </w:r>
    </w:p>
    <w:p w14:paraId="0BAE64C1" w14:textId="77777777" w:rsidR="00EA7CA2" w:rsidRPr="00526F7D" w:rsidRDefault="0060466B" w:rsidP="007A0F37">
      <w:pPr>
        <w:pStyle w:val="a3"/>
        <w:tabs>
          <w:tab w:val="left" w:pos="851"/>
        </w:tabs>
        <w:spacing w:after="0" w:line="240" w:lineRule="auto"/>
        <w:ind w:left="0" w:firstLine="709"/>
        <w:jc w:val="both"/>
        <w:rPr>
          <w:rFonts w:ascii="Times New Roman" w:hAnsi="Times New Roman" w:cs="Times New Roman"/>
          <w:sz w:val="28"/>
          <w:szCs w:val="28"/>
          <w:lang w:val="uk-UA"/>
        </w:rPr>
      </w:pPr>
      <w:bookmarkStart w:id="2" w:name="_Hlk58066584"/>
      <w:r w:rsidRPr="00526F7D">
        <w:rPr>
          <w:rFonts w:ascii="Times New Roman" w:hAnsi="Times New Roman" w:cs="Times New Roman"/>
          <w:sz w:val="28"/>
          <w:szCs w:val="28"/>
          <w:lang w:val="uk-UA"/>
        </w:rPr>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bookmarkEnd w:id="2"/>
      <w:r w:rsidR="00EA7CA2" w:rsidRPr="00526F7D">
        <w:rPr>
          <w:rFonts w:ascii="Times New Roman" w:hAnsi="Times New Roman" w:cs="Times New Roman"/>
          <w:sz w:val="28"/>
          <w:szCs w:val="28"/>
          <w:lang w:val="uk-UA"/>
        </w:rPr>
        <w:t>;</w:t>
      </w:r>
    </w:p>
    <w:p w14:paraId="3C5BE43B"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C4F740A" w14:textId="48BB6E74"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115</w:t>
      </w:r>
      <w:r w:rsidRPr="00526F7D">
        <w:rPr>
          <w:rFonts w:ascii="Times New Roman" w:hAnsi="Times New Roman" w:cs="Times New Roman"/>
          <w:sz w:val="28"/>
          <w:szCs w:val="28"/>
          <w:lang w:val="uk-UA"/>
        </w:rPr>
        <w:t xml:space="preserve"> «</w:t>
      </w:r>
      <w:bookmarkStart w:id="3" w:name="_Hlk86065061"/>
      <w:r w:rsidRPr="00526F7D">
        <w:rPr>
          <w:rFonts w:ascii="Times New Roman" w:hAnsi="Times New Roman" w:cs="Times New Roman"/>
          <w:sz w:val="28"/>
          <w:szCs w:val="28"/>
          <w:lang w:val="uk-UA"/>
        </w:rPr>
        <w:t>Кількість договорів про спільне використання технологічних електричних мереж</w:t>
      </w:r>
      <w:bookmarkEnd w:id="3"/>
      <w:r w:rsidRPr="00526F7D">
        <w:rPr>
          <w:rFonts w:ascii="Times New Roman" w:hAnsi="Times New Roman" w:cs="Times New Roman"/>
          <w:sz w:val="28"/>
          <w:szCs w:val="28"/>
          <w:lang w:val="uk-UA"/>
        </w:rPr>
        <w:t>» зазначаються дані щодо сумарної кількості  укладених з основними споживачами договорів про спільне використання технологічних електричних мереж</w:t>
      </w:r>
      <w:r w:rsidR="001E4C52">
        <w:rPr>
          <w:rFonts w:ascii="Times New Roman" w:hAnsi="Times New Roman" w:cs="Times New Roman"/>
          <w:sz w:val="28"/>
          <w:szCs w:val="28"/>
          <w:lang w:val="uk-UA"/>
        </w:rPr>
        <w:t xml:space="preserve">. Дані цього рядка мають узгоджуватись з даними щодо </w:t>
      </w:r>
      <w:r w:rsidR="001E4C52" w:rsidRPr="00526F7D">
        <w:rPr>
          <w:rFonts w:ascii="Times New Roman" w:hAnsi="Times New Roman" w:cs="Times New Roman"/>
          <w:sz w:val="28"/>
          <w:szCs w:val="28"/>
          <w:lang w:val="uk-UA"/>
        </w:rPr>
        <w:t>кільк</w:t>
      </w:r>
      <w:r w:rsidR="001E4C52">
        <w:rPr>
          <w:rFonts w:ascii="Times New Roman" w:hAnsi="Times New Roman" w:cs="Times New Roman"/>
          <w:sz w:val="28"/>
          <w:szCs w:val="28"/>
          <w:lang w:val="uk-UA"/>
        </w:rPr>
        <w:t>о</w:t>
      </w:r>
      <w:r w:rsidR="001E4C52" w:rsidRPr="00526F7D">
        <w:rPr>
          <w:rFonts w:ascii="Times New Roman" w:hAnsi="Times New Roman" w:cs="Times New Roman"/>
          <w:sz w:val="28"/>
          <w:szCs w:val="28"/>
          <w:lang w:val="uk-UA"/>
        </w:rPr>
        <w:t>ст</w:t>
      </w:r>
      <w:r w:rsidR="001E4C52">
        <w:rPr>
          <w:rFonts w:ascii="Times New Roman" w:hAnsi="Times New Roman" w:cs="Times New Roman"/>
          <w:sz w:val="28"/>
          <w:szCs w:val="28"/>
          <w:lang w:val="uk-UA"/>
        </w:rPr>
        <w:t>і</w:t>
      </w:r>
      <w:r w:rsidR="001E4C52" w:rsidRPr="00526F7D">
        <w:rPr>
          <w:rFonts w:ascii="Times New Roman" w:hAnsi="Times New Roman" w:cs="Times New Roman"/>
          <w:sz w:val="28"/>
          <w:szCs w:val="28"/>
          <w:lang w:val="uk-UA"/>
        </w:rPr>
        <w:t xml:space="preserve"> </w:t>
      </w:r>
      <w:r w:rsidR="001E4C52">
        <w:rPr>
          <w:rFonts w:ascii="Times New Roman" w:hAnsi="Times New Roman" w:cs="Times New Roman"/>
          <w:sz w:val="28"/>
          <w:szCs w:val="28"/>
          <w:lang w:val="uk-UA"/>
        </w:rPr>
        <w:t>основних споживачів розділу ІІ «</w:t>
      </w:r>
      <w:r w:rsidR="001E4C52" w:rsidRPr="002A147C">
        <w:rPr>
          <w:rFonts w:ascii="Times New Roman" w:hAnsi="Times New Roman" w:cs="Times New Roman"/>
          <w:sz w:val="28"/>
          <w:szCs w:val="28"/>
          <w:lang w:val="uk-UA"/>
        </w:rPr>
        <w:t>Інформація щодо спільного використання технологічних мереж</w:t>
      </w:r>
      <w:r w:rsidR="001E4C52">
        <w:rPr>
          <w:rFonts w:ascii="Times New Roman" w:hAnsi="Times New Roman" w:cs="Times New Roman"/>
          <w:sz w:val="28"/>
          <w:szCs w:val="28"/>
          <w:lang w:val="uk-UA"/>
        </w:rPr>
        <w:t xml:space="preserve">» форми звітності </w:t>
      </w:r>
      <w:r w:rsidR="001E4C52" w:rsidRPr="00814B23">
        <w:rPr>
          <w:rFonts w:ascii="Times New Roman" w:hAnsi="Times New Roman" w:cs="Times New Roman"/>
          <w:sz w:val="28"/>
          <w:szCs w:val="28"/>
          <w:lang w:val="uk-UA"/>
        </w:rPr>
        <w:t xml:space="preserve">№ </w:t>
      </w:r>
      <w:r w:rsidR="001E4C52" w:rsidRPr="001E4C52">
        <w:rPr>
          <w:rFonts w:ascii="Times New Roman" w:hAnsi="Times New Roman" w:cs="Times New Roman"/>
          <w:sz w:val="28"/>
          <w:szCs w:val="28"/>
          <w:lang w:val="uk-UA"/>
        </w:rPr>
        <w:t>2-НКРЕКП-моніторинг-розподіл (річна) «Звіт про характеристику користувачів системи розподілу»</w:t>
      </w:r>
      <w:r w:rsidRPr="00526F7D">
        <w:rPr>
          <w:rFonts w:ascii="Times New Roman" w:hAnsi="Times New Roman" w:cs="Times New Roman"/>
          <w:sz w:val="28"/>
          <w:szCs w:val="28"/>
          <w:lang w:val="uk-UA"/>
        </w:rPr>
        <w:t>;</w:t>
      </w:r>
    </w:p>
    <w:p w14:paraId="7F237DD8" w14:textId="77777777" w:rsidR="00EA7CA2" w:rsidRPr="00526F7D" w:rsidRDefault="00EA7CA2" w:rsidP="007A0F37">
      <w:pPr>
        <w:pStyle w:val="a3"/>
        <w:tabs>
          <w:tab w:val="left" w:pos="993"/>
        </w:tabs>
        <w:spacing w:line="240" w:lineRule="auto"/>
        <w:ind w:firstLine="709"/>
        <w:rPr>
          <w:rFonts w:ascii="Times New Roman" w:hAnsi="Times New Roman" w:cs="Times New Roman"/>
          <w:sz w:val="28"/>
          <w:szCs w:val="28"/>
          <w:lang w:val="uk-UA"/>
        </w:rPr>
      </w:pPr>
    </w:p>
    <w:p w14:paraId="0F9FBBFC" w14:textId="6E78249C"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152D8" w:rsidRPr="00526F7D">
        <w:rPr>
          <w:rFonts w:ascii="Times New Roman" w:hAnsi="Times New Roman" w:cs="Times New Roman"/>
          <w:sz w:val="28"/>
          <w:szCs w:val="28"/>
          <w:lang w:val="uk-UA"/>
        </w:rPr>
        <w:t>120</w:t>
      </w:r>
      <w:r w:rsidRPr="00526F7D">
        <w:rPr>
          <w:rFonts w:ascii="Times New Roman" w:hAnsi="Times New Roman" w:cs="Times New Roman"/>
          <w:sz w:val="28"/>
          <w:szCs w:val="28"/>
          <w:lang w:val="uk-UA"/>
        </w:rPr>
        <w:t xml:space="preserve"> «Кількість договорів електропостачальника про надання послуг з розподілу електричної енергії» зазначаються дані щодо сумарної кількості укладених між ОСР та електропостачальниками договорів про надання послуг з розподілу електричної енергії</w:t>
      </w:r>
      <w:r w:rsidR="001E4C52">
        <w:rPr>
          <w:rFonts w:ascii="Times New Roman" w:hAnsi="Times New Roman" w:cs="Times New Roman"/>
          <w:sz w:val="28"/>
          <w:szCs w:val="28"/>
          <w:lang w:val="uk-UA"/>
        </w:rPr>
        <w:t xml:space="preserve">. Дані цього рядка мають узгоджуватись з </w:t>
      </w:r>
      <w:r w:rsidR="001E4C52">
        <w:rPr>
          <w:rFonts w:ascii="Times New Roman" w:hAnsi="Times New Roman" w:cs="Times New Roman"/>
          <w:sz w:val="28"/>
          <w:szCs w:val="28"/>
          <w:lang w:val="uk-UA"/>
        </w:rPr>
        <w:lastRenderedPageBreak/>
        <w:t xml:space="preserve">даними щодо кількості електропостачальників </w:t>
      </w:r>
      <w:r w:rsidR="001E4C52" w:rsidRPr="0032638B">
        <w:rPr>
          <w:rFonts w:ascii="Times New Roman" w:hAnsi="Times New Roman" w:cs="Times New Roman"/>
          <w:sz w:val="28"/>
          <w:szCs w:val="28"/>
          <w:lang w:val="uk-UA"/>
        </w:rPr>
        <w:t>розділ</w:t>
      </w:r>
      <w:r w:rsidR="001E4C52">
        <w:rPr>
          <w:rFonts w:ascii="Times New Roman" w:hAnsi="Times New Roman" w:cs="Times New Roman"/>
          <w:sz w:val="28"/>
          <w:szCs w:val="28"/>
          <w:lang w:val="uk-UA"/>
        </w:rPr>
        <w:t>у</w:t>
      </w:r>
      <w:r w:rsidR="001E4C52" w:rsidRPr="0032638B">
        <w:rPr>
          <w:rFonts w:ascii="Times New Roman" w:hAnsi="Times New Roman" w:cs="Times New Roman"/>
          <w:sz w:val="28"/>
          <w:szCs w:val="28"/>
          <w:lang w:val="uk-UA"/>
        </w:rPr>
        <w:t xml:space="preserve"> I </w:t>
      </w:r>
      <w:r w:rsidR="001E4C52" w:rsidRPr="0032638B">
        <w:rPr>
          <w:lang w:val="uk-UA"/>
        </w:rPr>
        <w:t>«</w:t>
      </w:r>
      <w:r w:rsidR="001E4C52" w:rsidRPr="0032638B">
        <w:rPr>
          <w:rFonts w:ascii="Times New Roman" w:hAnsi="Times New Roman" w:cs="Times New Roman"/>
          <w:sz w:val="28"/>
          <w:szCs w:val="28"/>
          <w:lang w:val="uk-UA"/>
        </w:rPr>
        <w:t>Характеристика постачальників електричної енергії на території ліцензованої діяльності ОСР»</w:t>
      </w:r>
      <w:r w:rsidR="001E4C52">
        <w:rPr>
          <w:rFonts w:ascii="Times New Roman" w:hAnsi="Times New Roman" w:cs="Times New Roman"/>
          <w:sz w:val="28"/>
          <w:szCs w:val="28"/>
          <w:lang w:val="uk-UA"/>
        </w:rPr>
        <w:t xml:space="preserve"> </w:t>
      </w:r>
      <w:r w:rsidR="001E4C52" w:rsidRPr="001E4C52">
        <w:rPr>
          <w:rFonts w:ascii="Times New Roman" w:hAnsi="Times New Roman" w:cs="Times New Roman"/>
          <w:sz w:val="28"/>
          <w:szCs w:val="28"/>
          <w:lang w:val="uk-UA"/>
        </w:rPr>
        <w:t>форми звітності № 3-НКРЕКП-моніторинг-розподіл (квартальна) «Звіт про характеристику постачальників електричної енергії на території ліцензованої діяльності оператора системи розподілу»</w:t>
      </w:r>
      <w:r w:rsidRPr="00526F7D">
        <w:rPr>
          <w:rFonts w:ascii="Times New Roman" w:hAnsi="Times New Roman" w:cs="Times New Roman"/>
          <w:sz w:val="28"/>
          <w:szCs w:val="28"/>
          <w:lang w:val="uk-UA"/>
        </w:rPr>
        <w:t>;</w:t>
      </w:r>
    </w:p>
    <w:p w14:paraId="7DFB7767" w14:textId="77777777" w:rsidR="00EA7CA2" w:rsidRPr="00526F7D" w:rsidRDefault="00EA7CA2" w:rsidP="007A0F37">
      <w:pPr>
        <w:tabs>
          <w:tab w:val="left" w:pos="993"/>
        </w:tabs>
        <w:spacing w:line="240" w:lineRule="auto"/>
        <w:ind w:firstLine="709"/>
        <w:rPr>
          <w:lang w:val="uk-UA"/>
        </w:rPr>
      </w:pPr>
    </w:p>
    <w:p w14:paraId="3320A7D9" w14:textId="77777777" w:rsidR="00EA7CA2" w:rsidRPr="00526F7D"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2</w:t>
      </w:r>
      <w:r w:rsidRPr="00526F7D">
        <w:rPr>
          <w:rFonts w:ascii="Times New Roman" w:hAnsi="Times New Roman" w:cs="Times New Roman"/>
          <w:sz w:val="28"/>
          <w:szCs w:val="28"/>
          <w:lang w:val="uk-UA"/>
        </w:rPr>
        <w:t>5 «Кількість договорів про надання послуг з розподілу електричної енергії між ОСР та виробником» зазначаються дані щодо сумарної кількості укладених між ОСР та виробниками договорів про надання послуг з розподілу електричної енергії;</w:t>
      </w:r>
    </w:p>
    <w:p w14:paraId="06D40C5F"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79601BC6" w14:textId="26243457" w:rsidR="003C0A2F" w:rsidRDefault="00EA7CA2"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0 «Кількість договорів про надання послуг з розподілу електричної енергії між ОСР та суміжним ОСР» зазначаються дані щодо сумарної кількості укладених між ОСР та суміжними ОСР договорів про надання послуг з розподілу електричної енергії</w:t>
      </w:r>
      <w:r w:rsidR="00E84A1E">
        <w:rPr>
          <w:rFonts w:ascii="Times New Roman" w:hAnsi="Times New Roman" w:cs="Times New Roman"/>
          <w:sz w:val="28"/>
          <w:szCs w:val="28"/>
          <w:lang w:val="uk-UA"/>
        </w:rPr>
        <w:t>;</w:t>
      </w:r>
    </w:p>
    <w:p w14:paraId="55F8BF20" w14:textId="77777777" w:rsidR="003C0A2F" w:rsidRDefault="003C0A2F"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75732924" w14:textId="59F91CF7" w:rsidR="003C0A2F" w:rsidRPr="00080573" w:rsidRDefault="003C0A2F"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13</w:t>
      </w:r>
      <w:r>
        <w:rPr>
          <w:rFonts w:ascii="Times New Roman" w:hAnsi="Times New Roman" w:cs="Times New Roman"/>
          <w:sz w:val="28"/>
          <w:szCs w:val="28"/>
          <w:lang w:val="en-US"/>
        </w:rPr>
        <w:t>1</w:t>
      </w:r>
      <w:r w:rsidRPr="00526F7D">
        <w:rPr>
          <w:rFonts w:ascii="Times New Roman" w:hAnsi="Times New Roman" w:cs="Times New Roman"/>
          <w:sz w:val="28"/>
          <w:szCs w:val="28"/>
          <w:lang w:val="uk-UA"/>
        </w:rPr>
        <w:t xml:space="preserve"> «</w:t>
      </w:r>
      <w:r w:rsidRPr="003C0A2F">
        <w:rPr>
          <w:rFonts w:ascii="Times New Roman" w:hAnsi="Times New Roman" w:cs="Times New Roman"/>
          <w:sz w:val="28"/>
          <w:szCs w:val="28"/>
          <w:lang w:val="uk-UA"/>
        </w:rPr>
        <w:t>Кількість договорів про надання послуг з розподілу електричної енергії між ОСР та оператором малої системи розподілу</w:t>
      </w:r>
      <w:r w:rsidRPr="00526F7D">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Pr="00526F7D">
        <w:rPr>
          <w:rFonts w:ascii="Times New Roman" w:hAnsi="Times New Roman" w:cs="Times New Roman"/>
          <w:sz w:val="28"/>
          <w:szCs w:val="28"/>
          <w:lang w:val="uk-UA"/>
        </w:rPr>
        <w:t xml:space="preserve">зазначаються дані щодо сумарної кількості укладених між ОСР та </w:t>
      </w:r>
      <w:r>
        <w:rPr>
          <w:rFonts w:ascii="Times New Roman" w:hAnsi="Times New Roman" w:cs="Times New Roman"/>
          <w:sz w:val="28"/>
          <w:szCs w:val="28"/>
          <w:lang w:val="uk-UA"/>
        </w:rPr>
        <w:t>оператором малої системи розподілу</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 xml:space="preserve">про надання послуг з </w:t>
      </w:r>
      <w:r>
        <w:rPr>
          <w:rFonts w:ascii="Times New Roman" w:hAnsi="Times New Roman" w:cs="Times New Roman"/>
          <w:sz w:val="28"/>
          <w:szCs w:val="28"/>
          <w:lang w:val="uk-UA"/>
        </w:rPr>
        <w:t>розподілу</w:t>
      </w:r>
      <w:r w:rsidRPr="00E84A1E">
        <w:rPr>
          <w:rFonts w:ascii="Times New Roman" w:hAnsi="Times New Roman" w:cs="Times New Roman"/>
          <w:sz w:val="28"/>
          <w:szCs w:val="28"/>
          <w:lang w:val="uk-UA"/>
        </w:rPr>
        <w:t xml:space="preserve"> електричної енергії</w:t>
      </w:r>
      <w:r>
        <w:rPr>
          <w:rFonts w:ascii="Times New Roman" w:hAnsi="Times New Roman" w:cs="Times New Roman"/>
          <w:sz w:val="28"/>
          <w:szCs w:val="28"/>
          <w:lang w:val="en-US"/>
        </w:rPr>
        <w:t>;</w:t>
      </w:r>
    </w:p>
    <w:p w14:paraId="72063E2E" w14:textId="77777777" w:rsidR="003C0A2F" w:rsidRPr="00526F7D" w:rsidRDefault="003C0A2F"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0AA63AA3" w14:textId="105F3028" w:rsidR="003C0A2F" w:rsidRPr="00080573" w:rsidRDefault="003C0A2F"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13</w:t>
      </w:r>
      <w:r>
        <w:rPr>
          <w:rFonts w:ascii="Times New Roman" w:hAnsi="Times New Roman" w:cs="Times New Roman"/>
          <w:sz w:val="28"/>
          <w:szCs w:val="28"/>
          <w:lang w:val="uk-UA"/>
        </w:rPr>
        <w:t>2</w:t>
      </w:r>
      <w:r w:rsidRPr="00526F7D">
        <w:rPr>
          <w:rFonts w:ascii="Times New Roman" w:hAnsi="Times New Roman" w:cs="Times New Roman"/>
          <w:sz w:val="28"/>
          <w:szCs w:val="28"/>
          <w:lang w:val="uk-UA"/>
        </w:rPr>
        <w:t xml:space="preserve"> «</w:t>
      </w:r>
      <w:r w:rsidRPr="003C0A2F">
        <w:rPr>
          <w:rFonts w:ascii="Times New Roman" w:hAnsi="Times New Roman" w:cs="Times New Roman"/>
          <w:sz w:val="28"/>
          <w:szCs w:val="28"/>
          <w:lang w:val="uk-UA"/>
        </w:rPr>
        <w:t>Кількість договорів про надання послуг з розподілу електричної енергії між ОСР та оператором УЗЕ</w:t>
      </w:r>
      <w:r w:rsidRPr="00526F7D">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Pr="00526F7D">
        <w:rPr>
          <w:rFonts w:ascii="Times New Roman" w:hAnsi="Times New Roman" w:cs="Times New Roman"/>
          <w:sz w:val="28"/>
          <w:szCs w:val="28"/>
          <w:lang w:val="uk-UA"/>
        </w:rPr>
        <w:t xml:space="preserve">зазначаються дані щодо сумарної кількості укладених між ОСР та </w:t>
      </w:r>
      <w:r>
        <w:rPr>
          <w:rFonts w:ascii="Times New Roman" w:hAnsi="Times New Roman" w:cs="Times New Roman"/>
          <w:sz w:val="28"/>
          <w:szCs w:val="28"/>
          <w:lang w:val="uk-UA"/>
        </w:rPr>
        <w:t>оператором установки зберігання електричної енергії</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 xml:space="preserve">про надання послуг з </w:t>
      </w:r>
      <w:r>
        <w:rPr>
          <w:rFonts w:ascii="Times New Roman" w:hAnsi="Times New Roman" w:cs="Times New Roman"/>
          <w:sz w:val="28"/>
          <w:szCs w:val="28"/>
          <w:lang w:val="uk-UA"/>
        </w:rPr>
        <w:t>розподілу</w:t>
      </w:r>
      <w:r w:rsidRPr="00E84A1E">
        <w:rPr>
          <w:rFonts w:ascii="Times New Roman" w:hAnsi="Times New Roman" w:cs="Times New Roman"/>
          <w:sz w:val="28"/>
          <w:szCs w:val="28"/>
          <w:lang w:val="uk-UA"/>
        </w:rPr>
        <w:t xml:space="preserve"> електричної енергії</w:t>
      </w:r>
      <w:r>
        <w:rPr>
          <w:rFonts w:ascii="Times New Roman" w:hAnsi="Times New Roman" w:cs="Times New Roman"/>
          <w:sz w:val="28"/>
          <w:szCs w:val="28"/>
          <w:lang w:val="en-US"/>
        </w:rPr>
        <w:t>;</w:t>
      </w:r>
    </w:p>
    <w:p w14:paraId="02399DE7" w14:textId="77777777" w:rsidR="00E84A1E" w:rsidRPr="009B3E63" w:rsidRDefault="00E84A1E" w:rsidP="007A0F37">
      <w:pPr>
        <w:pStyle w:val="a3"/>
        <w:spacing w:line="240" w:lineRule="auto"/>
        <w:ind w:firstLine="709"/>
        <w:rPr>
          <w:rFonts w:ascii="Times New Roman" w:hAnsi="Times New Roman" w:cs="Times New Roman"/>
          <w:sz w:val="28"/>
          <w:szCs w:val="28"/>
          <w:lang w:val="uk-UA"/>
        </w:rPr>
      </w:pPr>
    </w:p>
    <w:p w14:paraId="0FEB5881" w14:textId="5ADAE14C" w:rsidR="00EA7CA2" w:rsidRPr="00526F7D" w:rsidRDefault="00E84A1E" w:rsidP="007A0F37">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3C0A2F" w:rsidRPr="00526F7D">
        <w:rPr>
          <w:rFonts w:ascii="Times New Roman" w:hAnsi="Times New Roman" w:cs="Times New Roman"/>
          <w:sz w:val="28"/>
          <w:szCs w:val="28"/>
          <w:lang w:val="uk-UA"/>
        </w:rPr>
        <w:t>13</w:t>
      </w:r>
      <w:r w:rsidR="003C0A2F">
        <w:rPr>
          <w:rFonts w:ascii="Times New Roman" w:hAnsi="Times New Roman" w:cs="Times New Roman"/>
          <w:sz w:val="28"/>
          <w:szCs w:val="28"/>
          <w:lang w:val="en-US"/>
        </w:rPr>
        <w:t>3</w:t>
      </w:r>
      <w:r w:rsidR="003C0A2F"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«Кількість </w:t>
      </w:r>
      <w:r w:rsidRPr="00E84A1E">
        <w:rPr>
          <w:rFonts w:ascii="Times New Roman" w:hAnsi="Times New Roman" w:cs="Times New Roman"/>
          <w:sz w:val="28"/>
          <w:szCs w:val="28"/>
          <w:lang w:val="uk-UA"/>
        </w:rPr>
        <w:t>договорів про надання послуг із забезпечення перетікань реактивної електричної енергії</w:t>
      </w:r>
      <w:r w:rsidRPr="00526F7D">
        <w:rPr>
          <w:rFonts w:ascii="Times New Roman" w:hAnsi="Times New Roman" w:cs="Times New Roman"/>
          <w:sz w:val="28"/>
          <w:szCs w:val="28"/>
          <w:lang w:val="uk-UA"/>
        </w:rPr>
        <w:t xml:space="preserve">» зазначаються дані щодо сумарної кількості укладених між ОСР та </w:t>
      </w:r>
      <w:r>
        <w:rPr>
          <w:rFonts w:ascii="Times New Roman" w:hAnsi="Times New Roman" w:cs="Times New Roman"/>
          <w:sz w:val="28"/>
          <w:szCs w:val="28"/>
          <w:lang w:val="uk-UA"/>
        </w:rPr>
        <w:t>споживачем</w:t>
      </w:r>
      <w:r w:rsidRPr="00526F7D">
        <w:rPr>
          <w:rFonts w:ascii="Times New Roman" w:hAnsi="Times New Roman" w:cs="Times New Roman"/>
          <w:sz w:val="28"/>
          <w:szCs w:val="28"/>
          <w:lang w:val="uk-UA"/>
        </w:rPr>
        <w:t xml:space="preserve"> договорів </w:t>
      </w:r>
      <w:r w:rsidRPr="00E84A1E">
        <w:rPr>
          <w:rFonts w:ascii="Times New Roman" w:hAnsi="Times New Roman" w:cs="Times New Roman"/>
          <w:sz w:val="28"/>
          <w:szCs w:val="28"/>
          <w:lang w:val="uk-UA"/>
        </w:rPr>
        <w:t>про надання послуг із забезпечення перетікань реактивної електричної енергії</w:t>
      </w:r>
      <w:r w:rsidR="00EA7CA2" w:rsidRPr="00526F7D">
        <w:rPr>
          <w:rFonts w:ascii="Times New Roman" w:hAnsi="Times New Roman" w:cs="Times New Roman"/>
          <w:sz w:val="28"/>
          <w:szCs w:val="28"/>
          <w:lang w:val="uk-UA"/>
        </w:rPr>
        <w:t>.</w:t>
      </w:r>
    </w:p>
    <w:p w14:paraId="52AF04FC" w14:textId="77777777" w:rsidR="00EA7CA2" w:rsidRPr="00526F7D" w:rsidRDefault="00EA7CA2" w:rsidP="007A0F37">
      <w:pPr>
        <w:pStyle w:val="a3"/>
        <w:tabs>
          <w:tab w:val="left" w:pos="851"/>
          <w:tab w:val="left" w:pos="993"/>
        </w:tabs>
        <w:spacing w:after="0" w:line="240" w:lineRule="auto"/>
        <w:ind w:left="709" w:firstLine="709"/>
        <w:jc w:val="both"/>
        <w:rPr>
          <w:rFonts w:ascii="Times New Roman" w:hAnsi="Times New Roman" w:cs="Times New Roman"/>
          <w:sz w:val="28"/>
          <w:szCs w:val="28"/>
          <w:lang w:val="uk-UA"/>
        </w:rPr>
      </w:pPr>
    </w:p>
    <w:p w14:paraId="1F5F1343" w14:textId="77777777" w:rsidR="00EA7CA2" w:rsidRPr="00526F7D" w:rsidRDefault="00EA7CA2" w:rsidP="007A0F37">
      <w:pPr>
        <w:pStyle w:val="a3"/>
        <w:numPr>
          <w:ilvl w:val="1"/>
          <w:numId w:val="7"/>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розділі IІ «Інформація щодо запитів на укладення договорів з оператором системи розподілу» відображається  інформація щодо запитів від користувачів стосовно укладення договорів з оператором системи розподілу та випадків відмови в укладенні договору:</w:t>
      </w:r>
    </w:p>
    <w:p w14:paraId="1D72B168"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540CA1DF" w14:textId="1A020072"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5, 1</w:t>
      </w:r>
      <w:r w:rsidR="00142A28" w:rsidRPr="00526F7D">
        <w:rPr>
          <w:rFonts w:ascii="Times New Roman" w:hAnsi="Times New Roman" w:cs="Times New Roman"/>
          <w:sz w:val="28"/>
          <w:szCs w:val="28"/>
        </w:rPr>
        <w:t>2</w:t>
      </w:r>
      <w:r w:rsidR="003C0A2F">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1</w:t>
      </w:r>
      <w:r w:rsidR="00142A28" w:rsidRPr="00526F7D">
        <w:rPr>
          <w:rFonts w:ascii="Times New Roman" w:hAnsi="Times New Roman" w:cs="Times New Roman"/>
          <w:sz w:val="28"/>
          <w:szCs w:val="28"/>
        </w:rPr>
        <w:t>3</w:t>
      </w:r>
      <w:r w:rsidR="003C0A2F">
        <w:rPr>
          <w:rFonts w:ascii="Times New Roman" w:hAnsi="Times New Roman" w:cs="Times New Roman"/>
          <w:sz w:val="28"/>
          <w:szCs w:val="28"/>
          <w:lang w:val="uk-UA"/>
        </w:rPr>
        <w:t>, 14 та 15</w:t>
      </w:r>
      <w:r w:rsidRPr="00526F7D">
        <w:rPr>
          <w:rFonts w:ascii="Times New Roman" w:hAnsi="Times New Roman" w:cs="Times New Roman"/>
          <w:sz w:val="28"/>
          <w:szCs w:val="28"/>
          <w:lang w:val="uk-UA"/>
        </w:rPr>
        <w:t>;</w:t>
      </w:r>
    </w:p>
    <w:p w14:paraId="03AABF9B"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48855DBF" w14:textId="3C830811"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графах 2 – </w:t>
      </w:r>
      <w:r w:rsidR="003C0A2F" w:rsidRPr="00526F7D">
        <w:rPr>
          <w:rFonts w:ascii="Times New Roman" w:hAnsi="Times New Roman" w:cs="Times New Roman"/>
          <w:sz w:val="28"/>
          <w:szCs w:val="28"/>
        </w:rPr>
        <w:t>1</w:t>
      </w:r>
      <w:r w:rsidR="003C0A2F">
        <w:rPr>
          <w:rFonts w:ascii="Times New Roman" w:hAnsi="Times New Roman" w:cs="Times New Roman"/>
          <w:sz w:val="28"/>
          <w:szCs w:val="28"/>
          <w:lang w:val="uk-UA"/>
        </w:rPr>
        <w:t>5</w:t>
      </w:r>
      <w:r w:rsidR="003C0A2F" w:rsidRPr="00526F7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зазначаються дані за категоріями користувачів: побутових споживачів (графи 2 – 4), непобутових споживачів (графи 5 – 1</w:t>
      </w:r>
      <w:r w:rsidR="00142A28" w:rsidRPr="00526F7D">
        <w:rPr>
          <w:rFonts w:ascii="Times New Roman" w:hAnsi="Times New Roman" w:cs="Times New Roman"/>
          <w:sz w:val="28"/>
          <w:szCs w:val="28"/>
        </w:rPr>
        <w:t>1</w:t>
      </w:r>
      <w:r w:rsidRPr="00526F7D">
        <w:rPr>
          <w:rFonts w:ascii="Times New Roman" w:hAnsi="Times New Roman" w:cs="Times New Roman"/>
          <w:sz w:val="28"/>
          <w:szCs w:val="28"/>
          <w:lang w:val="uk-UA"/>
        </w:rPr>
        <w:t>), виробників електричної енергії (графа 1</w:t>
      </w:r>
      <w:r w:rsidR="00142A28" w:rsidRPr="00526F7D">
        <w:rPr>
          <w:rFonts w:ascii="Times New Roman" w:hAnsi="Times New Roman" w:cs="Times New Roman"/>
          <w:sz w:val="28"/>
          <w:szCs w:val="28"/>
        </w:rPr>
        <w:t>2</w:t>
      </w:r>
      <w:r w:rsidRPr="00526F7D">
        <w:rPr>
          <w:rFonts w:ascii="Times New Roman" w:hAnsi="Times New Roman" w:cs="Times New Roman"/>
          <w:sz w:val="28"/>
          <w:szCs w:val="28"/>
          <w:lang w:val="uk-UA"/>
        </w:rPr>
        <w:t>)</w:t>
      </w:r>
      <w:r w:rsidR="005B3DDD">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електропостачальників (графа 1</w:t>
      </w:r>
      <w:r w:rsidR="00142A28" w:rsidRPr="00526F7D">
        <w:rPr>
          <w:rFonts w:ascii="Times New Roman" w:hAnsi="Times New Roman" w:cs="Times New Roman"/>
          <w:sz w:val="28"/>
          <w:szCs w:val="28"/>
        </w:rPr>
        <w:t>3</w:t>
      </w:r>
      <w:r w:rsidRPr="00526F7D">
        <w:rPr>
          <w:rFonts w:ascii="Times New Roman" w:hAnsi="Times New Roman" w:cs="Times New Roman"/>
          <w:sz w:val="28"/>
          <w:szCs w:val="28"/>
          <w:lang w:val="uk-UA"/>
        </w:rPr>
        <w:t>)</w:t>
      </w:r>
      <w:r w:rsidR="005B3DDD">
        <w:rPr>
          <w:rFonts w:ascii="Times New Roman" w:hAnsi="Times New Roman" w:cs="Times New Roman"/>
          <w:sz w:val="28"/>
          <w:szCs w:val="28"/>
          <w:lang w:val="uk-UA"/>
        </w:rPr>
        <w:t xml:space="preserve">, </w:t>
      </w:r>
      <w:r w:rsidR="005B3DDD">
        <w:rPr>
          <w:rFonts w:ascii="Times New Roman" w:hAnsi="Times New Roman" w:cs="Times New Roman"/>
          <w:sz w:val="28"/>
          <w:szCs w:val="28"/>
          <w:lang w:val="uk-UA"/>
        </w:rPr>
        <w:lastRenderedPageBreak/>
        <w:t>операторів малих систем розподілу (графа 14) та операторів установок зберігання енергії (графа 15)</w:t>
      </w:r>
      <w:r w:rsidRPr="00526F7D">
        <w:rPr>
          <w:rFonts w:ascii="Times New Roman" w:hAnsi="Times New Roman" w:cs="Times New Roman"/>
          <w:sz w:val="28"/>
          <w:szCs w:val="28"/>
          <w:lang w:val="uk-UA"/>
        </w:rPr>
        <w:t>;</w:t>
      </w:r>
    </w:p>
    <w:p w14:paraId="3F6A4A51" w14:textId="77777777" w:rsidR="00EA7CA2" w:rsidRPr="00526F7D" w:rsidRDefault="00EA7CA2" w:rsidP="007A0F37">
      <w:pPr>
        <w:pStyle w:val="a3"/>
        <w:tabs>
          <w:tab w:val="left" w:pos="993"/>
        </w:tabs>
        <w:spacing w:after="0" w:line="240" w:lineRule="auto"/>
        <w:ind w:left="709" w:firstLine="709"/>
        <w:jc w:val="both"/>
        <w:rPr>
          <w:rFonts w:ascii="Times New Roman" w:hAnsi="Times New Roman" w:cs="Times New Roman"/>
          <w:sz w:val="28"/>
          <w:szCs w:val="28"/>
          <w:lang w:val="uk-UA"/>
        </w:rPr>
      </w:pPr>
    </w:p>
    <w:p w14:paraId="6BB1EEC6" w14:textId="77777777"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5 «Кількість запитів на укладення договору про надання послуг з розподілу» відображається інформація щодо кількості запитів на укладення договору про надання послуг з розподілу (кількість отриманих заяв від користувачів на укладення договору про надання послуг з розподілу електричної енергії та/або заяв-приєднань до договору споживача про надання послуг з розподілу електричної енергії). У цьому рядку відображається інформація як щодо договорів, які укладаються в результаті надання послуги з приєднання до електричних мереж, так і у разі зміни споживача, форми власності чи власника електроустановки;</w:t>
      </w:r>
    </w:p>
    <w:p w14:paraId="24220A9B"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48FDACB5" w14:textId="1F50CE86"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4</w:t>
      </w:r>
      <w:r w:rsidRPr="00526F7D">
        <w:rPr>
          <w:rFonts w:ascii="Times New Roman" w:hAnsi="Times New Roman" w:cs="Times New Roman"/>
          <w:sz w:val="28"/>
          <w:szCs w:val="28"/>
          <w:lang w:val="uk-UA"/>
        </w:rPr>
        <w:t>0 «Кількість випадків відмови в укладенні договору про надання послуг з розподілу» відображається інформація щодо кількості випадків відмови в укладенні договору про надання послуг з розподілу. У цьому рядку відображається інформація як щодо договорів, які укладаються в результаті надання послуги</w:t>
      </w:r>
      <w:r w:rsidR="00907B49" w:rsidRPr="00526F7D">
        <w:rPr>
          <w:rFonts w:ascii="Times New Roman" w:hAnsi="Times New Roman" w:cs="Times New Roman"/>
          <w:sz w:val="28"/>
          <w:szCs w:val="28"/>
          <w:lang w:val="uk-UA"/>
        </w:rPr>
        <w:t xml:space="preserve"> з</w:t>
      </w:r>
      <w:r w:rsidRPr="00526F7D">
        <w:rPr>
          <w:rFonts w:ascii="Times New Roman" w:hAnsi="Times New Roman" w:cs="Times New Roman"/>
          <w:sz w:val="28"/>
          <w:szCs w:val="28"/>
          <w:lang w:val="uk-UA"/>
        </w:rPr>
        <w:t xml:space="preserve"> приєднання до електричних мереж, так і у разі зміни споживача, форми власності чи власника електроустановки;</w:t>
      </w:r>
    </w:p>
    <w:p w14:paraId="46D771C6" w14:textId="77777777" w:rsidR="00EA7CA2" w:rsidRPr="00526F7D" w:rsidRDefault="00EA7CA2" w:rsidP="007A0F37">
      <w:pPr>
        <w:spacing w:line="240" w:lineRule="auto"/>
        <w:ind w:firstLine="709"/>
        <w:rPr>
          <w:lang w:val="uk-UA"/>
        </w:rPr>
      </w:pPr>
    </w:p>
    <w:p w14:paraId="5234807C" w14:textId="77F3B9EE"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4</w:t>
      </w:r>
      <w:r w:rsidRPr="00526F7D">
        <w:rPr>
          <w:rFonts w:ascii="Times New Roman" w:hAnsi="Times New Roman" w:cs="Times New Roman"/>
          <w:sz w:val="28"/>
          <w:szCs w:val="28"/>
          <w:lang w:val="uk-UA"/>
        </w:rPr>
        <w:t>5 «Кількість запитів на укладення договору про надання послуг комерційного обліку» відображається інформація щодо кількості запитів на укладення договору про надання послуг з комерційного обліку;</w:t>
      </w:r>
    </w:p>
    <w:p w14:paraId="433200CB" w14:textId="77777777" w:rsidR="00EA7CA2" w:rsidRPr="00526F7D" w:rsidRDefault="00EA7CA2" w:rsidP="007A0F37">
      <w:pPr>
        <w:pStyle w:val="a3"/>
        <w:tabs>
          <w:tab w:val="left" w:pos="567"/>
        </w:tabs>
        <w:spacing w:after="0" w:line="240" w:lineRule="auto"/>
        <w:ind w:left="1211" w:firstLine="709"/>
        <w:jc w:val="both"/>
        <w:rPr>
          <w:rFonts w:ascii="Times New Roman" w:hAnsi="Times New Roman" w:cs="Times New Roman"/>
          <w:sz w:val="28"/>
          <w:szCs w:val="28"/>
          <w:lang w:val="uk-UA"/>
        </w:rPr>
      </w:pPr>
    </w:p>
    <w:p w14:paraId="70554D3A" w14:textId="5AC1E5EA" w:rsidR="00EA7CA2" w:rsidRPr="00526F7D" w:rsidRDefault="00EA7CA2" w:rsidP="007A0F37">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1</w:t>
      </w:r>
      <w:r w:rsidR="003152D8"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0 «Кількість випадків відмови в укладенні договору про надання послуг комерційного обліку» відображається інформація щодо кількості випадків відмови в укладенні договору про надання послуг з комерційного обліку.</w:t>
      </w:r>
    </w:p>
    <w:p w14:paraId="13808FFA" w14:textId="77777777" w:rsidR="00EA7CA2" w:rsidRPr="00526F7D" w:rsidRDefault="00EA7CA2" w:rsidP="007A0F37">
      <w:pPr>
        <w:pStyle w:val="a3"/>
        <w:tabs>
          <w:tab w:val="left" w:pos="851"/>
          <w:tab w:val="left" w:pos="993"/>
        </w:tabs>
        <w:spacing w:after="0" w:line="240" w:lineRule="auto"/>
        <w:ind w:left="490" w:firstLine="709"/>
        <w:jc w:val="both"/>
        <w:rPr>
          <w:rFonts w:ascii="Times New Roman" w:hAnsi="Times New Roman" w:cs="Times New Roman"/>
          <w:sz w:val="28"/>
          <w:szCs w:val="28"/>
          <w:lang w:val="uk-UA"/>
        </w:rPr>
      </w:pPr>
    </w:p>
    <w:p w14:paraId="46201E7F" w14:textId="2BE67A01"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3.3. У розділі III «</w:t>
      </w:r>
      <w:r w:rsidR="00741C18" w:rsidRPr="00741C18">
        <w:rPr>
          <w:sz w:val="28"/>
          <w:szCs w:val="28"/>
          <w:lang w:val="uk-UA"/>
        </w:rPr>
        <w:t>Інформація щодо приєднання до системи розподілу</w:t>
      </w:r>
      <w:r w:rsidRPr="00526F7D">
        <w:rPr>
          <w:sz w:val="28"/>
          <w:szCs w:val="28"/>
          <w:lang w:val="uk-UA"/>
        </w:rPr>
        <w:t>» відображається інформація щодо запитів на приєднання та реалізації</w:t>
      </w:r>
      <w:r w:rsidR="00741C18">
        <w:rPr>
          <w:sz w:val="28"/>
          <w:szCs w:val="28"/>
          <w:lang w:val="uk-UA"/>
        </w:rPr>
        <w:t xml:space="preserve"> приєднань</w:t>
      </w:r>
      <w:r w:rsidRPr="00526F7D">
        <w:rPr>
          <w:sz w:val="28"/>
          <w:szCs w:val="28"/>
          <w:lang w:val="uk-UA"/>
        </w:rPr>
        <w:t>:</w:t>
      </w:r>
    </w:p>
    <w:p w14:paraId="593EBC36"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eastAsia="uk-UA"/>
        </w:rPr>
      </w:pPr>
    </w:p>
    <w:p w14:paraId="56C747CC" w14:textId="723C2DFB"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4" w:name="n433"/>
      <w:bookmarkEnd w:id="4"/>
      <w:r w:rsidRPr="00526F7D">
        <w:rPr>
          <w:sz w:val="28"/>
          <w:szCs w:val="28"/>
          <w:lang w:val="uk-UA"/>
        </w:rPr>
        <w:t xml:space="preserve">у графі 1 «Разом за рік» зазначаються сумарні дані за рік, значення цієї графи дорівнює сумі граф 2, </w:t>
      </w:r>
      <w:r w:rsidR="005B3DDD">
        <w:rPr>
          <w:sz w:val="28"/>
          <w:szCs w:val="28"/>
          <w:lang w:val="uk-UA"/>
        </w:rPr>
        <w:t>6</w:t>
      </w:r>
      <w:r w:rsidR="005B3DDD" w:rsidRPr="00526F7D">
        <w:rPr>
          <w:sz w:val="28"/>
          <w:szCs w:val="28"/>
          <w:lang w:val="uk-UA"/>
        </w:rPr>
        <w:t xml:space="preserve"> </w:t>
      </w:r>
      <w:r w:rsidRPr="00526F7D">
        <w:rPr>
          <w:sz w:val="28"/>
          <w:szCs w:val="28"/>
          <w:lang w:val="uk-UA"/>
        </w:rPr>
        <w:t xml:space="preserve">та </w:t>
      </w:r>
      <w:r w:rsidR="005B3DDD">
        <w:rPr>
          <w:sz w:val="28"/>
          <w:szCs w:val="28"/>
          <w:lang w:val="uk-UA"/>
        </w:rPr>
        <w:t>10</w:t>
      </w:r>
      <w:r w:rsidRPr="00526F7D">
        <w:rPr>
          <w:sz w:val="28"/>
          <w:szCs w:val="28"/>
          <w:lang w:val="uk-UA"/>
        </w:rPr>
        <w:t>;</w:t>
      </w:r>
    </w:p>
    <w:p w14:paraId="361A315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1AA712DF" w14:textId="14CE4DB4"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графах 2 – 8 зазначаються дані за категоріями замовників: фізичних осіб (графи 2 – </w:t>
      </w:r>
      <w:r w:rsidR="005B3DDD">
        <w:rPr>
          <w:sz w:val="28"/>
          <w:szCs w:val="28"/>
          <w:lang w:val="uk-UA"/>
        </w:rPr>
        <w:t>5</w:t>
      </w:r>
      <w:r w:rsidRPr="00526F7D">
        <w:rPr>
          <w:sz w:val="28"/>
          <w:szCs w:val="28"/>
          <w:lang w:val="uk-UA"/>
        </w:rPr>
        <w:t xml:space="preserve">), юридичних осіб (графи </w:t>
      </w:r>
      <w:r w:rsidR="005B3DDD">
        <w:rPr>
          <w:sz w:val="28"/>
          <w:szCs w:val="28"/>
          <w:lang w:val="uk-UA"/>
        </w:rPr>
        <w:t>6</w:t>
      </w:r>
      <w:r w:rsidR="005B3DDD" w:rsidRPr="00526F7D">
        <w:rPr>
          <w:sz w:val="28"/>
          <w:szCs w:val="28"/>
          <w:lang w:val="uk-UA"/>
        </w:rPr>
        <w:t xml:space="preserve"> </w:t>
      </w:r>
      <w:r w:rsidRPr="00526F7D">
        <w:rPr>
          <w:sz w:val="28"/>
          <w:szCs w:val="28"/>
          <w:lang w:val="uk-UA"/>
        </w:rPr>
        <w:t xml:space="preserve">– </w:t>
      </w:r>
      <w:r w:rsidR="005B3DDD">
        <w:rPr>
          <w:sz w:val="28"/>
          <w:szCs w:val="28"/>
          <w:lang w:val="uk-UA"/>
        </w:rPr>
        <w:t>9</w:t>
      </w:r>
      <w:r w:rsidRPr="00526F7D">
        <w:rPr>
          <w:sz w:val="28"/>
          <w:szCs w:val="28"/>
          <w:lang w:val="uk-UA"/>
        </w:rPr>
        <w:t xml:space="preserve">), інших операторів систем розподілу (графа </w:t>
      </w:r>
      <w:r w:rsidR="005B3DDD">
        <w:rPr>
          <w:sz w:val="28"/>
          <w:szCs w:val="28"/>
          <w:lang w:val="uk-UA"/>
        </w:rPr>
        <w:t>9</w:t>
      </w:r>
      <w:r w:rsidRPr="00526F7D">
        <w:rPr>
          <w:sz w:val="28"/>
          <w:szCs w:val="28"/>
          <w:lang w:val="uk-UA"/>
        </w:rPr>
        <w:t xml:space="preserve">) у розрізі приєднання електроустановок, призначених для споживання </w:t>
      </w:r>
      <w:r w:rsidR="005B3DDD" w:rsidRPr="00526F7D">
        <w:rPr>
          <w:sz w:val="28"/>
          <w:szCs w:val="28"/>
          <w:lang w:val="uk-UA"/>
        </w:rPr>
        <w:t xml:space="preserve">електричної енергії </w:t>
      </w:r>
      <w:r w:rsidRPr="00526F7D">
        <w:rPr>
          <w:sz w:val="28"/>
          <w:szCs w:val="28"/>
          <w:lang w:val="uk-UA"/>
        </w:rPr>
        <w:t>(графи 3 та 6)</w:t>
      </w:r>
      <w:r w:rsidR="005B3DDD">
        <w:rPr>
          <w:sz w:val="28"/>
          <w:szCs w:val="28"/>
          <w:lang w:val="uk-UA"/>
        </w:rPr>
        <w:t>,</w:t>
      </w:r>
      <w:r w:rsidRPr="00526F7D">
        <w:rPr>
          <w:sz w:val="28"/>
          <w:szCs w:val="28"/>
          <w:lang w:val="uk-UA"/>
        </w:rPr>
        <w:t xml:space="preserve"> виробництва (графи 4 та 7) електричної енергії</w:t>
      </w:r>
      <w:r w:rsidR="005B3DDD">
        <w:rPr>
          <w:sz w:val="28"/>
          <w:szCs w:val="28"/>
          <w:lang w:val="uk-UA"/>
        </w:rPr>
        <w:t xml:space="preserve"> та зберігання енергії (графи 5 та 9)</w:t>
      </w:r>
      <w:r w:rsidRPr="00526F7D">
        <w:rPr>
          <w:sz w:val="28"/>
          <w:szCs w:val="28"/>
          <w:lang w:val="uk-UA"/>
        </w:rPr>
        <w:t>;</w:t>
      </w:r>
      <w:bookmarkStart w:id="5" w:name="n434"/>
      <w:bookmarkEnd w:id="5"/>
    </w:p>
    <w:p w14:paraId="1C3F8A70" w14:textId="77777777" w:rsidR="00142A28" w:rsidRPr="00526F7D" w:rsidRDefault="00142A28" w:rsidP="007A0F37">
      <w:pPr>
        <w:pStyle w:val="rvps2"/>
        <w:shd w:val="clear" w:color="auto" w:fill="FFFFFF"/>
        <w:tabs>
          <w:tab w:val="left" w:pos="709"/>
        </w:tabs>
        <w:spacing w:before="0" w:beforeAutospacing="0" w:after="0" w:afterAutospacing="0"/>
        <w:ind w:firstLine="709"/>
        <w:jc w:val="both"/>
        <w:rPr>
          <w:sz w:val="28"/>
          <w:szCs w:val="28"/>
          <w:lang w:val="uk-UA"/>
        </w:rPr>
      </w:pPr>
    </w:p>
    <w:p w14:paraId="0697D76A" w14:textId="33577039"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6" w:name="n435"/>
      <w:bookmarkEnd w:id="6"/>
      <w:r w:rsidRPr="00526F7D">
        <w:rPr>
          <w:sz w:val="28"/>
          <w:szCs w:val="28"/>
          <w:lang w:val="uk-UA"/>
        </w:rPr>
        <w:t>у рядку 1</w:t>
      </w:r>
      <w:r w:rsidR="003152D8" w:rsidRPr="00526F7D">
        <w:rPr>
          <w:sz w:val="28"/>
          <w:szCs w:val="28"/>
          <w:lang w:val="uk-UA"/>
        </w:rPr>
        <w:t>5</w:t>
      </w:r>
      <w:r w:rsidRPr="00526F7D">
        <w:rPr>
          <w:sz w:val="28"/>
          <w:szCs w:val="28"/>
          <w:lang w:val="uk-UA"/>
        </w:rPr>
        <w:t>5 «Кількість запитів на приєднання» відображаються сумарні дані щодо кількості запитів на приєднання до мереж ОСР (кількість заяв про приєднання від замовників);</w:t>
      </w:r>
    </w:p>
    <w:p w14:paraId="3C790E67" w14:textId="77777777" w:rsidR="00142A28" w:rsidRPr="00526F7D" w:rsidRDefault="00142A28" w:rsidP="007A0F37">
      <w:pPr>
        <w:pStyle w:val="rvps2"/>
        <w:shd w:val="clear" w:color="auto" w:fill="FFFFFF"/>
        <w:tabs>
          <w:tab w:val="left" w:pos="709"/>
        </w:tabs>
        <w:spacing w:before="0" w:beforeAutospacing="0" w:after="0" w:afterAutospacing="0"/>
        <w:ind w:firstLine="709"/>
        <w:jc w:val="both"/>
        <w:rPr>
          <w:sz w:val="28"/>
          <w:szCs w:val="28"/>
          <w:lang w:val="uk-UA"/>
        </w:rPr>
      </w:pPr>
    </w:p>
    <w:p w14:paraId="0A2FADFD" w14:textId="19F52BB8"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7" w:name="n436"/>
      <w:bookmarkEnd w:id="7"/>
      <w:r w:rsidRPr="00526F7D">
        <w:rPr>
          <w:sz w:val="28"/>
          <w:szCs w:val="28"/>
          <w:lang w:val="uk-UA"/>
        </w:rPr>
        <w:lastRenderedPageBreak/>
        <w:t xml:space="preserve">у рядку </w:t>
      </w:r>
      <w:r w:rsidR="003152D8" w:rsidRPr="00526F7D">
        <w:rPr>
          <w:sz w:val="28"/>
          <w:szCs w:val="28"/>
          <w:lang w:val="uk-UA"/>
        </w:rPr>
        <w:t>160</w:t>
      </w:r>
      <w:r w:rsidRPr="00526F7D">
        <w:rPr>
          <w:sz w:val="28"/>
          <w:szCs w:val="28"/>
          <w:lang w:val="uk-UA"/>
        </w:rPr>
        <w:t xml:space="preserve"> «</w:t>
      </w:r>
      <w:r w:rsidR="00E0090F" w:rsidRPr="00E0090F">
        <w:rPr>
          <w:sz w:val="28"/>
          <w:szCs w:val="28"/>
          <w:lang w:val="uk-UA"/>
        </w:rPr>
        <w:t>Кількість випадків повернення замовнику заяви про приєднання (розшифрувати в додатку 1)</w:t>
      </w:r>
      <w:r w:rsidRPr="00526F7D">
        <w:rPr>
          <w:sz w:val="28"/>
          <w:szCs w:val="28"/>
          <w:lang w:val="uk-UA"/>
        </w:rPr>
        <w:t>» вказується кількість випадків відмови у приєднанні до мереж ОСР</w:t>
      </w:r>
      <w:r w:rsidR="00A3181A">
        <w:rPr>
          <w:sz w:val="28"/>
          <w:szCs w:val="28"/>
          <w:lang w:val="uk-UA"/>
        </w:rPr>
        <w:t xml:space="preserve"> (</w:t>
      </w:r>
      <w:proofErr w:type="spellStart"/>
      <w:r w:rsidR="00A3181A">
        <w:rPr>
          <w:sz w:val="28"/>
          <w:szCs w:val="28"/>
          <w:lang w:val="uk-UA"/>
        </w:rPr>
        <w:t>повернено</w:t>
      </w:r>
      <w:proofErr w:type="spellEnd"/>
      <w:r w:rsidR="00A3181A">
        <w:rPr>
          <w:sz w:val="28"/>
          <w:szCs w:val="28"/>
          <w:lang w:val="uk-UA"/>
        </w:rPr>
        <w:t xml:space="preserve"> заяви про приєднання)</w:t>
      </w:r>
      <w:r w:rsidRPr="00526F7D">
        <w:rPr>
          <w:sz w:val="28"/>
          <w:szCs w:val="28"/>
          <w:lang w:val="uk-UA"/>
        </w:rPr>
        <w:t>;</w:t>
      </w:r>
    </w:p>
    <w:p w14:paraId="47F4031B" w14:textId="6D9AF294"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8" w:name="n437"/>
      <w:bookmarkEnd w:id="8"/>
      <w:r w:rsidRPr="00526F7D">
        <w:rPr>
          <w:sz w:val="28"/>
          <w:szCs w:val="28"/>
          <w:lang w:val="uk-UA"/>
        </w:rPr>
        <w:t xml:space="preserve">у рядку </w:t>
      </w:r>
      <w:r w:rsidR="003152D8" w:rsidRPr="00526F7D">
        <w:rPr>
          <w:sz w:val="28"/>
          <w:szCs w:val="28"/>
          <w:lang w:val="uk-UA"/>
        </w:rPr>
        <w:t>165</w:t>
      </w:r>
      <w:r w:rsidRPr="00526F7D">
        <w:rPr>
          <w:sz w:val="28"/>
          <w:szCs w:val="28"/>
          <w:lang w:val="uk-UA"/>
        </w:rPr>
        <w:t xml:space="preserve"> «</w:t>
      </w:r>
      <w:r w:rsidR="00896098" w:rsidRPr="00896098">
        <w:rPr>
          <w:sz w:val="28"/>
          <w:szCs w:val="28"/>
          <w:lang w:val="uk-UA"/>
        </w:rPr>
        <w:t>Кількість реалізованих приєднань</w:t>
      </w:r>
      <w:r w:rsidRPr="00526F7D">
        <w:rPr>
          <w:sz w:val="28"/>
          <w:szCs w:val="28"/>
          <w:lang w:val="uk-UA"/>
        </w:rPr>
        <w:t>, з них:» відображаються сумарні дані щодо кількості здійснених приєднань у звітному періоді (кількість укладених актів щодо надання послуги з приєднання)</w:t>
      </w:r>
      <w:r w:rsidR="00A87B1C">
        <w:rPr>
          <w:sz w:val="28"/>
          <w:szCs w:val="28"/>
          <w:lang w:val="uk-UA"/>
        </w:rPr>
        <w:t>, у тому числі приєднань, реалізація яких розпочалась у попередні періоди</w:t>
      </w:r>
      <w:r w:rsidRPr="00526F7D">
        <w:rPr>
          <w:sz w:val="28"/>
          <w:szCs w:val="28"/>
          <w:lang w:val="uk-UA"/>
        </w:rPr>
        <w:t xml:space="preserve">. Значення рядка </w:t>
      </w:r>
      <w:r w:rsidR="001328C3" w:rsidRPr="00526F7D">
        <w:rPr>
          <w:sz w:val="28"/>
          <w:szCs w:val="28"/>
          <w:lang w:val="uk-UA"/>
        </w:rPr>
        <w:t>165</w:t>
      </w:r>
      <w:r w:rsidRPr="00526F7D">
        <w:rPr>
          <w:sz w:val="28"/>
          <w:szCs w:val="28"/>
          <w:lang w:val="uk-UA"/>
        </w:rPr>
        <w:t xml:space="preserve"> дорівнює сумі значень рядків </w:t>
      </w:r>
      <w:r w:rsidR="001328C3" w:rsidRPr="00526F7D">
        <w:rPr>
          <w:sz w:val="28"/>
          <w:szCs w:val="28"/>
          <w:lang w:val="uk-UA"/>
        </w:rPr>
        <w:t>170</w:t>
      </w:r>
      <w:r w:rsidRPr="00526F7D">
        <w:rPr>
          <w:sz w:val="28"/>
          <w:szCs w:val="28"/>
          <w:lang w:val="uk-UA"/>
        </w:rPr>
        <w:t xml:space="preserve"> та </w:t>
      </w:r>
      <w:r w:rsidR="001328C3" w:rsidRPr="00526F7D">
        <w:rPr>
          <w:sz w:val="28"/>
          <w:szCs w:val="28"/>
          <w:lang w:val="uk-UA"/>
        </w:rPr>
        <w:t>220</w:t>
      </w:r>
      <w:r w:rsidRPr="00526F7D">
        <w:rPr>
          <w:sz w:val="28"/>
          <w:szCs w:val="28"/>
          <w:lang w:val="uk-UA"/>
        </w:rPr>
        <w:t>;</w:t>
      </w:r>
    </w:p>
    <w:p w14:paraId="77280869"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55D789AC" w14:textId="49879FB9"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рядку </w:t>
      </w:r>
      <w:r w:rsidR="001328C3" w:rsidRPr="00526F7D">
        <w:rPr>
          <w:sz w:val="28"/>
          <w:szCs w:val="28"/>
          <w:lang w:val="uk-UA"/>
        </w:rPr>
        <w:t>170</w:t>
      </w:r>
      <w:r w:rsidRPr="00526F7D">
        <w:rPr>
          <w:sz w:val="28"/>
          <w:szCs w:val="28"/>
          <w:lang w:val="uk-UA"/>
        </w:rPr>
        <w:t xml:space="preserve"> «Нове приєднання» відображаються сумарні дані щодо кількості здійснених нових приєднань та за типами приєднань (рядки </w:t>
      </w:r>
      <w:r w:rsidR="001328C3" w:rsidRPr="00526F7D">
        <w:rPr>
          <w:sz w:val="28"/>
          <w:szCs w:val="28"/>
          <w:lang w:val="uk-UA"/>
        </w:rPr>
        <w:t>175</w:t>
      </w:r>
      <w:r w:rsidRPr="00526F7D">
        <w:rPr>
          <w:sz w:val="28"/>
          <w:szCs w:val="28"/>
          <w:lang w:val="uk-UA"/>
        </w:rPr>
        <w:t xml:space="preserve"> – </w:t>
      </w:r>
      <w:r w:rsidR="001328C3" w:rsidRPr="00526F7D">
        <w:rPr>
          <w:sz w:val="28"/>
          <w:szCs w:val="28"/>
          <w:lang w:val="uk-UA"/>
        </w:rPr>
        <w:t>190</w:t>
      </w:r>
      <w:r w:rsidRPr="00526F7D">
        <w:rPr>
          <w:sz w:val="28"/>
          <w:szCs w:val="28"/>
          <w:lang w:val="uk-UA"/>
        </w:rPr>
        <w:t>). Значення рядка </w:t>
      </w:r>
      <w:r w:rsidR="001328C3" w:rsidRPr="00526F7D">
        <w:rPr>
          <w:sz w:val="28"/>
          <w:szCs w:val="28"/>
          <w:lang w:val="uk-UA"/>
        </w:rPr>
        <w:t>170</w:t>
      </w:r>
      <w:r w:rsidRPr="00526F7D">
        <w:rPr>
          <w:sz w:val="28"/>
          <w:szCs w:val="28"/>
          <w:lang w:val="uk-UA"/>
        </w:rPr>
        <w:t xml:space="preserve"> дорівнює сумі значень рядків </w:t>
      </w:r>
      <w:r w:rsidR="001328C3" w:rsidRPr="00526F7D">
        <w:rPr>
          <w:sz w:val="28"/>
          <w:szCs w:val="28"/>
          <w:lang w:val="uk-UA"/>
        </w:rPr>
        <w:t>175</w:t>
      </w:r>
      <w:r w:rsidRPr="00526F7D">
        <w:rPr>
          <w:sz w:val="28"/>
          <w:szCs w:val="28"/>
          <w:lang w:val="uk-UA"/>
        </w:rPr>
        <w:t xml:space="preserve"> та </w:t>
      </w:r>
      <w:r w:rsidR="001328C3" w:rsidRPr="00526F7D">
        <w:rPr>
          <w:sz w:val="28"/>
          <w:szCs w:val="28"/>
          <w:lang w:val="uk-UA"/>
        </w:rPr>
        <w:t>190</w:t>
      </w:r>
      <w:r w:rsidRPr="00526F7D">
        <w:rPr>
          <w:sz w:val="28"/>
          <w:szCs w:val="28"/>
          <w:lang w:val="uk-UA"/>
        </w:rPr>
        <w:t>;</w:t>
      </w:r>
    </w:p>
    <w:p w14:paraId="48C96A1E"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44CB412A" w14:textId="59581B24" w:rsidR="00A87B1C"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 xml:space="preserve">у рядку </w:t>
      </w:r>
      <w:r w:rsidR="001328C3" w:rsidRPr="00526F7D">
        <w:rPr>
          <w:sz w:val="28"/>
          <w:szCs w:val="28"/>
          <w:lang w:val="uk-UA"/>
        </w:rPr>
        <w:t>2</w:t>
      </w:r>
      <w:r w:rsidR="00142A28" w:rsidRPr="00526F7D">
        <w:rPr>
          <w:sz w:val="28"/>
          <w:szCs w:val="28"/>
          <w:lang w:val="uk-UA"/>
        </w:rPr>
        <w:t>0</w:t>
      </w:r>
      <w:r w:rsidR="001328C3" w:rsidRPr="00526F7D">
        <w:rPr>
          <w:sz w:val="28"/>
          <w:szCs w:val="28"/>
          <w:lang w:val="uk-UA"/>
        </w:rPr>
        <w:t>0</w:t>
      </w:r>
      <w:r w:rsidRPr="00526F7D">
        <w:rPr>
          <w:sz w:val="28"/>
          <w:szCs w:val="28"/>
          <w:lang w:val="uk-UA"/>
        </w:rPr>
        <w:t xml:space="preserve"> «Зміна технічних параметрів» відображаються сумарні дані щодо кількості здійснених приєднань з метою зміни технічних параметрів та за типами приєднань (рядки </w:t>
      </w:r>
      <w:r w:rsidR="00142A28" w:rsidRPr="00526F7D">
        <w:rPr>
          <w:sz w:val="28"/>
          <w:szCs w:val="28"/>
          <w:lang w:val="uk-UA"/>
        </w:rPr>
        <w:t>205</w:t>
      </w:r>
      <w:r w:rsidRPr="00526F7D">
        <w:rPr>
          <w:sz w:val="28"/>
          <w:szCs w:val="28"/>
          <w:lang w:val="uk-UA"/>
        </w:rPr>
        <w:t xml:space="preserve"> – </w:t>
      </w:r>
      <w:r w:rsidR="001328C3" w:rsidRPr="00526F7D">
        <w:rPr>
          <w:sz w:val="28"/>
          <w:szCs w:val="28"/>
          <w:lang w:val="uk-UA"/>
        </w:rPr>
        <w:t>2</w:t>
      </w:r>
      <w:r w:rsidR="00142A28" w:rsidRPr="00526F7D">
        <w:rPr>
          <w:sz w:val="28"/>
          <w:szCs w:val="28"/>
          <w:lang w:val="uk-UA"/>
        </w:rPr>
        <w:t>2</w:t>
      </w:r>
      <w:r w:rsidR="001328C3" w:rsidRPr="00526F7D">
        <w:rPr>
          <w:sz w:val="28"/>
          <w:szCs w:val="28"/>
          <w:lang w:val="uk-UA"/>
        </w:rPr>
        <w:t>0</w:t>
      </w:r>
      <w:r w:rsidRPr="00526F7D">
        <w:rPr>
          <w:sz w:val="28"/>
          <w:szCs w:val="28"/>
          <w:lang w:val="uk-UA"/>
        </w:rPr>
        <w:t>). Значення рядка </w:t>
      </w:r>
      <w:r w:rsidR="001328C3" w:rsidRPr="00526F7D">
        <w:rPr>
          <w:sz w:val="28"/>
          <w:szCs w:val="28"/>
          <w:lang w:val="uk-UA"/>
        </w:rPr>
        <w:t>2</w:t>
      </w:r>
      <w:r w:rsidR="00142A28" w:rsidRPr="00526F7D">
        <w:rPr>
          <w:sz w:val="28"/>
          <w:szCs w:val="28"/>
          <w:lang w:val="uk-UA"/>
        </w:rPr>
        <w:t>0</w:t>
      </w:r>
      <w:r w:rsidR="001328C3" w:rsidRPr="00526F7D">
        <w:rPr>
          <w:sz w:val="28"/>
          <w:szCs w:val="28"/>
          <w:lang w:val="uk-UA"/>
        </w:rPr>
        <w:t>0</w:t>
      </w:r>
      <w:r w:rsidRPr="00526F7D">
        <w:rPr>
          <w:sz w:val="28"/>
          <w:szCs w:val="28"/>
          <w:lang w:val="uk-UA"/>
        </w:rPr>
        <w:t xml:space="preserve"> дорівнює сумі значень рядків </w:t>
      </w:r>
      <w:r w:rsidR="001328C3" w:rsidRPr="00526F7D">
        <w:rPr>
          <w:sz w:val="28"/>
          <w:szCs w:val="28"/>
          <w:lang w:val="uk-UA"/>
        </w:rPr>
        <w:t>2</w:t>
      </w:r>
      <w:r w:rsidR="00142A28" w:rsidRPr="00526F7D">
        <w:rPr>
          <w:sz w:val="28"/>
          <w:szCs w:val="28"/>
          <w:lang w:val="uk-UA"/>
        </w:rPr>
        <w:t>0</w:t>
      </w:r>
      <w:r w:rsidR="001328C3" w:rsidRPr="00526F7D">
        <w:rPr>
          <w:sz w:val="28"/>
          <w:szCs w:val="28"/>
          <w:lang w:val="uk-UA"/>
        </w:rPr>
        <w:t>5</w:t>
      </w:r>
      <w:r w:rsidRPr="00526F7D">
        <w:rPr>
          <w:sz w:val="28"/>
          <w:szCs w:val="28"/>
          <w:lang w:val="uk-UA"/>
        </w:rPr>
        <w:t xml:space="preserve"> та </w:t>
      </w:r>
      <w:r w:rsidR="001328C3" w:rsidRPr="00526F7D">
        <w:rPr>
          <w:sz w:val="28"/>
          <w:szCs w:val="28"/>
          <w:lang w:val="uk-UA"/>
        </w:rPr>
        <w:t>2</w:t>
      </w:r>
      <w:r w:rsidR="00142A28" w:rsidRPr="00526F7D">
        <w:rPr>
          <w:sz w:val="28"/>
          <w:szCs w:val="28"/>
          <w:lang w:val="uk-UA"/>
        </w:rPr>
        <w:t>2</w:t>
      </w:r>
      <w:r w:rsidR="001328C3" w:rsidRPr="00526F7D">
        <w:rPr>
          <w:sz w:val="28"/>
          <w:szCs w:val="28"/>
          <w:lang w:val="uk-UA"/>
        </w:rPr>
        <w:t>0</w:t>
      </w:r>
      <w:r w:rsidRPr="00526F7D">
        <w:rPr>
          <w:sz w:val="28"/>
          <w:szCs w:val="28"/>
          <w:lang w:val="uk-UA"/>
        </w:rPr>
        <w:t>;</w:t>
      </w:r>
    </w:p>
    <w:p w14:paraId="08FE1DE2" w14:textId="77777777" w:rsidR="00A87B1C" w:rsidRPr="009B3E63" w:rsidRDefault="00A87B1C" w:rsidP="007A0F37">
      <w:pPr>
        <w:pStyle w:val="rvps2"/>
        <w:shd w:val="clear" w:color="auto" w:fill="FFFFFF"/>
        <w:tabs>
          <w:tab w:val="left" w:pos="709"/>
        </w:tabs>
        <w:spacing w:before="0" w:beforeAutospacing="0" w:after="0" w:afterAutospacing="0"/>
        <w:ind w:firstLine="709"/>
        <w:jc w:val="both"/>
        <w:rPr>
          <w:sz w:val="28"/>
          <w:szCs w:val="28"/>
          <w:lang w:val="uk-UA"/>
        </w:rPr>
      </w:pPr>
    </w:p>
    <w:p w14:paraId="4636F113" w14:textId="44D7A342" w:rsidR="00A87B1C" w:rsidRPr="00526F7D" w:rsidRDefault="00A87B1C"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Pr>
          <w:sz w:val="28"/>
          <w:szCs w:val="28"/>
          <w:lang w:val="uk-UA"/>
        </w:rPr>
        <w:t>у рядку 225 «</w:t>
      </w:r>
      <w:r w:rsidRPr="00A87B1C">
        <w:rPr>
          <w:sz w:val="28"/>
          <w:szCs w:val="28"/>
          <w:lang w:val="uk-UA"/>
        </w:rPr>
        <w:t>Кількість реалізованих приєднань до електричних мереж інших суб'єктів господарювання</w:t>
      </w:r>
      <w:r>
        <w:rPr>
          <w:sz w:val="28"/>
          <w:szCs w:val="28"/>
          <w:lang w:val="uk-UA"/>
        </w:rPr>
        <w:t xml:space="preserve">» </w:t>
      </w:r>
      <w:r w:rsidRPr="00526F7D">
        <w:rPr>
          <w:sz w:val="28"/>
          <w:szCs w:val="28"/>
          <w:lang w:val="uk-UA"/>
        </w:rPr>
        <w:t>відображаються сумарні дані щодо</w:t>
      </w:r>
      <w:r>
        <w:rPr>
          <w:sz w:val="28"/>
          <w:szCs w:val="28"/>
          <w:lang w:val="uk-UA"/>
        </w:rPr>
        <w:t xml:space="preserve"> </w:t>
      </w:r>
      <w:r w:rsidRPr="00526F7D">
        <w:rPr>
          <w:sz w:val="28"/>
          <w:szCs w:val="28"/>
          <w:lang w:val="uk-UA"/>
        </w:rPr>
        <w:t>кількості здійснених приєднань</w:t>
      </w:r>
      <w:r>
        <w:rPr>
          <w:sz w:val="28"/>
          <w:szCs w:val="28"/>
          <w:lang w:val="uk-UA"/>
        </w:rPr>
        <w:t xml:space="preserve"> до електричних мереж інших суб’єктів господарювання, що здійснюються згідно з пунктом </w:t>
      </w:r>
      <w:r w:rsidR="002E5FD2">
        <w:rPr>
          <w:sz w:val="28"/>
          <w:szCs w:val="28"/>
          <w:lang w:val="uk-UA"/>
        </w:rPr>
        <w:t xml:space="preserve">4.1.11 глави 4.1 розділу </w:t>
      </w:r>
      <w:r w:rsidR="002E5FD2">
        <w:rPr>
          <w:sz w:val="28"/>
          <w:szCs w:val="28"/>
          <w:lang w:val="en-US"/>
        </w:rPr>
        <w:t>IV</w:t>
      </w:r>
      <w:r w:rsidR="002E5FD2" w:rsidRPr="009B3E63">
        <w:rPr>
          <w:sz w:val="28"/>
          <w:szCs w:val="28"/>
          <w:lang w:val="uk-UA"/>
        </w:rPr>
        <w:t xml:space="preserve"> </w:t>
      </w:r>
      <w:r w:rsidR="002E5FD2">
        <w:rPr>
          <w:sz w:val="28"/>
          <w:szCs w:val="28"/>
          <w:lang w:val="uk-UA"/>
        </w:rPr>
        <w:t>КСР;</w:t>
      </w:r>
    </w:p>
    <w:p w14:paraId="754ADB0B"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53C21B46" w14:textId="5884EDAD" w:rsidR="0060466B"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r w:rsidRPr="00526F7D">
        <w:rPr>
          <w:sz w:val="28"/>
          <w:szCs w:val="28"/>
          <w:lang w:val="uk-UA"/>
        </w:rPr>
        <w:t>у рядку 2</w:t>
      </w:r>
      <w:r w:rsidR="00142A28" w:rsidRPr="00526F7D">
        <w:rPr>
          <w:sz w:val="28"/>
          <w:szCs w:val="28"/>
          <w:lang w:val="uk-UA"/>
        </w:rPr>
        <w:t>3</w:t>
      </w:r>
      <w:r w:rsidRPr="00526F7D">
        <w:rPr>
          <w:sz w:val="28"/>
          <w:szCs w:val="28"/>
          <w:lang w:val="uk-UA"/>
        </w:rPr>
        <w:t>0 «Кількість реалізованих приєднань тимчасових (сезонних) об’єктів» відображаються сумарні дані щодо кількості здійснених приєднань тимчасових (сезонних) об’єктів</w:t>
      </w:r>
      <w:r w:rsidR="002E5FD2">
        <w:rPr>
          <w:sz w:val="28"/>
          <w:szCs w:val="28"/>
          <w:lang w:val="uk-UA"/>
        </w:rPr>
        <w:t xml:space="preserve"> (</w:t>
      </w:r>
      <w:r w:rsidR="002E5FD2" w:rsidRPr="002E5FD2">
        <w:rPr>
          <w:sz w:val="28"/>
          <w:szCs w:val="28"/>
          <w:lang w:val="uk-UA"/>
        </w:rPr>
        <w:t>пересувн</w:t>
      </w:r>
      <w:r w:rsidR="002E5FD2">
        <w:rPr>
          <w:sz w:val="28"/>
          <w:szCs w:val="28"/>
          <w:lang w:val="uk-UA"/>
        </w:rPr>
        <w:t>их</w:t>
      </w:r>
      <w:r w:rsidR="002E5FD2" w:rsidRPr="002E5FD2">
        <w:rPr>
          <w:sz w:val="28"/>
          <w:szCs w:val="28"/>
          <w:lang w:val="uk-UA"/>
        </w:rPr>
        <w:t xml:space="preserve"> розважальн</w:t>
      </w:r>
      <w:r w:rsidR="002E5FD2">
        <w:rPr>
          <w:sz w:val="28"/>
          <w:szCs w:val="28"/>
          <w:lang w:val="uk-UA"/>
        </w:rPr>
        <w:t>их</w:t>
      </w:r>
      <w:r w:rsidR="002E5FD2" w:rsidRPr="002E5FD2">
        <w:rPr>
          <w:sz w:val="28"/>
          <w:szCs w:val="28"/>
          <w:lang w:val="uk-UA"/>
        </w:rPr>
        <w:t xml:space="preserve"> заклад</w:t>
      </w:r>
      <w:r w:rsidR="002E5FD2">
        <w:rPr>
          <w:sz w:val="28"/>
          <w:szCs w:val="28"/>
          <w:lang w:val="uk-UA"/>
        </w:rPr>
        <w:t>ів</w:t>
      </w:r>
      <w:r w:rsidR="002E5FD2" w:rsidRPr="002E5FD2">
        <w:rPr>
          <w:sz w:val="28"/>
          <w:szCs w:val="28"/>
          <w:lang w:val="uk-UA"/>
        </w:rPr>
        <w:t>, тимчасов</w:t>
      </w:r>
      <w:r w:rsidR="002E5FD2">
        <w:rPr>
          <w:sz w:val="28"/>
          <w:szCs w:val="28"/>
          <w:lang w:val="uk-UA"/>
        </w:rPr>
        <w:t>их</w:t>
      </w:r>
      <w:r w:rsidR="002E5FD2" w:rsidRPr="002E5FD2">
        <w:rPr>
          <w:sz w:val="28"/>
          <w:szCs w:val="28"/>
          <w:lang w:val="uk-UA"/>
        </w:rPr>
        <w:t xml:space="preserve"> споруд для здійснення господарської діяльності, буров</w:t>
      </w:r>
      <w:r w:rsidR="002E5FD2">
        <w:rPr>
          <w:sz w:val="28"/>
          <w:szCs w:val="28"/>
          <w:lang w:val="uk-UA"/>
        </w:rPr>
        <w:t>их</w:t>
      </w:r>
      <w:r w:rsidR="002E5FD2" w:rsidRPr="002E5FD2">
        <w:rPr>
          <w:sz w:val="28"/>
          <w:szCs w:val="28"/>
          <w:lang w:val="uk-UA"/>
        </w:rPr>
        <w:t>, земснаряд</w:t>
      </w:r>
      <w:r w:rsidR="002E5FD2">
        <w:rPr>
          <w:sz w:val="28"/>
          <w:szCs w:val="28"/>
          <w:lang w:val="uk-UA"/>
        </w:rPr>
        <w:t>ів</w:t>
      </w:r>
      <w:r w:rsidR="002E5FD2" w:rsidRPr="002E5FD2">
        <w:rPr>
          <w:sz w:val="28"/>
          <w:szCs w:val="28"/>
          <w:lang w:val="uk-UA"/>
        </w:rPr>
        <w:t xml:space="preserve"> тощо</w:t>
      </w:r>
      <w:r w:rsidR="002E5FD2">
        <w:rPr>
          <w:sz w:val="28"/>
          <w:szCs w:val="28"/>
          <w:lang w:val="uk-UA"/>
        </w:rPr>
        <w:t xml:space="preserve">), що здійснюються згідно з пунктом 4.1.22 глави 4.1 розділу </w:t>
      </w:r>
      <w:r w:rsidR="002E5FD2">
        <w:rPr>
          <w:sz w:val="28"/>
          <w:szCs w:val="28"/>
          <w:lang w:val="en-US"/>
        </w:rPr>
        <w:t>IV</w:t>
      </w:r>
      <w:r w:rsidR="002E5FD2" w:rsidRPr="00E75934">
        <w:rPr>
          <w:sz w:val="28"/>
          <w:szCs w:val="28"/>
          <w:lang w:val="uk-UA"/>
        </w:rPr>
        <w:t xml:space="preserve"> </w:t>
      </w:r>
      <w:r w:rsidR="002E5FD2">
        <w:rPr>
          <w:sz w:val="28"/>
          <w:szCs w:val="28"/>
          <w:lang w:val="uk-UA"/>
        </w:rPr>
        <w:t>КСР</w:t>
      </w:r>
      <w:r w:rsidRPr="00526F7D">
        <w:rPr>
          <w:sz w:val="28"/>
          <w:szCs w:val="28"/>
          <w:lang w:val="uk-UA"/>
        </w:rPr>
        <w:t>;</w:t>
      </w:r>
    </w:p>
    <w:p w14:paraId="589D2405" w14:textId="77777777" w:rsidR="001328C3" w:rsidRPr="00526F7D" w:rsidRDefault="001328C3" w:rsidP="007A0F37">
      <w:pPr>
        <w:pStyle w:val="rvps2"/>
        <w:shd w:val="clear" w:color="auto" w:fill="FFFFFF"/>
        <w:tabs>
          <w:tab w:val="left" w:pos="709"/>
        </w:tabs>
        <w:spacing w:before="0" w:beforeAutospacing="0" w:after="0" w:afterAutospacing="0"/>
        <w:ind w:firstLine="709"/>
        <w:jc w:val="both"/>
        <w:rPr>
          <w:sz w:val="28"/>
          <w:szCs w:val="28"/>
          <w:lang w:val="uk-UA"/>
        </w:rPr>
      </w:pPr>
    </w:p>
    <w:p w14:paraId="1F7BBA9F" w14:textId="7E9EF3FD" w:rsidR="0060466B" w:rsidRPr="00526F7D" w:rsidRDefault="0060466B" w:rsidP="007A0F37">
      <w:pPr>
        <w:pStyle w:val="rvps2"/>
        <w:numPr>
          <w:ilvl w:val="0"/>
          <w:numId w:val="9"/>
        </w:numPr>
        <w:shd w:val="clear" w:color="auto" w:fill="FFFFFF"/>
        <w:tabs>
          <w:tab w:val="left" w:pos="709"/>
        </w:tabs>
        <w:spacing w:before="0" w:beforeAutospacing="0" w:after="0" w:afterAutospacing="0"/>
        <w:ind w:left="0" w:firstLine="709"/>
        <w:jc w:val="both"/>
        <w:rPr>
          <w:sz w:val="28"/>
          <w:szCs w:val="28"/>
          <w:lang w:val="uk-UA"/>
        </w:rPr>
      </w:pPr>
      <w:bookmarkStart w:id="9" w:name="n439"/>
      <w:bookmarkEnd w:id="9"/>
      <w:r w:rsidRPr="00526F7D">
        <w:rPr>
          <w:sz w:val="28"/>
          <w:szCs w:val="28"/>
          <w:lang w:val="uk-UA"/>
        </w:rPr>
        <w:t>у рядку 2</w:t>
      </w:r>
      <w:r w:rsidR="00142A28" w:rsidRPr="00526F7D">
        <w:rPr>
          <w:sz w:val="28"/>
          <w:szCs w:val="28"/>
          <w:lang w:val="uk-UA"/>
        </w:rPr>
        <w:t>3</w:t>
      </w:r>
      <w:r w:rsidRPr="00526F7D">
        <w:rPr>
          <w:sz w:val="28"/>
          <w:szCs w:val="28"/>
          <w:lang w:val="uk-UA"/>
        </w:rPr>
        <w:t>5 «Залишились незавершеними у звітному періоді (перенесені на наступний період)» відображаються сумарні дані щодо приєднань, які залишилися незавершеними у звітному періоді та будуть виконані в наступних періодах</w:t>
      </w:r>
      <w:r w:rsidR="00A3181A">
        <w:rPr>
          <w:sz w:val="28"/>
          <w:szCs w:val="28"/>
          <w:lang w:val="uk-UA"/>
        </w:rPr>
        <w:t xml:space="preserve"> (</w:t>
      </w:r>
      <w:r w:rsidR="00A3181A" w:rsidRPr="00A3181A">
        <w:rPr>
          <w:sz w:val="28"/>
          <w:szCs w:val="28"/>
          <w:lang w:val="uk-UA"/>
        </w:rPr>
        <w:t>для яких триває процедура надання послуги з приєднання</w:t>
      </w:r>
      <w:r w:rsidR="00A3181A">
        <w:rPr>
          <w:sz w:val="28"/>
          <w:szCs w:val="28"/>
          <w:lang w:val="uk-UA"/>
        </w:rPr>
        <w:t>)</w:t>
      </w:r>
      <w:r w:rsidR="00907B49" w:rsidRPr="00526F7D">
        <w:rPr>
          <w:sz w:val="28"/>
          <w:szCs w:val="28"/>
          <w:lang w:val="uk-UA"/>
        </w:rPr>
        <w:t>,</w:t>
      </w:r>
      <w:r w:rsidRPr="00526F7D">
        <w:rPr>
          <w:sz w:val="28"/>
          <w:szCs w:val="28"/>
          <w:lang w:val="uk-UA"/>
        </w:rPr>
        <w:t xml:space="preserve"> та за типами приєднань (рядки 2</w:t>
      </w:r>
      <w:r w:rsidR="00142A28" w:rsidRPr="00526F7D">
        <w:rPr>
          <w:sz w:val="28"/>
          <w:szCs w:val="28"/>
          <w:lang w:val="uk-UA"/>
        </w:rPr>
        <w:t>4</w:t>
      </w:r>
      <w:r w:rsidRPr="00526F7D">
        <w:rPr>
          <w:sz w:val="28"/>
          <w:szCs w:val="28"/>
          <w:lang w:val="uk-UA"/>
        </w:rPr>
        <w:t>0 – 2</w:t>
      </w:r>
      <w:r w:rsidR="00142A28" w:rsidRPr="00526F7D">
        <w:rPr>
          <w:sz w:val="28"/>
          <w:szCs w:val="28"/>
          <w:lang w:val="uk-UA"/>
        </w:rPr>
        <w:t>5</w:t>
      </w:r>
      <w:r w:rsidRPr="00526F7D">
        <w:rPr>
          <w:sz w:val="28"/>
          <w:szCs w:val="28"/>
          <w:lang w:val="uk-UA"/>
        </w:rPr>
        <w:t>5)</w:t>
      </w:r>
      <w:r w:rsidR="001328C3" w:rsidRPr="00526F7D">
        <w:rPr>
          <w:sz w:val="28"/>
          <w:szCs w:val="28"/>
          <w:lang w:val="uk-UA"/>
        </w:rPr>
        <w:t>. Значення рядка 2</w:t>
      </w:r>
      <w:r w:rsidR="00142A28" w:rsidRPr="00526F7D">
        <w:rPr>
          <w:sz w:val="28"/>
          <w:szCs w:val="28"/>
          <w:lang w:val="uk-UA"/>
        </w:rPr>
        <w:t>3</w:t>
      </w:r>
      <w:r w:rsidR="001328C3" w:rsidRPr="00526F7D">
        <w:rPr>
          <w:sz w:val="28"/>
          <w:szCs w:val="28"/>
          <w:lang w:val="uk-UA"/>
        </w:rPr>
        <w:t>5 дорівнює сумі значень рядків 2</w:t>
      </w:r>
      <w:r w:rsidR="00142A28" w:rsidRPr="00526F7D">
        <w:rPr>
          <w:sz w:val="28"/>
          <w:szCs w:val="28"/>
          <w:lang w:val="uk-UA"/>
        </w:rPr>
        <w:t>4</w:t>
      </w:r>
      <w:r w:rsidR="001328C3" w:rsidRPr="00526F7D">
        <w:rPr>
          <w:sz w:val="28"/>
          <w:szCs w:val="28"/>
          <w:lang w:val="uk-UA"/>
        </w:rPr>
        <w:t>0 та 2</w:t>
      </w:r>
      <w:r w:rsidR="00142A28" w:rsidRPr="00526F7D">
        <w:rPr>
          <w:sz w:val="28"/>
          <w:szCs w:val="28"/>
          <w:lang w:val="uk-UA"/>
        </w:rPr>
        <w:t>5</w:t>
      </w:r>
      <w:r w:rsidR="001328C3" w:rsidRPr="00526F7D">
        <w:rPr>
          <w:sz w:val="28"/>
          <w:szCs w:val="28"/>
          <w:lang w:val="uk-UA"/>
        </w:rPr>
        <w:t>5</w:t>
      </w:r>
      <w:r w:rsidRPr="00526F7D">
        <w:rPr>
          <w:sz w:val="28"/>
          <w:szCs w:val="28"/>
          <w:lang w:val="uk-UA"/>
        </w:rPr>
        <w:t>;</w:t>
      </w:r>
    </w:p>
    <w:p w14:paraId="68B32154" w14:textId="77777777" w:rsidR="0060466B" w:rsidRPr="00526F7D" w:rsidRDefault="0060466B" w:rsidP="007A0F37">
      <w:pPr>
        <w:pStyle w:val="rvps2"/>
        <w:shd w:val="clear" w:color="auto" w:fill="FFFFFF"/>
        <w:tabs>
          <w:tab w:val="left" w:pos="709"/>
        </w:tabs>
        <w:spacing w:before="0" w:beforeAutospacing="0" w:after="0" w:afterAutospacing="0"/>
        <w:ind w:firstLine="709"/>
        <w:jc w:val="both"/>
        <w:rPr>
          <w:sz w:val="28"/>
          <w:szCs w:val="28"/>
          <w:lang w:val="uk-UA"/>
        </w:rPr>
      </w:pPr>
    </w:p>
    <w:p w14:paraId="3B127CDE" w14:textId="68E5E5C1" w:rsidR="0060466B" w:rsidRPr="00526F7D" w:rsidRDefault="0060466B" w:rsidP="007A0F37">
      <w:pPr>
        <w:pStyle w:val="rvps2"/>
        <w:numPr>
          <w:ilvl w:val="0"/>
          <w:numId w:val="9"/>
        </w:numPr>
        <w:shd w:val="clear" w:color="auto" w:fill="FFFFFF"/>
        <w:tabs>
          <w:tab w:val="left" w:pos="851"/>
        </w:tabs>
        <w:spacing w:before="0" w:beforeAutospacing="0" w:after="0" w:afterAutospacing="0"/>
        <w:ind w:left="0" w:firstLine="709"/>
        <w:jc w:val="both"/>
        <w:rPr>
          <w:sz w:val="28"/>
          <w:szCs w:val="28"/>
          <w:lang w:val="uk-UA"/>
        </w:rPr>
      </w:pPr>
      <w:bookmarkStart w:id="10" w:name="n440"/>
      <w:bookmarkEnd w:id="10"/>
      <w:r w:rsidRPr="00526F7D">
        <w:rPr>
          <w:sz w:val="28"/>
          <w:szCs w:val="28"/>
          <w:lang w:val="uk-UA"/>
        </w:rPr>
        <w:t xml:space="preserve">у рядку </w:t>
      </w:r>
      <w:r w:rsidR="00142A28" w:rsidRPr="00526F7D">
        <w:rPr>
          <w:sz w:val="28"/>
          <w:szCs w:val="28"/>
          <w:lang w:val="uk-UA"/>
        </w:rPr>
        <w:t>260</w:t>
      </w:r>
      <w:r w:rsidRPr="00526F7D">
        <w:rPr>
          <w:sz w:val="28"/>
          <w:szCs w:val="28"/>
          <w:lang w:val="uk-UA"/>
        </w:rPr>
        <w:t xml:space="preserve"> «Середня тривалість виконання робіт з приєднання» відображаються сумарні дані щодо середньої тривалості виконання робіт з приєднання, які були завершені у звітному періоді</w:t>
      </w:r>
      <w:r w:rsidR="00B87A9C">
        <w:rPr>
          <w:sz w:val="28"/>
          <w:szCs w:val="28"/>
          <w:lang w:val="uk-UA"/>
        </w:rPr>
        <w:t xml:space="preserve"> (незалежно від дати початку </w:t>
      </w:r>
      <w:r w:rsidR="00741C18">
        <w:rPr>
          <w:sz w:val="28"/>
          <w:szCs w:val="28"/>
          <w:lang w:val="uk-UA"/>
        </w:rPr>
        <w:t>приєднання</w:t>
      </w:r>
      <w:r w:rsidR="00B87A9C">
        <w:rPr>
          <w:sz w:val="28"/>
          <w:szCs w:val="28"/>
          <w:lang w:val="uk-UA"/>
        </w:rPr>
        <w:t>)</w:t>
      </w:r>
      <w:r w:rsidR="00907B49" w:rsidRPr="00526F7D">
        <w:rPr>
          <w:sz w:val="28"/>
          <w:szCs w:val="28"/>
          <w:lang w:val="uk-UA"/>
        </w:rPr>
        <w:t>,</w:t>
      </w:r>
      <w:r w:rsidRPr="00526F7D">
        <w:rPr>
          <w:sz w:val="28"/>
          <w:szCs w:val="28"/>
          <w:lang w:val="uk-UA"/>
        </w:rPr>
        <w:t xml:space="preserve"> та за типами приєднань (рядки </w:t>
      </w:r>
      <w:r w:rsidR="00CA2A08" w:rsidRPr="00526F7D">
        <w:rPr>
          <w:sz w:val="28"/>
          <w:szCs w:val="28"/>
          <w:lang w:val="uk-UA"/>
        </w:rPr>
        <w:t>265</w:t>
      </w:r>
      <w:r w:rsidRPr="00526F7D">
        <w:rPr>
          <w:sz w:val="28"/>
          <w:szCs w:val="28"/>
          <w:lang w:val="uk-UA"/>
        </w:rPr>
        <w:t xml:space="preserve"> – </w:t>
      </w:r>
      <w:r w:rsidR="00CA2A08" w:rsidRPr="00526F7D">
        <w:rPr>
          <w:sz w:val="28"/>
          <w:szCs w:val="28"/>
          <w:lang w:val="uk-UA"/>
        </w:rPr>
        <w:t>28</w:t>
      </w:r>
      <w:r w:rsidR="001328C3" w:rsidRPr="00526F7D">
        <w:rPr>
          <w:sz w:val="28"/>
          <w:szCs w:val="28"/>
          <w:lang w:val="uk-UA"/>
        </w:rPr>
        <w:t>0</w:t>
      </w:r>
      <w:r w:rsidRPr="00526F7D">
        <w:rPr>
          <w:sz w:val="28"/>
          <w:szCs w:val="28"/>
          <w:lang w:val="uk-UA"/>
        </w:rPr>
        <w:t>).</w:t>
      </w:r>
    </w:p>
    <w:p w14:paraId="4F4D12F6" w14:textId="1EB91DAE"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bookmarkStart w:id="11" w:name="n441"/>
      <w:bookmarkEnd w:id="11"/>
      <w:r w:rsidRPr="00526F7D">
        <w:rPr>
          <w:sz w:val="28"/>
          <w:szCs w:val="28"/>
          <w:lang w:val="uk-UA"/>
        </w:rPr>
        <w:t>Тривалість виконання робіт з приєднання дорівнює кількості календарних днів</w:t>
      </w:r>
      <w:r w:rsidR="00B87A9C">
        <w:rPr>
          <w:sz w:val="28"/>
          <w:szCs w:val="28"/>
          <w:lang w:val="uk-UA"/>
        </w:rPr>
        <w:t>, починаючи з наступного дня від д</w:t>
      </w:r>
      <w:r w:rsidRPr="00526F7D">
        <w:rPr>
          <w:sz w:val="28"/>
          <w:szCs w:val="28"/>
          <w:lang w:val="uk-UA"/>
        </w:rPr>
        <w:t xml:space="preserve">ати оплати замовником послуги з приєднання до дати </w:t>
      </w:r>
      <w:r w:rsidR="00B87A9C">
        <w:rPr>
          <w:sz w:val="28"/>
          <w:szCs w:val="28"/>
          <w:lang w:val="uk-UA"/>
        </w:rPr>
        <w:t xml:space="preserve">подачі напруги та надання замовнику повідомлення про </w:t>
      </w:r>
      <w:r w:rsidR="00B87A9C">
        <w:rPr>
          <w:sz w:val="28"/>
          <w:szCs w:val="28"/>
          <w:lang w:val="uk-UA"/>
        </w:rPr>
        <w:lastRenderedPageBreak/>
        <w:t>надання послуги з приєднання</w:t>
      </w:r>
      <w:r w:rsidRPr="00526F7D">
        <w:rPr>
          <w:sz w:val="28"/>
          <w:szCs w:val="28"/>
          <w:lang w:val="uk-UA"/>
        </w:rPr>
        <w:t xml:space="preserve">. Значення рядка </w:t>
      </w:r>
      <w:r w:rsidR="00CA2A08" w:rsidRPr="00526F7D">
        <w:rPr>
          <w:sz w:val="28"/>
          <w:szCs w:val="28"/>
          <w:lang w:val="uk-UA"/>
        </w:rPr>
        <w:t>265</w:t>
      </w:r>
      <w:r w:rsidRPr="00526F7D">
        <w:rPr>
          <w:sz w:val="28"/>
          <w:szCs w:val="28"/>
          <w:lang w:val="uk-UA"/>
        </w:rPr>
        <w:t xml:space="preserve"> дорівнює середньозваженому (на кількість реалізованих приєднань) значенню рядків </w:t>
      </w:r>
      <w:r w:rsidR="00CA2A08" w:rsidRPr="00526F7D">
        <w:rPr>
          <w:sz w:val="28"/>
          <w:szCs w:val="28"/>
          <w:lang w:val="uk-UA"/>
        </w:rPr>
        <w:t>270</w:t>
      </w:r>
      <w:r w:rsidRPr="00526F7D">
        <w:rPr>
          <w:sz w:val="28"/>
          <w:szCs w:val="28"/>
          <w:lang w:val="uk-UA"/>
        </w:rPr>
        <w:t xml:space="preserve"> та </w:t>
      </w:r>
      <w:r w:rsidR="00CA2A08" w:rsidRPr="00526F7D">
        <w:rPr>
          <w:sz w:val="28"/>
          <w:szCs w:val="28"/>
          <w:lang w:val="uk-UA"/>
        </w:rPr>
        <w:t>275</w:t>
      </w:r>
      <w:r w:rsidRPr="00526F7D">
        <w:rPr>
          <w:sz w:val="28"/>
          <w:szCs w:val="28"/>
          <w:lang w:val="uk-UA"/>
        </w:rPr>
        <w:t>.</w:t>
      </w:r>
    </w:p>
    <w:p w14:paraId="5ADD37B0"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p>
    <w:p w14:paraId="73AE5059" w14:textId="25CF4B35"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3.4. У розділі IV «</w:t>
      </w:r>
      <w:r w:rsidR="00A3181A" w:rsidRPr="00A3181A">
        <w:rPr>
          <w:sz w:val="28"/>
          <w:szCs w:val="28"/>
          <w:lang w:val="uk-UA"/>
        </w:rPr>
        <w:t>Інформація щодо потужності приєднання</w:t>
      </w:r>
      <w:r w:rsidRPr="00526F7D">
        <w:rPr>
          <w:sz w:val="28"/>
          <w:szCs w:val="28"/>
          <w:lang w:val="uk-UA"/>
        </w:rPr>
        <w:t xml:space="preserve">» відображається інформація щодо кількості </w:t>
      </w:r>
      <w:r w:rsidR="00A3181A">
        <w:rPr>
          <w:sz w:val="28"/>
          <w:szCs w:val="28"/>
          <w:lang w:val="uk-UA"/>
        </w:rPr>
        <w:t xml:space="preserve">та потужності </w:t>
      </w:r>
      <w:r w:rsidRPr="00526F7D">
        <w:rPr>
          <w:sz w:val="28"/>
          <w:szCs w:val="28"/>
          <w:lang w:val="uk-UA"/>
        </w:rPr>
        <w:t>реалізованих приєднань протягом звітного періоду та вартості виконання приєднань:</w:t>
      </w:r>
    </w:p>
    <w:p w14:paraId="014D5861" w14:textId="77777777" w:rsidR="0060466B" w:rsidRPr="00526F7D" w:rsidRDefault="0060466B" w:rsidP="007A0F37">
      <w:pPr>
        <w:pStyle w:val="rvps2"/>
        <w:shd w:val="clear" w:color="auto" w:fill="FFFFFF"/>
        <w:spacing w:before="0" w:beforeAutospacing="0" w:after="0" w:afterAutospacing="0"/>
        <w:ind w:firstLine="709"/>
        <w:jc w:val="both"/>
        <w:rPr>
          <w:sz w:val="28"/>
          <w:szCs w:val="28"/>
          <w:lang w:val="uk-UA"/>
        </w:rPr>
      </w:pPr>
      <w:r w:rsidRPr="00526F7D">
        <w:rPr>
          <w:sz w:val="28"/>
          <w:szCs w:val="28"/>
          <w:lang w:val="uk-UA"/>
        </w:rPr>
        <w:t xml:space="preserve"> </w:t>
      </w:r>
    </w:p>
    <w:p w14:paraId="0F44200A" w14:textId="7FD6CA2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графах 1 – 4 відображається інформація щодо здійснених у звітному періоді стандартних приєднань: кількість приєднань (графи 1</w:t>
      </w:r>
      <w:r w:rsidR="00E24B9C">
        <w:rPr>
          <w:rFonts w:ascii="Times New Roman" w:hAnsi="Times New Roman" w:cs="Times New Roman"/>
          <w:color w:val="000000" w:themeColor="text1"/>
          <w:sz w:val="28"/>
          <w:szCs w:val="28"/>
          <w:lang w:val="uk-UA"/>
        </w:rPr>
        <w:t xml:space="preserve"> та</w:t>
      </w:r>
      <w:r w:rsidRPr="00526F7D">
        <w:rPr>
          <w:rFonts w:ascii="Times New Roman" w:hAnsi="Times New Roman" w:cs="Times New Roman"/>
          <w:color w:val="000000" w:themeColor="text1"/>
          <w:sz w:val="28"/>
          <w:szCs w:val="28"/>
          <w:lang w:val="uk-UA"/>
        </w:rPr>
        <w:t xml:space="preserve"> 3) та їх приєднана потужність (графи 2</w:t>
      </w:r>
      <w:r w:rsidR="00E24B9C">
        <w:rPr>
          <w:rFonts w:ascii="Times New Roman" w:hAnsi="Times New Roman" w:cs="Times New Roman"/>
          <w:color w:val="000000" w:themeColor="text1"/>
          <w:sz w:val="28"/>
          <w:szCs w:val="28"/>
          <w:lang w:val="uk-UA"/>
        </w:rPr>
        <w:t xml:space="preserve"> та</w:t>
      </w:r>
      <w:r w:rsidRPr="00526F7D">
        <w:rPr>
          <w:rFonts w:ascii="Times New Roman" w:hAnsi="Times New Roman" w:cs="Times New Roman"/>
          <w:color w:val="000000" w:themeColor="text1"/>
          <w:sz w:val="28"/>
          <w:szCs w:val="28"/>
          <w:lang w:val="uk-UA"/>
        </w:rPr>
        <w:t xml:space="preserve"> 4);</w:t>
      </w:r>
    </w:p>
    <w:p w14:paraId="438DC5D9" w14:textId="77777777" w:rsidR="0060466B" w:rsidRPr="00526F7D" w:rsidRDefault="0060466B" w:rsidP="007A0F37">
      <w:pPr>
        <w:tabs>
          <w:tab w:val="left" w:pos="851"/>
        </w:tabs>
        <w:spacing w:line="240" w:lineRule="auto"/>
        <w:ind w:left="360" w:firstLine="709"/>
        <w:jc w:val="both"/>
        <w:rPr>
          <w:rFonts w:ascii="Times New Roman" w:hAnsi="Times New Roman" w:cs="Times New Roman"/>
          <w:color w:val="000000" w:themeColor="text1"/>
          <w:sz w:val="28"/>
          <w:szCs w:val="28"/>
          <w:lang w:val="uk-UA"/>
        </w:rPr>
      </w:pPr>
    </w:p>
    <w:p w14:paraId="30EBED3D" w14:textId="33E5732A"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5 </w:t>
      </w:r>
      <w:r w:rsidR="00E24B9C">
        <w:rPr>
          <w:rFonts w:ascii="Times New Roman" w:hAnsi="Times New Roman" w:cs="Times New Roman"/>
          <w:color w:val="000000" w:themeColor="text1"/>
          <w:sz w:val="28"/>
          <w:szCs w:val="28"/>
          <w:lang w:val="uk-UA"/>
        </w:rPr>
        <w:t>та</w:t>
      </w:r>
      <w:r w:rsidRPr="00526F7D">
        <w:rPr>
          <w:rFonts w:ascii="Times New Roman" w:hAnsi="Times New Roman" w:cs="Times New Roman"/>
          <w:color w:val="000000" w:themeColor="text1"/>
          <w:sz w:val="28"/>
          <w:szCs w:val="28"/>
          <w:lang w:val="uk-UA"/>
        </w:rPr>
        <w:t xml:space="preserve"> 6 відображається інформація щодо суми коштів, які ОСР отримав за надані у звітному періоді послуги зі стандартного приєднання за ступенями потужності приєднань (величина надходження коштів за договорами про приєднання), без ПДВ. Тобто зазначається інформація щодо приєднань, завершених у звітному періоді, що включає кошти, отримані за відповідні приєднання протягом попередніх періодів;</w:t>
      </w:r>
    </w:p>
    <w:p w14:paraId="65F8FF65"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1C6AB569" w14:textId="4B5259F2"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7 </w:t>
      </w:r>
      <w:r w:rsidR="00E24B9C">
        <w:rPr>
          <w:rFonts w:ascii="Times New Roman" w:hAnsi="Times New Roman" w:cs="Times New Roman"/>
          <w:color w:val="000000" w:themeColor="text1"/>
          <w:sz w:val="28"/>
          <w:szCs w:val="28"/>
          <w:lang w:val="uk-UA"/>
        </w:rPr>
        <w:t xml:space="preserve">та </w:t>
      </w:r>
      <w:r w:rsidRPr="00526F7D">
        <w:rPr>
          <w:rFonts w:ascii="Times New Roman" w:hAnsi="Times New Roman" w:cs="Times New Roman"/>
          <w:color w:val="000000" w:themeColor="text1"/>
          <w:sz w:val="28"/>
          <w:szCs w:val="28"/>
          <w:lang w:val="uk-UA"/>
        </w:rPr>
        <w:t>8 відображається інформація щодо фактичних витрат під час надання послуг зі стандартного приєднання за ступенями потужності приєднань, що включає сукупні фактичні витрати за</w:t>
      </w:r>
      <w:r w:rsidR="00577823">
        <w:rPr>
          <w:rFonts w:ascii="Times New Roman" w:hAnsi="Times New Roman" w:cs="Times New Roman"/>
          <w:color w:val="000000" w:themeColor="text1"/>
          <w:sz w:val="28"/>
          <w:szCs w:val="28"/>
          <w:lang w:val="uk-UA"/>
        </w:rPr>
        <w:t xml:space="preserve"> </w:t>
      </w:r>
      <w:r w:rsidRPr="00526F7D">
        <w:rPr>
          <w:rFonts w:ascii="Times New Roman" w:hAnsi="Times New Roman" w:cs="Times New Roman"/>
          <w:color w:val="000000" w:themeColor="text1"/>
          <w:sz w:val="28"/>
          <w:szCs w:val="28"/>
          <w:lang w:val="uk-UA"/>
        </w:rPr>
        <w:t>приєднання</w:t>
      </w:r>
      <w:r w:rsidR="00577823" w:rsidRPr="00577823">
        <w:rPr>
          <w:rFonts w:ascii="Times New Roman" w:hAnsi="Times New Roman" w:cs="Times New Roman"/>
          <w:color w:val="000000" w:themeColor="text1"/>
          <w:sz w:val="28"/>
          <w:szCs w:val="28"/>
          <w:lang w:val="uk-UA"/>
        </w:rPr>
        <w:t xml:space="preserve"> об'єкт</w:t>
      </w:r>
      <w:r w:rsidR="00577823">
        <w:rPr>
          <w:rFonts w:ascii="Times New Roman" w:hAnsi="Times New Roman" w:cs="Times New Roman"/>
          <w:color w:val="000000" w:themeColor="text1"/>
          <w:sz w:val="28"/>
          <w:szCs w:val="28"/>
          <w:lang w:val="uk-UA"/>
        </w:rPr>
        <w:t>ів</w:t>
      </w:r>
      <w:r w:rsidR="00577823" w:rsidRPr="00577823">
        <w:rPr>
          <w:rFonts w:ascii="Times New Roman" w:hAnsi="Times New Roman" w:cs="Times New Roman"/>
          <w:color w:val="000000" w:themeColor="text1"/>
          <w:sz w:val="28"/>
          <w:szCs w:val="28"/>
          <w:lang w:val="uk-UA"/>
        </w:rPr>
        <w:t xml:space="preserve"> замовників, приєднання яких завершено у </w:t>
      </w:r>
      <w:r w:rsidR="00577823">
        <w:rPr>
          <w:rFonts w:ascii="Times New Roman" w:hAnsi="Times New Roman" w:cs="Times New Roman"/>
          <w:color w:val="000000" w:themeColor="text1"/>
          <w:sz w:val="28"/>
          <w:szCs w:val="28"/>
          <w:lang w:val="uk-UA"/>
        </w:rPr>
        <w:t>звітному</w:t>
      </w:r>
      <w:r w:rsidR="00577823" w:rsidRPr="00577823">
        <w:rPr>
          <w:rFonts w:ascii="Times New Roman" w:hAnsi="Times New Roman" w:cs="Times New Roman"/>
          <w:color w:val="000000" w:themeColor="text1"/>
          <w:sz w:val="28"/>
          <w:szCs w:val="28"/>
          <w:lang w:val="uk-UA"/>
        </w:rPr>
        <w:t xml:space="preserve"> періоді</w:t>
      </w:r>
      <w:r w:rsidR="00577823">
        <w:rPr>
          <w:rFonts w:ascii="Times New Roman" w:hAnsi="Times New Roman" w:cs="Times New Roman"/>
          <w:color w:val="000000" w:themeColor="text1"/>
          <w:sz w:val="28"/>
          <w:szCs w:val="28"/>
          <w:lang w:val="uk-UA"/>
        </w:rPr>
        <w:t>, які визначаються відповідно до Методики</w:t>
      </w:r>
      <w:r w:rsidRPr="00526F7D">
        <w:rPr>
          <w:rFonts w:ascii="Times New Roman" w:hAnsi="Times New Roman" w:cs="Times New Roman"/>
          <w:color w:val="000000" w:themeColor="text1"/>
          <w:sz w:val="28"/>
          <w:szCs w:val="28"/>
          <w:lang w:val="uk-UA"/>
        </w:rPr>
        <w:t>, без ПДВ;</w:t>
      </w:r>
    </w:p>
    <w:p w14:paraId="44BE5051"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541BFEBA" w14:textId="3F258021"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графах 9 </w:t>
      </w:r>
      <w:r w:rsidR="00E24B9C">
        <w:rPr>
          <w:rFonts w:ascii="Times New Roman" w:hAnsi="Times New Roman" w:cs="Times New Roman"/>
          <w:color w:val="000000" w:themeColor="text1"/>
          <w:sz w:val="28"/>
          <w:szCs w:val="28"/>
          <w:lang w:val="uk-UA"/>
        </w:rPr>
        <w:t>та</w:t>
      </w:r>
      <w:r w:rsidRPr="00526F7D">
        <w:rPr>
          <w:rFonts w:ascii="Times New Roman" w:hAnsi="Times New Roman" w:cs="Times New Roman"/>
          <w:color w:val="000000" w:themeColor="text1"/>
          <w:sz w:val="28"/>
          <w:szCs w:val="28"/>
          <w:lang w:val="uk-UA"/>
        </w:rPr>
        <w:t xml:space="preserve"> 10 відображається інформація щодо здійснених у звітному періоді нестандартних приєднань: кількість здійснених приєднань (графа 9) та їх приєднана потужність (графа 10);</w:t>
      </w:r>
    </w:p>
    <w:p w14:paraId="51081477"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3E05EC7A" w14:textId="56175C76" w:rsidR="0060466B"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графі 11 «</w:t>
      </w:r>
      <w:r w:rsidR="0030653B" w:rsidRPr="00526F7D">
        <w:rPr>
          <w:rFonts w:ascii="Times New Roman" w:hAnsi="Times New Roman" w:cs="Times New Roman"/>
          <w:color w:val="000000" w:themeColor="text1"/>
          <w:sz w:val="28"/>
          <w:szCs w:val="28"/>
          <w:lang w:val="uk-UA"/>
        </w:rPr>
        <w:t>с</w:t>
      </w:r>
      <w:r w:rsidRPr="00526F7D">
        <w:rPr>
          <w:rFonts w:ascii="Times New Roman" w:hAnsi="Times New Roman" w:cs="Times New Roman"/>
          <w:color w:val="000000" w:themeColor="text1"/>
          <w:sz w:val="28"/>
          <w:szCs w:val="28"/>
          <w:lang w:val="uk-UA"/>
        </w:rPr>
        <w:t>ума, отримана ОСР за надані послуги</w:t>
      </w:r>
      <w:r w:rsidR="00E24B9C">
        <w:rPr>
          <w:rFonts w:ascii="Times New Roman" w:hAnsi="Times New Roman" w:cs="Times New Roman"/>
          <w:color w:val="000000" w:themeColor="text1"/>
          <w:sz w:val="28"/>
          <w:szCs w:val="28"/>
          <w:lang w:val="uk-UA"/>
        </w:rPr>
        <w:t xml:space="preserve"> з приєднання</w:t>
      </w:r>
      <w:r w:rsidRPr="00526F7D">
        <w:rPr>
          <w:rFonts w:ascii="Times New Roman" w:hAnsi="Times New Roman" w:cs="Times New Roman"/>
          <w:color w:val="000000" w:themeColor="text1"/>
          <w:sz w:val="28"/>
          <w:szCs w:val="28"/>
          <w:lang w:val="uk-UA"/>
        </w:rPr>
        <w:t xml:space="preserve"> (без ПДВ)» відображається інформація щодо суми коштів, які ОСР отримав за надані у звітному періоді послуги з нестандартного приєднання, без ПДВ. Тобто зазначається інформація щодо приєднань, завершених у звітному періоді, що включає кошти, отримані за відповідні приєднання протягом попередніх періодів;</w:t>
      </w:r>
    </w:p>
    <w:p w14:paraId="5943099C" w14:textId="77777777" w:rsidR="00FB0F97" w:rsidRPr="00526F7D" w:rsidRDefault="00FB0F97" w:rsidP="00FB0F97">
      <w:pPr>
        <w:pStyle w:val="a3"/>
        <w:tabs>
          <w:tab w:val="left" w:pos="851"/>
        </w:tabs>
        <w:spacing w:after="0" w:line="240" w:lineRule="auto"/>
        <w:ind w:left="709"/>
        <w:jc w:val="both"/>
        <w:rPr>
          <w:rFonts w:ascii="Times New Roman" w:hAnsi="Times New Roman" w:cs="Times New Roman"/>
          <w:color w:val="000000" w:themeColor="text1"/>
          <w:sz w:val="28"/>
          <w:szCs w:val="28"/>
          <w:lang w:val="uk-UA"/>
        </w:rPr>
      </w:pPr>
    </w:p>
    <w:p w14:paraId="392E49A1" w14:textId="36E82386"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у графі 12 «</w:t>
      </w:r>
      <w:r w:rsidR="0030653B" w:rsidRPr="00526F7D">
        <w:rPr>
          <w:rFonts w:ascii="Times New Roman" w:hAnsi="Times New Roman" w:cs="Times New Roman"/>
          <w:color w:val="000000" w:themeColor="text1"/>
          <w:sz w:val="28"/>
          <w:szCs w:val="28"/>
          <w:lang w:val="uk-UA"/>
        </w:rPr>
        <w:t>ф</w:t>
      </w:r>
      <w:r w:rsidRPr="00526F7D">
        <w:rPr>
          <w:rFonts w:ascii="Times New Roman" w:hAnsi="Times New Roman" w:cs="Times New Roman"/>
          <w:color w:val="000000" w:themeColor="text1"/>
          <w:sz w:val="28"/>
          <w:szCs w:val="28"/>
          <w:lang w:val="uk-UA"/>
        </w:rPr>
        <w:t xml:space="preserve">актичні витрати під час надання послуг з приєднання (без ПДВ)» зазначаються фактичні витрати, що виникають під час надання послуг з нестандартного приєднання, які включають </w:t>
      </w:r>
      <w:r w:rsidR="00577823" w:rsidRPr="00526F7D">
        <w:rPr>
          <w:rFonts w:ascii="Times New Roman" w:hAnsi="Times New Roman" w:cs="Times New Roman"/>
          <w:color w:val="000000" w:themeColor="text1"/>
          <w:sz w:val="28"/>
          <w:szCs w:val="28"/>
          <w:lang w:val="uk-UA"/>
        </w:rPr>
        <w:t>сукупні фактичні витрати за</w:t>
      </w:r>
      <w:r w:rsidR="00577823">
        <w:rPr>
          <w:rFonts w:ascii="Times New Roman" w:hAnsi="Times New Roman" w:cs="Times New Roman"/>
          <w:color w:val="000000" w:themeColor="text1"/>
          <w:sz w:val="28"/>
          <w:szCs w:val="28"/>
          <w:lang w:val="uk-UA"/>
        </w:rPr>
        <w:t xml:space="preserve"> </w:t>
      </w:r>
      <w:r w:rsidR="00577823" w:rsidRPr="00526F7D">
        <w:rPr>
          <w:rFonts w:ascii="Times New Roman" w:hAnsi="Times New Roman" w:cs="Times New Roman"/>
          <w:color w:val="000000" w:themeColor="text1"/>
          <w:sz w:val="28"/>
          <w:szCs w:val="28"/>
          <w:lang w:val="uk-UA"/>
        </w:rPr>
        <w:t>приєднання</w:t>
      </w:r>
      <w:r w:rsidR="00577823" w:rsidRPr="00577823">
        <w:rPr>
          <w:rFonts w:ascii="Times New Roman" w:hAnsi="Times New Roman" w:cs="Times New Roman"/>
          <w:color w:val="000000" w:themeColor="text1"/>
          <w:sz w:val="28"/>
          <w:szCs w:val="28"/>
          <w:lang w:val="uk-UA"/>
        </w:rPr>
        <w:t xml:space="preserve"> об'єкт</w:t>
      </w:r>
      <w:r w:rsidR="00577823">
        <w:rPr>
          <w:rFonts w:ascii="Times New Roman" w:hAnsi="Times New Roman" w:cs="Times New Roman"/>
          <w:color w:val="000000" w:themeColor="text1"/>
          <w:sz w:val="28"/>
          <w:szCs w:val="28"/>
          <w:lang w:val="uk-UA"/>
        </w:rPr>
        <w:t>ів</w:t>
      </w:r>
      <w:r w:rsidR="00577823" w:rsidRPr="00577823">
        <w:rPr>
          <w:rFonts w:ascii="Times New Roman" w:hAnsi="Times New Roman" w:cs="Times New Roman"/>
          <w:color w:val="000000" w:themeColor="text1"/>
          <w:sz w:val="28"/>
          <w:szCs w:val="28"/>
          <w:lang w:val="uk-UA"/>
        </w:rPr>
        <w:t xml:space="preserve"> замовників, приєднання яких завершено у </w:t>
      </w:r>
      <w:r w:rsidR="00577823">
        <w:rPr>
          <w:rFonts w:ascii="Times New Roman" w:hAnsi="Times New Roman" w:cs="Times New Roman"/>
          <w:color w:val="000000" w:themeColor="text1"/>
          <w:sz w:val="28"/>
          <w:szCs w:val="28"/>
          <w:lang w:val="uk-UA"/>
        </w:rPr>
        <w:t>звітному</w:t>
      </w:r>
      <w:r w:rsidR="00577823" w:rsidRPr="00577823">
        <w:rPr>
          <w:rFonts w:ascii="Times New Roman" w:hAnsi="Times New Roman" w:cs="Times New Roman"/>
          <w:color w:val="000000" w:themeColor="text1"/>
          <w:sz w:val="28"/>
          <w:szCs w:val="28"/>
          <w:lang w:val="uk-UA"/>
        </w:rPr>
        <w:t xml:space="preserve"> періоді</w:t>
      </w:r>
      <w:r w:rsidR="00577823">
        <w:rPr>
          <w:rFonts w:ascii="Times New Roman" w:hAnsi="Times New Roman" w:cs="Times New Roman"/>
          <w:color w:val="000000" w:themeColor="text1"/>
          <w:sz w:val="28"/>
          <w:szCs w:val="28"/>
          <w:lang w:val="uk-UA"/>
        </w:rPr>
        <w:t>, які визначаються відповідно до Методики</w:t>
      </w:r>
      <w:r w:rsidR="00577823" w:rsidRPr="00526F7D">
        <w:rPr>
          <w:rFonts w:ascii="Times New Roman" w:hAnsi="Times New Roman" w:cs="Times New Roman"/>
          <w:color w:val="000000" w:themeColor="text1"/>
          <w:sz w:val="28"/>
          <w:szCs w:val="28"/>
          <w:lang w:val="uk-UA"/>
        </w:rPr>
        <w:t>, без ПДВ</w:t>
      </w:r>
      <w:r w:rsidR="00577823">
        <w:rPr>
          <w:rFonts w:ascii="Times New Roman" w:hAnsi="Times New Roman" w:cs="Times New Roman"/>
          <w:color w:val="000000" w:themeColor="text1"/>
          <w:sz w:val="28"/>
          <w:szCs w:val="28"/>
          <w:lang w:val="uk-UA"/>
        </w:rPr>
        <w:t>;</w:t>
      </w:r>
    </w:p>
    <w:p w14:paraId="3FCB791C" w14:textId="77777777" w:rsidR="0060466B" w:rsidRPr="00526F7D" w:rsidRDefault="0060466B" w:rsidP="007A0F37">
      <w:pPr>
        <w:pStyle w:val="a3"/>
        <w:spacing w:line="240" w:lineRule="auto"/>
        <w:ind w:firstLine="709"/>
        <w:rPr>
          <w:rFonts w:ascii="Times New Roman" w:hAnsi="Times New Roman" w:cs="Times New Roman"/>
          <w:color w:val="000000" w:themeColor="text1"/>
          <w:sz w:val="28"/>
          <w:szCs w:val="28"/>
          <w:lang w:val="uk-UA"/>
        </w:rPr>
      </w:pPr>
    </w:p>
    <w:p w14:paraId="0C7434E8" w14:textId="7B8790CC" w:rsidR="0060466B"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285</w:t>
      </w:r>
      <w:r w:rsidRPr="00526F7D">
        <w:rPr>
          <w:rFonts w:ascii="Times New Roman" w:hAnsi="Times New Roman" w:cs="Times New Roman"/>
          <w:color w:val="000000" w:themeColor="text1"/>
          <w:sz w:val="28"/>
          <w:szCs w:val="28"/>
          <w:lang w:val="uk-UA"/>
        </w:rPr>
        <w:t xml:space="preserve"> «Приєднання електроустановок замовників, з них:» відображається сумарна інформація щодо приєднань електроустановок замовників протягом звітного періоду. Значення рядка </w:t>
      </w:r>
      <w:r w:rsidR="005A0D23" w:rsidRPr="00526F7D">
        <w:rPr>
          <w:rFonts w:ascii="Times New Roman" w:hAnsi="Times New Roman" w:cs="Times New Roman"/>
          <w:color w:val="000000" w:themeColor="text1"/>
          <w:sz w:val="28"/>
          <w:szCs w:val="28"/>
          <w:lang w:val="uk-UA"/>
        </w:rPr>
        <w:t>285</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290</w:t>
      </w:r>
      <w:r w:rsidR="001328C3" w:rsidRPr="00526F7D">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305</w:t>
      </w:r>
      <w:r w:rsidR="001328C3" w:rsidRPr="00526F7D">
        <w:rPr>
          <w:rFonts w:ascii="Times New Roman" w:hAnsi="Times New Roman" w:cs="Times New Roman"/>
          <w:color w:val="000000" w:themeColor="text1"/>
          <w:sz w:val="28"/>
          <w:szCs w:val="28"/>
          <w:lang w:val="uk-UA"/>
        </w:rPr>
        <w:t xml:space="preserve"> та </w:t>
      </w:r>
      <w:r w:rsidR="005A0D23" w:rsidRPr="00526F7D">
        <w:rPr>
          <w:rFonts w:ascii="Times New Roman" w:hAnsi="Times New Roman" w:cs="Times New Roman"/>
          <w:color w:val="000000" w:themeColor="text1"/>
          <w:sz w:val="28"/>
          <w:szCs w:val="28"/>
          <w:lang w:val="uk-UA"/>
        </w:rPr>
        <w:t>370</w:t>
      </w:r>
      <w:r w:rsidRPr="00526F7D">
        <w:rPr>
          <w:rFonts w:ascii="Times New Roman" w:hAnsi="Times New Roman" w:cs="Times New Roman"/>
          <w:color w:val="000000" w:themeColor="text1"/>
          <w:sz w:val="28"/>
          <w:szCs w:val="28"/>
          <w:lang w:val="uk-UA"/>
        </w:rPr>
        <w:t>;</w:t>
      </w:r>
    </w:p>
    <w:p w14:paraId="1ACAD3DA" w14:textId="77777777" w:rsidR="00FB0F97" w:rsidRPr="007A0F37" w:rsidRDefault="00FB0F97" w:rsidP="00FB0F97">
      <w:pPr>
        <w:pStyle w:val="a3"/>
        <w:tabs>
          <w:tab w:val="left" w:pos="851"/>
        </w:tabs>
        <w:spacing w:after="0" w:line="240" w:lineRule="auto"/>
        <w:ind w:left="709"/>
        <w:jc w:val="both"/>
        <w:rPr>
          <w:rFonts w:ascii="Times New Roman" w:hAnsi="Times New Roman" w:cs="Times New Roman"/>
          <w:color w:val="000000" w:themeColor="text1"/>
          <w:sz w:val="28"/>
          <w:szCs w:val="28"/>
          <w:lang w:val="uk-UA"/>
        </w:rPr>
      </w:pPr>
    </w:p>
    <w:p w14:paraId="611E578F" w14:textId="7ADEC324" w:rsidR="0060466B"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290</w:t>
      </w:r>
      <w:r w:rsidRPr="00526F7D">
        <w:rPr>
          <w:rFonts w:ascii="Times New Roman" w:hAnsi="Times New Roman" w:cs="Times New Roman"/>
          <w:color w:val="000000" w:themeColor="text1"/>
          <w:sz w:val="28"/>
          <w:szCs w:val="28"/>
          <w:lang w:val="uk-UA"/>
        </w:rPr>
        <w:t xml:space="preserve"> «електроустановок фізичних осіб:» зазначаються сумарні дані щодо приєднань електроустановок фізичних осіб, у тому числі призначених для споживання</w:t>
      </w:r>
      <w:r w:rsidR="00F43F07">
        <w:rPr>
          <w:rFonts w:ascii="Times New Roman" w:hAnsi="Times New Roman" w:cs="Times New Roman"/>
          <w:color w:val="000000" w:themeColor="text1"/>
          <w:sz w:val="28"/>
          <w:szCs w:val="28"/>
          <w:lang w:val="uk-UA"/>
        </w:rPr>
        <w:t xml:space="preserve"> </w:t>
      </w:r>
      <w:r w:rsidR="00F43F07" w:rsidRPr="00526F7D">
        <w:rPr>
          <w:rFonts w:ascii="Times New Roman" w:hAnsi="Times New Roman" w:cs="Times New Roman"/>
          <w:color w:val="000000" w:themeColor="text1"/>
          <w:sz w:val="28"/>
          <w:szCs w:val="28"/>
          <w:lang w:val="uk-UA"/>
        </w:rPr>
        <w:t>електричної енергії</w:t>
      </w:r>
      <w:r w:rsidRPr="00526F7D">
        <w:rPr>
          <w:rFonts w:ascii="Times New Roman" w:hAnsi="Times New Roman" w:cs="Times New Roman"/>
          <w:color w:val="000000" w:themeColor="text1"/>
          <w:sz w:val="28"/>
          <w:szCs w:val="28"/>
          <w:lang w:val="uk-UA"/>
        </w:rPr>
        <w:t xml:space="preserve"> (рядок </w:t>
      </w:r>
      <w:r w:rsidR="005A0D23" w:rsidRPr="00526F7D">
        <w:rPr>
          <w:rFonts w:ascii="Times New Roman" w:hAnsi="Times New Roman" w:cs="Times New Roman"/>
          <w:color w:val="000000" w:themeColor="text1"/>
          <w:sz w:val="28"/>
          <w:szCs w:val="28"/>
          <w:lang w:val="uk-UA"/>
        </w:rPr>
        <w:t>295</w:t>
      </w:r>
      <w:r w:rsidRPr="00526F7D">
        <w:rPr>
          <w:rFonts w:ascii="Times New Roman" w:hAnsi="Times New Roman" w:cs="Times New Roman"/>
          <w:color w:val="000000" w:themeColor="text1"/>
          <w:sz w:val="28"/>
          <w:szCs w:val="28"/>
          <w:lang w:val="uk-UA"/>
        </w:rPr>
        <w:t xml:space="preserve">) та виробництва </w:t>
      </w:r>
      <w:r w:rsidR="00F43F07"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300</w:t>
      </w:r>
      <w:r w:rsidRPr="00526F7D">
        <w:rPr>
          <w:rFonts w:ascii="Times New Roman" w:hAnsi="Times New Roman" w:cs="Times New Roman"/>
          <w:color w:val="000000" w:themeColor="text1"/>
          <w:sz w:val="28"/>
          <w:szCs w:val="28"/>
          <w:lang w:val="uk-UA"/>
        </w:rPr>
        <w:t xml:space="preserve">) </w:t>
      </w:r>
      <w:r w:rsidR="00AE0D56">
        <w:rPr>
          <w:rFonts w:ascii="Times New Roman" w:hAnsi="Times New Roman" w:cs="Times New Roman"/>
          <w:color w:val="000000" w:themeColor="text1"/>
          <w:sz w:val="28"/>
          <w:szCs w:val="28"/>
          <w:lang w:val="uk-UA"/>
        </w:rPr>
        <w:t xml:space="preserve">та установок зберігання </w:t>
      </w:r>
      <w:r w:rsidRPr="00526F7D">
        <w:rPr>
          <w:rFonts w:ascii="Times New Roman" w:hAnsi="Times New Roman" w:cs="Times New Roman"/>
          <w:color w:val="000000" w:themeColor="text1"/>
          <w:sz w:val="28"/>
          <w:szCs w:val="28"/>
          <w:lang w:val="uk-UA"/>
        </w:rPr>
        <w:t>енергії</w:t>
      </w:r>
      <w:r w:rsidR="00AE0D56">
        <w:rPr>
          <w:rFonts w:ascii="Times New Roman" w:hAnsi="Times New Roman" w:cs="Times New Roman"/>
          <w:color w:val="000000" w:themeColor="text1"/>
          <w:sz w:val="28"/>
          <w:szCs w:val="28"/>
          <w:lang w:val="uk-UA"/>
        </w:rPr>
        <w:t xml:space="preserve"> (рядок 301)</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290</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295</w:t>
      </w:r>
      <w:r w:rsidR="00AE0D56">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300</w:t>
      </w:r>
      <w:r w:rsidR="00AE0D56">
        <w:rPr>
          <w:rFonts w:ascii="Times New Roman" w:hAnsi="Times New Roman" w:cs="Times New Roman"/>
          <w:color w:val="000000" w:themeColor="text1"/>
          <w:sz w:val="28"/>
          <w:szCs w:val="28"/>
          <w:lang w:val="uk-UA"/>
        </w:rPr>
        <w:t xml:space="preserve"> та 301</w:t>
      </w:r>
      <w:r w:rsidRPr="00526F7D">
        <w:rPr>
          <w:rFonts w:ascii="Times New Roman" w:hAnsi="Times New Roman" w:cs="Times New Roman"/>
          <w:color w:val="000000" w:themeColor="text1"/>
          <w:sz w:val="28"/>
          <w:szCs w:val="28"/>
          <w:lang w:val="uk-UA"/>
        </w:rPr>
        <w:t>;</w:t>
      </w:r>
    </w:p>
    <w:p w14:paraId="6411FA64" w14:textId="77777777" w:rsidR="0060466B" w:rsidRPr="00526F7D" w:rsidRDefault="0060466B" w:rsidP="007A0F37">
      <w:pPr>
        <w:pStyle w:val="a3"/>
        <w:tabs>
          <w:tab w:val="left" w:pos="851"/>
        </w:tabs>
        <w:spacing w:line="240" w:lineRule="auto"/>
        <w:ind w:firstLine="709"/>
        <w:jc w:val="both"/>
        <w:rPr>
          <w:rFonts w:ascii="Times New Roman" w:hAnsi="Times New Roman" w:cs="Times New Roman"/>
          <w:color w:val="000000" w:themeColor="text1"/>
          <w:sz w:val="28"/>
          <w:szCs w:val="28"/>
          <w:lang w:val="uk-UA"/>
        </w:rPr>
      </w:pPr>
    </w:p>
    <w:p w14:paraId="20BFA852" w14:textId="662B66F6" w:rsidR="0060466B" w:rsidRPr="00526F7D" w:rsidRDefault="0060466B" w:rsidP="007A0F37">
      <w:pPr>
        <w:pStyle w:val="a3"/>
        <w:numPr>
          <w:ilvl w:val="0"/>
          <w:numId w:val="10"/>
        </w:numPr>
        <w:tabs>
          <w:tab w:val="left" w:pos="851"/>
          <w:tab w:val="left" w:pos="1134"/>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305</w:t>
      </w:r>
      <w:r w:rsidRPr="00526F7D">
        <w:rPr>
          <w:rFonts w:ascii="Times New Roman" w:hAnsi="Times New Roman" w:cs="Times New Roman"/>
          <w:color w:val="000000" w:themeColor="text1"/>
          <w:sz w:val="28"/>
          <w:szCs w:val="28"/>
          <w:lang w:val="uk-UA"/>
        </w:rPr>
        <w:t xml:space="preserve"> «електроустановок юридичних осіб:» зазначаються сумарні дані щодо приєднань електроустановок юридичних осіб, у тому числі призначених для споживання </w:t>
      </w:r>
      <w:r w:rsidR="00AE0D56"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310</w:t>
      </w:r>
      <w:r w:rsidRPr="00526F7D">
        <w:rPr>
          <w:rFonts w:ascii="Times New Roman" w:hAnsi="Times New Roman" w:cs="Times New Roman"/>
          <w:color w:val="000000" w:themeColor="text1"/>
          <w:sz w:val="28"/>
          <w:szCs w:val="28"/>
          <w:lang w:val="uk-UA"/>
        </w:rPr>
        <w:t>)</w:t>
      </w:r>
      <w:r w:rsidR="00AE0D56">
        <w:rPr>
          <w:rFonts w:ascii="Times New Roman" w:hAnsi="Times New Roman" w:cs="Times New Roman"/>
          <w:color w:val="000000" w:themeColor="text1"/>
          <w:sz w:val="28"/>
          <w:szCs w:val="28"/>
          <w:lang w:val="uk-UA"/>
        </w:rPr>
        <w:t xml:space="preserve">, </w:t>
      </w:r>
      <w:r w:rsidRPr="00526F7D">
        <w:rPr>
          <w:rFonts w:ascii="Times New Roman" w:hAnsi="Times New Roman" w:cs="Times New Roman"/>
          <w:color w:val="000000" w:themeColor="text1"/>
          <w:sz w:val="28"/>
          <w:szCs w:val="28"/>
          <w:lang w:val="uk-UA"/>
        </w:rPr>
        <w:t xml:space="preserve">виробництва </w:t>
      </w:r>
      <w:r w:rsidR="00AE0D56" w:rsidRPr="00526F7D">
        <w:rPr>
          <w:rFonts w:ascii="Times New Roman" w:hAnsi="Times New Roman" w:cs="Times New Roman"/>
          <w:color w:val="000000" w:themeColor="text1"/>
          <w:sz w:val="28"/>
          <w:szCs w:val="28"/>
          <w:lang w:val="uk-UA"/>
        </w:rPr>
        <w:t xml:space="preserve">електричної енергії </w:t>
      </w:r>
      <w:r w:rsidRPr="00526F7D">
        <w:rPr>
          <w:rFonts w:ascii="Times New Roman" w:hAnsi="Times New Roman" w:cs="Times New Roman"/>
          <w:color w:val="000000" w:themeColor="text1"/>
          <w:sz w:val="28"/>
          <w:szCs w:val="28"/>
          <w:lang w:val="uk-UA"/>
        </w:rPr>
        <w:t xml:space="preserve">(рядок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w:t>
      </w:r>
      <w:r w:rsidR="00AE0D56">
        <w:rPr>
          <w:rFonts w:ascii="Times New Roman" w:hAnsi="Times New Roman" w:cs="Times New Roman"/>
          <w:color w:val="000000" w:themeColor="text1"/>
          <w:sz w:val="28"/>
          <w:szCs w:val="28"/>
          <w:lang w:val="uk-UA"/>
        </w:rPr>
        <w:t xml:space="preserve"> та установок зберігання енергії (рядок 366)</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305</w:t>
      </w:r>
      <w:r w:rsidRPr="00526F7D">
        <w:rPr>
          <w:rFonts w:ascii="Times New Roman" w:hAnsi="Times New Roman" w:cs="Times New Roman"/>
          <w:color w:val="000000" w:themeColor="text1"/>
          <w:sz w:val="28"/>
          <w:szCs w:val="28"/>
          <w:lang w:val="uk-UA"/>
        </w:rPr>
        <w:t xml:space="preserve"> дорівнює сумі значень рядків </w:t>
      </w:r>
      <w:r w:rsidR="005A0D23" w:rsidRPr="00526F7D">
        <w:rPr>
          <w:rFonts w:ascii="Times New Roman" w:hAnsi="Times New Roman" w:cs="Times New Roman"/>
          <w:color w:val="000000" w:themeColor="text1"/>
          <w:sz w:val="28"/>
          <w:szCs w:val="28"/>
          <w:lang w:val="uk-UA"/>
        </w:rPr>
        <w:t>310</w:t>
      </w:r>
      <w:r w:rsidR="00AE0D56">
        <w:rPr>
          <w:rFonts w:ascii="Times New Roman" w:hAnsi="Times New Roman" w:cs="Times New Roman"/>
          <w:color w:val="000000" w:themeColor="text1"/>
          <w:sz w:val="28"/>
          <w:szCs w:val="28"/>
          <w:lang w:val="uk-UA"/>
        </w:rPr>
        <w:t>,</w:t>
      </w:r>
      <w:r w:rsidRPr="00526F7D">
        <w:rPr>
          <w:rFonts w:ascii="Times New Roman" w:hAnsi="Times New Roman" w:cs="Times New Roman"/>
          <w:color w:val="000000" w:themeColor="text1"/>
          <w:sz w:val="28"/>
          <w:szCs w:val="28"/>
          <w:lang w:val="uk-UA"/>
        </w:rPr>
        <w:t xml:space="preserve"> </w:t>
      </w:r>
      <w:r w:rsidR="005A0D23" w:rsidRPr="00526F7D">
        <w:rPr>
          <w:rFonts w:ascii="Times New Roman" w:hAnsi="Times New Roman" w:cs="Times New Roman"/>
          <w:color w:val="000000" w:themeColor="text1"/>
          <w:sz w:val="28"/>
          <w:szCs w:val="28"/>
          <w:lang w:val="uk-UA"/>
        </w:rPr>
        <w:t>315</w:t>
      </w:r>
      <w:r w:rsidR="00AE0D56">
        <w:rPr>
          <w:rFonts w:ascii="Times New Roman" w:hAnsi="Times New Roman" w:cs="Times New Roman"/>
          <w:color w:val="000000" w:themeColor="text1"/>
          <w:sz w:val="28"/>
          <w:szCs w:val="28"/>
          <w:lang w:val="uk-UA"/>
        </w:rPr>
        <w:t xml:space="preserve"> та 366</w:t>
      </w:r>
      <w:r w:rsidRPr="00526F7D">
        <w:rPr>
          <w:rFonts w:ascii="Times New Roman" w:hAnsi="Times New Roman" w:cs="Times New Roman"/>
          <w:color w:val="000000" w:themeColor="text1"/>
          <w:sz w:val="28"/>
          <w:szCs w:val="28"/>
          <w:lang w:val="uk-UA"/>
        </w:rPr>
        <w:t>;</w:t>
      </w:r>
    </w:p>
    <w:p w14:paraId="73A90B08" w14:textId="77777777" w:rsidR="0060466B" w:rsidRPr="00526F7D" w:rsidRDefault="0060466B" w:rsidP="007A0F37">
      <w:pPr>
        <w:pStyle w:val="a3"/>
        <w:tabs>
          <w:tab w:val="left" w:pos="851"/>
        </w:tabs>
        <w:spacing w:line="240" w:lineRule="auto"/>
        <w:ind w:firstLine="709"/>
        <w:jc w:val="both"/>
        <w:rPr>
          <w:rFonts w:ascii="Times New Roman" w:hAnsi="Times New Roman" w:cs="Times New Roman"/>
          <w:color w:val="000000" w:themeColor="text1"/>
          <w:sz w:val="28"/>
          <w:szCs w:val="28"/>
          <w:lang w:val="uk-UA"/>
        </w:rPr>
      </w:pPr>
    </w:p>
    <w:p w14:paraId="3719296B" w14:textId="30EEBC7D" w:rsidR="001328C3" w:rsidRPr="00526F7D"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 xml:space="preserve"> «призначених для виробництва» зазначаються сумарні дані щодо приєднань електроустановок виробників електричної енергії, приєднаних до мереж ОСР, а також за типами електростанцій (рядки 3</w:t>
      </w:r>
      <w:r w:rsidR="005A0D23" w:rsidRPr="00526F7D">
        <w:rPr>
          <w:rFonts w:ascii="Times New Roman" w:hAnsi="Times New Roman" w:cs="Times New Roman"/>
          <w:color w:val="000000" w:themeColor="text1"/>
          <w:sz w:val="28"/>
          <w:szCs w:val="28"/>
          <w:lang w:val="uk-UA"/>
        </w:rPr>
        <w:t>2</w:t>
      </w:r>
      <w:r w:rsidRPr="00526F7D">
        <w:rPr>
          <w:rFonts w:ascii="Times New Roman" w:hAnsi="Times New Roman" w:cs="Times New Roman"/>
          <w:color w:val="000000" w:themeColor="text1"/>
          <w:sz w:val="28"/>
          <w:szCs w:val="28"/>
          <w:lang w:val="uk-UA"/>
        </w:rPr>
        <w:t>0 – 3</w:t>
      </w:r>
      <w:r w:rsidR="005A0D23" w:rsidRPr="00526F7D">
        <w:rPr>
          <w:rFonts w:ascii="Times New Roman" w:hAnsi="Times New Roman" w:cs="Times New Roman"/>
          <w:color w:val="000000" w:themeColor="text1"/>
          <w:sz w:val="28"/>
          <w:szCs w:val="28"/>
          <w:lang w:val="uk-UA"/>
        </w:rPr>
        <w:t>3</w:t>
      </w:r>
      <w:r w:rsidRPr="00526F7D">
        <w:rPr>
          <w:rFonts w:ascii="Times New Roman" w:hAnsi="Times New Roman" w:cs="Times New Roman"/>
          <w:color w:val="000000" w:themeColor="text1"/>
          <w:sz w:val="28"/>
          <w:szCs w:val="28"/>
          <w:lang w:val="uk-UA"/>
        </w:rPr>
        <w:t xml:space="preserve">5, </w:t>
      </w:r>
      <w:r w:rsidR="005A0D23" w:rsidRPr="00526F7D">
        <w:rPr>
          <w:rFonts w:ascii="Times New Roman" w:hAnsi="Times New Roman" w:cs="Times New Roman"/>
          <w:color w:val="000000" w:themeColor="text1"/>
          <w:sz w:val="28"/>
          <w:szCs w:val="28"/>
          <w:lang w:val="uk-UA"/>
        </w:rPr>
        <w:t>365</w:t>
      </w:r>
      <w:r w:rsidRPr="00526F7D">
        <w:rPr>
          <w:rFonts w:ascii="Times New Roman" w:hAnsi="Times New Roman" w:cs="Times New Roman"/>
          <w:color w:val="000000" w:themeColor="text1"/>
          <w:sz w:val="28"/>
          <w:szCs w:val="28"/>
          <w:lang w:val="uk-UA"/>
        </w:rPr>
        <w:t>) та видами відновлюваних джерел енергії (рядки 3</w:t>
      </w:r>
      <w:r w:rsidR="005A0D23" w:rsidRPr="00526F7D">
        <w:rPr>
          <w:rFonts w:ascii="Times New Roman" w:hAnsi="Times New Roman" w:cs="Times New Roman"/>
          <w:color w:val="000000" w:themeColor="text1"/>
          <w:sz w:val="28"/>
          <w:szCs w:val="28"/>
          <w:lang w:val="uk-UA"/>
        </w:rPr>
        <w:t>4</w:t>
      </w:r>
      <w:r w:rsidRPr="00526F7D">
        <w:rPr>
          <w:rFonts w:ascii="Times New Roman" w:hAnsi="Times New Roman" w:cs="Times New Roman"/>
          <w:color w:val="000000" w:themeColor="text1"/>
          <w:sz w:val="28"/>
          <w:szCs w:val="28"/>
          <w:lang w:val="uk-UA"/>
        </w:rPr>
        <w:t xml:space="preserve">0 – </w:t>
      </w:r>
      <w:r w:rsidR="005A0D23" w:rsidRPr="00526F7D">
        <w:rPr>
          <w:rFonts w:ascii="Times New Roman" w:hAnsi="Times New Roman" w:cs="Times New Roman"/>
          <w:color w:val="000000" w:themeColor="text1"/>
          <w:sz w:val="28"/>
          <w:szCs w:val="28"/>
          <w:lang w:val="uk-UA"/>
        </w:rPr>
        <w:t>360</w:t>
      </w:r>
      <w:r w:rsidRPr="00526F7D">
        <w:rPr>
          <w:rFonts w:ascii="Times New Roman" w:hAnsi="Times New Roman" w:cs="Times New Roman"/>
          <w:color w:val="000000" w:themeColor="text1"/>
          <w:sz w:val="28"/>
          <w:szCs w:val="28"/>
          <w:lang w:val="uk-UA"/>
        </w:rPr>
        <w:t xml:space="preserve">). Значення рядка </w:t>
      </w:r>
      <w:r w:rsidR="005A0D23" w:rsidRPr="00526F7D">
        <w:rPr>
          <w:rFonts w:ascii="Times New Roman" w:hAnsi="Times New Roman" w:cs="Times New Roman"/>
          <w:color w:val="000000" w:themeColor="text1"/>
          <w:sz w:val="28"/>
          <w:szCs w:val="28"/>
          <w:lang w:val="uk-UA"/>
        </w:rPr>
        <w:t>315</w:t>
      </w:r>
      <w:r w:rsidRPr="00526F7D">
        <w:rPr>
          <w:rFonts w:ascii="Times New Roman" w:hAnsi="Times New Roman" w:cs="Times New Roman"/>
          <w:color w:val="000000" w:themeColor="text1"/>
          <w:sz w:val="28"/>
          <w:szCs w:val="28"/>
          <w:lang w:val="uk-UA"/>
        </w:rPr>
        <w:t xml:space="preserve"> дорівнює сумі рядків </w:t>
      </w:r>
      <w:r w:rsidR="005A0D23" w:rsidRPr="00526F7D">
        <w:rPr>
          <w:rFonts w:ascii="Times New Roman" w:hAnsi="Times New Roman" w:cs="Times New Roman"/>
          <w:color w:val="000000" w:themeColor="text1"/>
          <w:sz w:val="28"/>
          <w:szCs w:val="28"/>
          <w:lang w:val="uk-UA"/>
        </w:rPr>
        <w:t xml:space="preserve">320 – 335 </w:t>
      </w:r>
      <w:r w:rsidRPr="00526F7D">
        <w:rPr>
          <w:rFonts w:ascii="Times New Roman" w:hAnsi="Times New Roman" w:cs="Times New Roman"/>
          <w:color w:val="000000" w:themeColor="text1"/>
          <w:sz w:val="28"/>
          <w:szCs w:val="28"/>
          <w:lang w:val="uk-UA"/>
        </w:rPr>
        <w:t xml:space="preserve">та </w:t>
      </w:r>
      <w:r w:rsidR="005A0D23" w:rsidRPr="00526F7D">
        <w:rPr>
          <w:rFonts w:ascii="Times New Roman" w:hAnsi="Times New Roman" w:cs="Times New Roman"/>
          <w:color w:val="000000" w:themeColor="text1"/>
          <w:sz w:val="28"/>
          <w:szCs w:val="28"/>
          <w:lang w:val="uk-UA"/>
        </w:rPr>
        <w:t>365</w:t>
      </w:r>
      <w:r w:rsidRPr="00526F7D">
        <w:rPr>
          <w:rFonts w:ascii="Times New Roman" w:hAnsi="Times New Roman" w:cs="Times New Roman"/>
          <w:color w:val="000000" w:themeColor="text1"/>
          <w:sz w:val="28"/>
          <w:szCs w:val="28"/>
          <w:lang w:val="uk-UA"/>
        </w:rPr>
        <w:t>;</w:t>
      </w:r>
    </w:p>
    <w:p w14:paraId="5B56BCEB" w14:textId="77777777" w:rsidR="001328C3" w:rsidRPr="00526F7D" w:rsidRDefault="001328C3" w:rsidP="007A0F37">
      <w:pPr>
        <w:pStyle w:val="a3"/>
        <w:spacing w:line="240" w:lineRule="auto"/>
        <w:ind w:firstLine="709"/>
        <w:rPr>
          <w:rFonts w:ascii="Times New Roman" w:hAnsi="Times New Roman" w:cs="Times New Roman"/>
          <w:color w:val="000000" w:themeColor="text1"/>
          <w:sz w:val="28"/>
          <w:szCs w:val="28"/>
          <w:lang w:val="uk-UA"/>
        </w:rPr>
      </w:pPr>
    </w:p>
    <w:p w14:paraId="299A756A" w14:textId="65E2674E" w:rsidR="00EA7CA2" w:rsidRDefault="0060466B" w:rsidP="007A0F37">
      <w:pPr>
        <w:pStyle w:val="a3"/>
        <w:numPr>
          <w:ilvl w:val="0"/>
          <w:numId w:val="10"/>
        </w:numPr>
        <w:tabs>
          <w:tab w:val="left" w:pos="851"/>
        </w:tabs>
        <w:spacing w:after="0" w:line="240" w:lineRule="auto"/>
        <w:ind w:left="0" w:firstLine="709"/>
        <w:jc w:val="both"/>
        <w:rPr>
          <w:rFonts w:ascii="Times New Roman" w:hAnsi="Times New Roman" w:cs="Times New Roman"/>
          <w:color w:val="000000" w:themeColor="text1"/>
          <w:sz w:val="28"/>
          <w:szCs w:val="28"/>
          <w:lang w:val="uk-UA"/>
        </w:rPr>
      </w:pPr>
      <w:r w:rsidRPr="00526F7D">
        <w:rPr>
          <w:rFonts w:ascii="Times New Roman" w:hAnsi="Times New Roman" w:cs="Times New Roman"/>
          <w:color w:val="000000" w:themeColor="text1"/>
          <w:sz w:val="28"/>
          <w:szCs w:val="28"/>
          <w:lang w:val="uk-UA"/>
        </w:rPr>
        <w:t xml:space="preserve">у рядку </w:t>
      </w:r>
      <w:r w:rsidR="005A0D23" w:rsidRPr="00526F7D">
        <w:rPr>
          <w:rFonts w:ascii="Times New Roman" w:hAnsi="Times New Roman" w:cs="Times New Roman"/>
          <w:color w:val="000000" w:themeColor="text1"/>
          <w:sz w:val="28"/>
          <w:szCs w:val="28"/>
          <w:lang w:val="uk-UA"/>
        </w:rPr>
        <w:t>370</w:t>
      </w:r>
      <w:r w:rsidRPr="00526F7D">
        <w:rPr>
          <w:rFonts w:ascii="Times New Roman" w:hAnsi="Times New Roman" w:cs="Times New Roman"/>
          <w:color w:val="000000" w:themeColor="text1"/>
          <w:sz w:val="28"/>
          <w:szCs w:val="28"/>
          <w:lang w:val="uk-UA"/>
        </w:rPr>
        <w:t xml:space="preserve"> «операторів суміжних систем розподілу» зазначається інформація щодо приєднань електроустановок операторів суміжних систем розподілу.</w:t>
      </w:r>
    </w:p>
    <w:p w14:paraId="16B4A099" w14:textId="77777777" w:rsidR="00BE4EC0" w:rsidRPr="009B3E63" w:rsidRDefault="00BE4EC0" w:rsidP="007A0F37">
      <w:pPr>
        <w:pStyle w:val="a3"/>
        <w:spacing w:line="240" w:lineRule="auto"/>
        <w:ind w:firstLine="709"/>
        <w:rPr>
          <w:rFonts w:ascii="Times New Roman" w:hAnsi="Times New Roman" w:cs="Times New Roman"/>
          <w:color w:val="000000" w:themeColor="text1"/>
          <w:sz w:val="28"/>
          <w:szCs w:val="28"/>
          <w:lang w:val="uk-UA"/>
        </w:rPr>
      </w:pPr>
    </w:p>
    <w:p w14:paraId="39A1FEB1" w14:textId="715096EA" w:rsidR="00BE4EC0" w:rsidRPr="00526F7D" w:rsidRDefault="00BE4EC0" w:rsidP="007A0F37">
      <w:pPr>
        <w:pStyle w:val="a3"/>
        <w:tabs>
          <w:tab w:val="left" w:pos="851"/>
        </w:tabs>
        <w:spacing w:after="0" w:line="240" w:lineRule="auto"/>
        <w:ind w:left="0"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w:t>
      </w:r>
      <w:r w:rsidR="00AA6103">
        <w:rPr>
          <w:rFonts w:ascii="Times New Roman" w:hAnsi="Times New Roman" w:cs="Times New Roman"/>
          <w:color w:val="000000" w:themeColor="text1"/>
          <w:sz w:val="28"/>
          <w:szCs w:val="28"/>
          <w:lang w:val="uk-UA"/>
        </w:rPr>
        <w:t>5</w:t>
      </w:r>
      <w:r>
        <w:rPr>
          <w:rFonts w:ascii="Times New Roman" w:hAnsi="Times New Roman" w:cs="Times New Roman"/>
          <w:color w:val="000000" w:themeColor="text1"/>
          <w:sz w:val="28"/>
          <w:szCs w:val="28"/>
          <w:lang w:val="uk-UA"/>
        </w:rPr>
        <w:t xml:space="preserve">. </w:t>
      </w:r>
      <w:r w:rsidR="00FF2BEA">
        <w:rPr>
          <w:rFonts w:ascii="Times New Roman" w:hAnsi="Times New Roman" w:cs="Times New Roman"/>
          <w:color w:val="000000" w:themeColor="text1"/>
          <w:sz w:val="28"/>
          <w:szCs w:val="28"/>
          <w:lang w:val="uk-UA"/>
        </w:rPr>
        <w:t xml:space="preserve">Дані у розділах ІІІ та </w:t>
      </w:r>
      <w:r w:rsidR="00FF2BEA">
        <w:rPr>
          <w:rFonts w:ascii="Times New Roman" w:hAnsi="Times New Roman" w:cs="Times New Roman"/>
          <w:color w:val="000000" w:themeColor="text1"/>
          <w:sz w:val="28"/>
          <w:szCs w:val="28"/>
          <w:lang w:val="en-US"/>
        </w:rPr>
        <w:t>IV</w:t>
      </w:r>
      <w:r w:rsidR="00FF2BEA" w:rsidRPr="009B3E63">
        <w:rPr>
          <w:rFonts w:ascii="Times New Roman" w:hAnsi="Times New Roman" w:cs="Times New Roman"/>
          <w:color w:val="000000" w:themeColor="text1"/>
          <w:sz w:val="28"/>
          <w:szCs w:val="28"/>
          <w:lang w:val="uk-UA"/>
        </w:rPr>
        <w:t xml:space="preserve"> </w:t>
      </w:r>
      <w:r w:rsidR="00FF2BEA" w:rsidRPr="00FF2BEA">
        <w:rPr>
          <w:rFonts w:ascii="Times New Roman" w:hAnsi="Times New Roman" w:cs="Times New Roman"/>
          <w:color w:val="000000" w:themeColor="text1"/>
          <w:sz w:val="28"/>
          <w:szCs w:val="28"/>
          <w:lang w:val="uk-UA"/>
        </w:rPr>
        <w:t xml:space="preserve">щодо </w:t>
      </w:r>
      <w:r w:rsidR="00FF2BEA">
        <w:rPr>
          <w:rFonts w:ascii="Times New Roman" w:hAnsi="Times New Roman" w:cs="Times New Roman"/>
          <w:color w:val="000000" w:themeColor="text1"/>
          <w:sz w:val="28"/>
          <w:szCs w:val="28"/>
          <w:lang w:val="uk-UA"/>
        </w:rPr>
        <w:t>реалізації приєднань</w:t>
      </w:r>
      <w:r w:rsidR="00FF2BEA" w:rsidRPr="00FF2BEA">
        <w:rPr>
          <w:rFonts w:ascii="Times New Roman" w:hAnsi="Times New Roman" w:cs="Times New Roman"/>
          <w:color w:val="000000" w:themeColor="text1"/>
          <w:sz w:val="28"/>
          <w:szCs w:val="28"/>
          <w:lang w:val="uk-UA"/>
        </w:rPr>
        <w:t xml:space="preserve"> мають узгоджуватись з даними Звіт</w:t>
      </w:r>
      <w:r w:rsidR="00FF2BEA">
        <w:rPr>
          <w:rFonts w:ascii="Times New Roman" w:hAnsi="Times New Roman" w:cs="Times New Roman"/>
          <w:color w:val="000000" w:themeColor="text1"/>
          <w:sz w:val="28"/>
          <w:szCs w:val="28"/>
          <w:lang w:val="uk-UA"/>
        </w:rPr>
        <w:t>у</w:t>
      </w:r>
      <w:r w:rsidR="00FF2BEA" w:rsidRPr="00FF2BEA">
        <w:rPr>
          <w:rFonts w:ascii="Times New Roman" w:hAnsi="Times New Roman" w:cs="Times New Roman"/>
          <w:color w:val="000000" w:themeColor="text1"/>
          <w:sz w:val="28"/>
          <w:szCs w:val="28"/>
          <w:lang w:val="uk-UA"/>
        </w:rPr>
        <w:t xml:space="preserve"> з моніторингу надання ОСП/ОСР послуг з приєднання</w:t>
      </w:r>
      <w:r w:rsidR="00FF2BEA">
        <w:rPr>
          <w:rFonts w:ascii="Times New Roman" w:hAnsi="Times New Roman" w:cs="Times New Roman"/>
          <w:color w:val="000000" w:themeColor="text1"/>
          <w:sz w:val="28"/>
          <w:szCs w:val="28"/>
          <w:lang w:val="uk-UA"/>
        </w:rPr>
        <w:t xml:space="preserve"> згідно з додатком 1 до Методики.</w:t>
      </w:r>
    </w:p>
    <w:p w14:paraId="25972885" w14:textId="77777777" w:rsidR="00EA7CA2" w:rsidRPr="00526F7D" w:rsidRDefault="00EA7CA2" w:rsidP="007A0F37">
      <w:pPr>
        <w:pStyle w:val="a3"/>
        <w:tabs>
          <w:tab w:val="left" w:pos="851"/>
        </w:tabs>
        <w:spacing w:after="0" w:line="240" w:lineRule="auto"/>
        <w:ind w:left="632" w:firstLine="709"/>
        <w:jc w:val="both"/>
        <w:rPr>
          <w:rFonts w:ascii="Times New Roman" w:hAnsi="Times New Roman" w:cs="Times New Roman"/>
          <w:sz w:val="28"/>
          <w:szCs w:val="28"/>
          <w:lang w:val="uk-UA"/>
        </w:rPr>
      </w:pPr>
    </w:p>
    <w:p w14:paraId="32FA34F5" w14:textId="1A82E0E9"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AA6103">
        <w:rPr>
          <w:rFonts w:ascii="Times New Roman" w:hAnsi="Times New Roman" w:cs="Times New Roman"/>
          <w:sz w:val="28"/>
          <w:szCs w:val="28"/>
          <w:lang w:val="uk-UA"/>
        </w:rPr>
        <w:t>6</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У розділі V «Інформація  щодо лічильників електричної енергії, встановлених у споживачів/користувачів» відображається інформація щодо встановлених у користувачів лічильників на початок (графи 1, 3, 5</w:t>
      </w:r>
      <w:r w:rsidR="00B47CA0">
        <w:rPr>
          <w:rFonts w:ascii="Times New Roman" w:hAnsi="Times New Roman" w:cs="Times New Roman"/>
          <w:sz w:val="28"/>
          <w:szCs w:val="28"/>
          <w:lang w:val="uk-UA"/>
        </w:rPr>
        <w:t xml:space="preserve"> та</w:t>
      </w:r>
      <w:r w:rsidR="00B47CA0"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7) та кінець (графи 2, 4, 6</w:t>
      </w:r>
      <w:r w:rsidR="003D4301">
        <w:rPr>
          <w:rFonts w:ascii="Times New Roman" w:hAnsi="Times New Roman" w:cs="Times New Roman"/>
          <w:sz w:val="28"/>
          <w:szCs w:val="28"/>
          <w:lang w:val="uk-UA"/>
        </w:rPr>
        <w:t xml:space="preserve"> та</w:t>
      </w:r>
      <w:r w:rsidR="003D4301"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8) звітного періоду, усього (графи 1 </w:t>
      </w:r>
      <w:r w:rsidR="00E24B9C">
        <w:rPr>
          <w:rFonts w:ascii="Times New Roman" w:hAnsi="Times New Roman" w:cs="Times New Roman"/>
          <w:sz w:val="28"/>
          <w:szCs w:val="28"/>
          <w:lang w:val="uk-UA"/>
        </w:rPr>
        <w:t>та</w:t>
      </w:r>
      <w:r w:rsidR="00EA7CA2" w:rsidRPr="00526F7D">
        <w:rPr>
          <w:rFonts w:ascii="Times New Roman" w:hAnsi="Times New Roman" w:cs="Times New Roman"/>
          <w:sz w:val="28"/>
          <w:szCs w:val="28"/>
          <w:lang w:val="uk-UA"/>
        </w:rPr>
        <w:t xml:space="preserve"> 2) та за типами лічильників (графи 3 – </w:t>
      </w:r>
      <w:r w:rsidR="003D4301">
        <w:rPr>
          <w:rFonts w:ascii="Times New Roman" w:hAnsi="Times New Roman" w:cs="Times New Roman"/>
          <w:sz w:val="28"/>
          <w:szCs w:val="28"/>
          <w:lang w:val="uk-UA"/>
        </w:rPr>
        <w:t>8</w:t>
      </w:r>
      <w:r w:rsidR="00EA7CA2" w:rsidRPr="00526F7D">
        <w:rPr>
          <w:rFonts w:ascii="Times New Roman" w:hAnsi="Times New Roman" w:cs="Times New Roman"/>
          <w:sz w:val="28"/>
          <w:szCs w:val="28"/>
          <w:lang w:val="uk-UA"/>
        </w:rPr>
        <w:t>):</w:t>
      </w:r>
    </w:p>
    <w:p w14:paraId="43CE6F26"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618ADDF8" w14:textId="0CF91B02"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5A0D23" w:rsidRPr="00526F7D">
        <w:rPr>
          <w:rFonts w:ascii="Times New Roman" w:hAnsi="Times New Roman" w:cs="Times New Roman"/>
          <w:sz w:val="28"/>
          <w:szCs w:val="28"/>
          <w:lang w:val="uk-UA"/>
        </w:rPr>
        <w:t>375</w:t>
      </w:r>
      <w:r w:rsidRPr="00526F7D">
        <w:rPr>
          <w:rFonts w:ascii="Times New Roman" w:hAnsi="Times New Roman" w:cs="Times New Roman"/>
          <w:sz w:val="28"/>
          <w:szCs w:val="28"/>
          <w:lang w:val="uk-UA"/>
        </w:rPr>
        <w:t xml:space="preserve"> «Кількість лічильників електричної енергії у користувачів,  у т. ч.:» відображається сумарна інформація щодо кількості лічильників електричної енергії у користувачів, приєднаних до мереж ОСР та мереж основного споживача. Значення рядка </w:t>
      </w:r>
      <w:r w:rsidR="007845C5" w:rsidRPr="00526F7D">
        <w:rPr>
          <w:rFonts w:ascii="Times New Roman" w:hAnsi="Times New Roman" w:cs="Times New Roman"/>
          <w:sz w:val="28"/>
          <w:szCs w:val="28"/>
          <w:lang w:val="uk-UA"/>
        </w:rPr>
        <w:t>415</w:t>
      </w:r>
      <w:r w:rsidRPr="00526F7D">
        <w:rPr>
          <w:rFonts w:ascii="Times New Roman" w:hAnsi="Times New Roman" w:cs="Times New Roman"/>
          <w:sz w:val="28"/>
          <w:szCs w:val="28"/>
          <w:lang w:val="uk-UA"/>
        </w:rPr>
        <w:t xml:space="preserve"> дорівнює сумі значень рядків </w:t>
      </w:r>
      <w:r w:rsidR="005A0D23" w:rsidRPr="00526F7D">
        <w:rPr>
          <w:rFonts w:ascii="Times New Roman" w:hAnsi="Times New Roman" w:cs="Times New Roman"/>
          <w:sz w:val="28"/>
          <w:szCs w:val="28"/>
          <w:lang w:val="uk-UA"/>
        </w:rPr>
        <w:t>380</w:t>
      </w:r>
      <w:r w:rsidRPr="00526F7D">
        <w:rPr>
          <w:rFonts w:ascii="Times New Roman" w:hAnsi="Times New Roman" w:cs="Times New Roman"/>
          <w:sz w:val="28"/>
          <w:szCs w:val="28"/>
          <w:lang w:val="uk-UA"/>
        </w:rPr>
        <w:t xml:space="preserve">, </w:t>
      </w:r>
      <w:r w:rsidR="005A0D23" w:rsidRPr="00526F7D">
        <w:rPr>
          <w:rFonts w:ascii="Times New Roman" w:hAnsi="Times New Roman" w:cs="Times New Roman"/>
          <w:sz w:val="28"/>
          <w:szCs w:val="28"/>
          <w:lang w:val="uk-UA"/>
        </w:rPr>
        <w:t>400</w:t>
      </w:r>
      <w:r w:rsidRPr="00526F7D">
        <w:rPr>
          <w:rFonts w:ascii="Times New Roman" w:hAnsi="Times New Roman" w:cs="Times New Roman"/>
          <w:sz w:val="28"/>
          <w:szCs w:val="28"/>
          <w:lang w:val="uk-UA"/>
        </w:rPr>
        <w:t xml:space="preserve">,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3</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w:t>
      </w:r>
    </w:p>
    <w:p w14:paraId="277252C7" w14:textId="77777777" w:rsidR="00EA7CA2" w:rsidRPr="00526F7D" w:rsidRDefault="00EA7CA2" w:rsidP="007A0F37">
      <w:pPr>
        <w:pStyle w:val="a3"/>
        <w:tabs>
          <w:tab w:val="left" w:pos="993"/>
        </w:tabs>
        <w:spacing w:after="0" w:line="240" w:lineRule="auto"/>
        <w:ind w:left="490" w:firstLine="709"/>
        <w:jc w:val="both"/>
        <w:rPr>
          <w:rFonts w:ascii="Times New Roman" w:hAnsi="Times New Roman" w:cs="Times New Roman"/>
          <w:sz w:val="28"/>
          <w:szCs w:val="28"/>
          <w:lang w:val="uk-UA"/>
        </w:rPr>
      </w:pPr>
    </w:p>
    <w:p w14:paraId="67DE7468" w14:textId="7403D24B"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5A0D23" w:rsidRPr="00526F7D">
        <w:rPr>
          <w:rFonts w:ascii="Times New Roman" w:hAnsi="Times New Roman" w:cs="Times New Roman"/>
          <w:sz w:val="28"/>
          <w:szCs w:val="28"/>
          <w:lang w:val="uk-UA"/>
        </w:rPr>
        <w:t>380</w:t>
      </w:r>
      <w:r w:rsidRPr="00526F7D">
        <w:rPr>
          <w:rFonts w:ascii="Times New Roman" w:hAnsi="Times New Roman" w:cs="Times New Roman"/>
          <w:sz w:val="28"/>
          <w:szCs w:val="28"/>
          <w:lang w:val="uk-UA"/>
        </w:rPr>
        <w:t xml:space="preserve"> «побутових споживачів:» зазначаються сумарні дані щодо лічильників побутових споживачів та за категоріями побутових споживачів (рядки </w:t>
      </w:r>
      <w:r w:rsidR="005A0D23" w:rsidRPr="00526F7D">
        <w:rPr>
          <w:rFonts w:ascii="Times New Roman" w:hAnsi="Times New Roman" w:cs="Times New Roman"/>
          <w:sz w:val="28"/>
          <w:szCs w:val="28"/>
          <w:lang w:val="uk-UA"/>
        </w:rPr>
        <w:t>385</w:t>
      </w:r>
      <w:r w:rsidRPr="00526F7D">
        <w:rPr>
          <w:rFonts w:ascii="Times New Roman" w:hAnsi="Times New Roman" w:cs="Times New Roman"/>
          <w:sz w:val="28"/>
          <w:szCs w:val="28"/>
          <w:lang w:val="uk-UA"/>
        </w:rPr>
        <w:t xml:space="preserve"> – </w:t>
      </w:r>
      <w:r w:rsidR="005A0D23" w:rsidRPr="00526F7D">
        <w:rPr>
          <w:rFonts w:ascii="Times New Roman" w:hAnsi="Times New Roman" w:cs="Times New Roman"/>
          <w:sz w:val="28"/>
          <w:szCs w:val="28"/>
          <w:lang w:val="uk-UA"/>
        </w:rPr>
        <w:t>395</w:t>
      </w:r>
      <w:r w:rsidRPr="00526F7D">
        <w:rPr>
          <w:rFonts w:ascii="Times New Roman" w:hAnsi="Times New Roman" w:cs="Times New Roman"/>
          <w:sz w:val="28"/>
          <w:szCs w:val="28"/>
          <w:lang w:val="uk-UA"/>
        </w:rPr>
        <w:t>)</w:t>
      </w:r>
      <w:r w:rsidR="00922516" w:rsidRPr="00526F7D">
        <w:rPr>
          <w:rFonts w:ascii="Times New Roman" w:hAnsi="Times New Roman" w:cs="Times New Roman"/>
          <w:sz w:val="28"/>
          <w:szCs w:val="28"/>
          <w:lang w:val="uk-UA"/>
        </w:rPr>
        <w:t xml:space="preserve">. Значення рядка </w:t>
      </w:r>
      <w:r w:rsidR="005A0D23" w:rsidRPr="00526F7D">
        <w:rPr>
          <w:rFonts w:ascii="Times New Roman" w:hAnsi="Times New Roman" w:cs="Times New Roman"/>
          <w:sz w:val="28"/>
          <w:szCs w:val="28"/>
          <w:lang w:val="uk-UA"/>
        </w:rPr>
        <w:t>380</w:t>
      </w:r>
      <w:r w:rsidR="00922516" w:rsidRPr="00526F7D">
        <w:rPr>
          <w:rFonts w:ascii="Times New Roman" w:hAnsi="Times New Roman" w:cs="Times New Roman"/>
          <w:sz w:val="28"/>
          <w:szCs w:val="28"/>
          <w:lang w:val="uk-UA"/>
        </w:rPr>
        <w:t xml:space="preserve"> дорівнює сумі значень рядків </w:t>
      </w:r>
      <w:r w:rsidR="005A0D23" w:rsidRPr="00526F7D">
        <w:rPr>
          <w:rFonts w:ascii="Times New Roman" w:hAnsi="Times New Roman" w:cs="Times New Roman"/>
          <w:sz w:val="28"/>
          <w:szCs w:val="28"/>
          <w:lang w:val="uk-UA"/>
        </w:rPr>
        <w:t>385</w:t>
      </w:r>
      <w:r w:rsidR="00922516" w:rsidRPr="00526F7D">
        <w:rPr>
          <w:rFonts w:ascii="Times New Roman" w:hAnsi="Times New Roman" w:cs="Times New Roman"/>
          <w:sz w:val="28"/>
          <w:szCs w:val="28"/>
          <w:lang w:val="uk-UA"/>
        </w:rPr>
        <w:t xml:space="preserve"> та </w:t>
      </w:r>
      <w:r w:rsidR="005A0D23" w:rsidRPr="00526F7D">
        <w:rPr>
          <w:rFonts w:ascii="Times New Roman" w:hAnsi="Times New Roman" w:cs="Times New Roman"/>
          <w:sz w:val="28"/>
          <w:szCs w:val="28"/>
          <w:lang w:val="uk-UA"/>
        </w:rPr>
        <w:t>395</w:t>
      </w:r>
      <w:r w:rsidRPr="00526F7D">
        <w:rPr>
          <w:rFonts w:ascii="Times New Roman" w:hAnsi="Times New Roman" w:cs="Times New Roman"/>
          <w:sz w:val="28"/>
          <w:szCs w:val="28"/>
          <w:lang w:val="uk-UA"/>
        </w:rPr>
        <w:t>;</w:t>
      </w:r>
    </w:p>
    <w:p w14:paraId="5C24AAFF"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53FAE59A" w14:textId="61B06C1D"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«непобутових споживачів, крім малих систем розподілу» зазначаються сумарні дані щодо лічильників непобутових споживачів (крім </w:t>
      </w:r>
      <w:r w:rsidRPr="00526F7D">
        <w:rPr>
          <w:rFonts w:ascii="Times New Roman" w:hAnsi="Times New Roman" w:cs="Times New Roman"/>
          <w:sz w:val="28"/>
          <w:szCs w:val="28"/>
          <w:lang w:val="uk-UA"/>
        </w:rPr>
        <w:lastRenderedPageBreak/>
        <w:t xml:space="preserve">малих систем розподілу) та за категоріями непобутових споживачів (рядки </w:t>
      </w:r>
      <w:r w:rsidR="005A0D23" w:rsidRPr="00526F7D">
        <w:rPr>
          <w:rFonts w:ascii="Times New Roman" w:hAnsi="Times New Roman" w:cs="Times New Roman"/>
          <w:sz w:val="28"/>
          <w:szCs w:val="28"/>
          <w:lang w:val="uk-UA"/>
        </w:rPr>
        <w:t>405</w:t>
      </w:r>
      <w:r w:rsidRPr="00526F7D">
        <w:rPr>
          <w:rFonts w:ascii="Times New Roman" w:hAnsi="Times New Roman" w:cs="Times New Roman"/>
          <w:sz w:val="28"/>
          <w:szCs w:val="28"/>
          <w:lang w:val="uk-UA"/>
        </w:rPr>
        <w:t xml:space="preserve"> – 4</w:t>
      </w:r>
      <w:r w:rsidR="005A0D23" w:rsidRPr="00526F7D">
        <w:rPr>
          <w:rFonts w:ascii="Times New Roman" w:hAnsi="Times New Roman" w:cs="Times New Roman"/>
          <w:sz w:val="28"/>
          <w:szCs w:val="28"/>
          <w:lang w:val="uk-UA"/>
        </w:rPr>
        <w:t>3</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w:t>
      </w:r>
      <w:r w:rsidR="00922516" w:rsidRPr="00526F7D">
        <w:rPr>
          <w:rFonts w:ascii="Times New Roman" w:hAnsi="Times New Roman" w:cs="Times New Roman"/>
          <w:sz w:val="28"/>
          <w:szCs w:val="28"/>
          <w:lang w:val="uk-UA"/>
        </w:rPr>
        <w:t>. Значення рядка 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0 дорівнює сумі значень рядків 4</w:t>
      </w:r>
      <w:r w:rsidR="005A0D23"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5 та 4</w:t>
      </w:r>
      <w:r w:rsidR="005A0D23" w:rsidRPr="00526F7D">
        <w:rPr>
          <w:rFonts w:ascii="Times New Roman" w:hAnsi="Times New Roman" w:cs="Times New Roman"/>
          <w:sz w:val="28"/>
          <w:szCs w:val="28"/>
          <w:lang w:val="uk-UA"/>
        </w:rPr>
        <w:t>2</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w:t>
      </w:r>
    </w:p>
    <w:p w14:paraId="483083F4" w14:textId="77777777" w:rsidR="005A0D23" w:rsidRPr="00526F7D" w:rsidRDefault="005A0D23" w:rsidP="007A0F37">
      <w:pPr>
        <w:tabs>
          <w:tab w:val="left" w:pos="993"/>
        </w:tabs>
        <w:spacing w:after="0" w:line="240" w:lineRule="auto"/>
        <w:ind w:firstLine="709"/>
        <w:jc w:val="both"/>
        <w:rPr>
          <w:rFonts w:ascii="Times New Roman" w:hAnsi="Times New Roman" w:cs="Times New Roman"/>
          <w:sz w:val="28"/>
          <w:szCs w:val="28"/>
          <w:lang w:val="uk-UA"/>
        </w:rPr>
      </w:pPr>
    </w:p>
    <w:p w14:paraId="5B4714F8" w14:textId="127F31AD"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3</w:t>
      </w:r>
      <w:r w:rsidRPr="00526F7D">
        <w:rPr>
          <w:rFonts w:ascii="Times New Roman" w:hAnsi="Times New Roman" w:cs="Times New Roman"/>
          <w:sz w:val="28"/>
          <w:szCs w:val="28"/>
          <w:lang w:val="uk-UA"/>
        </w:rPr>
        <w:t xml:space="preserve">5 «малих систем розподілу» зазначаються дані щодо лічильників малих систем розподілу; </w:t>
      </w:r>
    </w:p>
    <w:p w14:paraId="50FC47A2"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7954EE03" w14:textId="33B48F3E" w:rsidR="00EA7CA2" w:rsidRPr="00526F7D"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«виробників електричної енергії» зазначаються дані щодо </w:t>
      </w:r>
      <w:r w:rsidR="00922516" w:rsidRPr="00526F7D">
        <w:rPr>
          <w:rFonts w:ascii="Times New Roman" w:hAnsi="Times New Roman" w:cs="Times New Roman"/>
          <w:sz w:val="28"/>
          <w:szCs w:val="28"/>
          <w:lang w:val="uk-UA"/>
        </w:rPr>
        <w:t xml:space="preserve">лічильників </w:t>
      </w:r>
      <w:r w:rsidRPr="00526F7D">
        <w:rPr>
          <w:rFonts w:ascii="Times New Roman" w:hAnsi="Times New Roman" w:cs="Times New Roman"/>
          <w:sz w:val="28"/>
          <w:szCs w:val="28"/>
          <w:lang w:val="uk-UA"/>
        </w:rPr>
        <w:t>виробників електричної енергії;</w:t>
      </w:r>
    </w:p>
    <w:p w14:paraId="4A3BD2F7"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14300470" w14:textId="7AB2EC06" w:rsidR="003D4301" w:rsidRPr="00080573" w:rsidRDefault="00EA7CA2"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рядку 4</w:t>
      </w:r>
      <w:r w:rsidR="005A0D23" w:rsidRPr="00526F7D">
        <w:rPr>
          <w:rFonts w:ascii="Times New Roman" w:hAnsi="Times New Roman" w:cs="Times New Roman"/>
          <w:sz w:val="28"/>
          <w:szCs w:val="28"/>
          <w:lang w:val="uk-UA"/>
        </w:rPr>
        <w:t>4</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«операторів суміжних систем розподілу» зазначаються дані </w:t>
      </w:r>
      <w:r w:rsidR="00922516" w:rsidRPr="00526F7D">
        <w:rPr>
          <w:rFonts w:ascii="Times New Roman" w:hAnsi="Times New Roman" w:cs="Times New Roman"/>
          <w:sz w:val="28"/>
          <w:szCs w:val="28"/>
          <w:lang w:val="uk-UA"/>
        </w:rPr>
        <w:t xml:space="preserve">щодо лічильників </w:t>
      </w:r>
      <w:r w:rsidRPr="00526F7D">
        <w:rPr>
          <w:rFonts w:ascii="Times New Roman" w:hAnsi="Times New Roman" w:cs="Times New Roman"/>
          <w:sz w:val="28"/>
          <w:szCs w:val="28"/>
          <w:lang w:val="uk-UA"/>
        </w:rPr>
        <w:t>операторів суміжних систем розподілу</w:t>
      </w:r>
      <w:r w:rsidR="00922516" w:rsidRPr="00526F7D">
        <w:rPr>
          <w:rFonts w:ascii="Times New Roman" w:hAnsi="Times New Roman" w:cs="Times New Roman"/>
          <w:sz w:val="28"/>
          <w:szCs w:val="28"/>
          <w:lang w:val="uk-UA"/>
        </w:rPr>
        <w:t xml:space="preserve">, що </w:t>
      </w:r>
      <w:proofErr w:type="spellStart"/>
      <w:r w:rsidR="00922516" w:rsidRPr="00526F7D">
        <w:rPr>
          <w:rFonts w:ascii="Times New Roman" w:hAnsi="Times New Roman" w:cs="Times New Roman"/>
          <w:sz w:val="28"/>
          <w:szCs w:val="28"/>
          <w:lang w:val="uk-UA"/>
        </w:rPr>
        <w:t>адмініструються</w:t>
      </w:r>
      <w:proofErr w:type="spellEnd"/>
      <w:r w:rsidR="00922516" w:rsidRPr="00526F7D">
        <w:rPr>
          <w:rFonts w:ascii="Times New Roman" w:hAnsi="Times New Roman" w:cs="Times New Roman"/>
          <w:sz w:val="28"/>
          <w:szCs w:val="28"/>
          <w:lang w:val="uk-UA"/>
        </w:rPr>
        <w:t xml:space="preserve"> оператором системи розподілу</w:t>
      </w:r>
      <w:r w:rsidR="00907B49" w:rsidRPr="00526F7D">
        <w:rPr>
          <w:rFonts w:ascii="Times New Roman" w:hAnsi="Times New Roman" w:cs="Times New Roman"/>
          <w:sz w:val="28"/>
          <w:szCs w:val="28"/>
          <w:lang w:val="uk-UA"/>
        </w:rPr>
        <w:t>;</w:t>
      </w:r>
    </w:p>
    <w:p w14:paraId="55B00CF4" w14:textId="77777777" w:rsidR="00C178F6" w:rsidRDefault="00C178F6" w:rsidP="007A0F37">
      <w:pPr>
        <w:pStyle w:val="a3"/>
        <w:tabs>
          <w:tab w:val="left" w:pos="993"/>
        </w:tabs>
        <w:spacing w:after="0" w:line="240" w:lineRule="auto"/>
        <w:ind w:left="567" w:firstLine="709"/>
        <w:jc w:val="both"/>
        <w:rPr>
          <w:rFonts w:ascii="Times New Roman" w:hAnsi="Times New Roman" w:cs="Times New Roman"/>
          <w:sz w:val="28"/>
          <w:szCs w:val="28"/>
          <w:lang w:val="uk-UA"/>
        </w:rPr>
      </w:pPr>
    </w:p>
    <w:p w14:paraId="78767F34" w14:textId="3197CC23" w:rsidR="00C178F6" w:rsidRPr="00080573" w:rsidRDefault="00C178F6"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446 «</w:t>
      </w:r>
      <w:r w:rsidRPr="00C178F6">
        <w:rPr>
          <w:rFonts w:ascii="Times New Roman" w:hAnsi="Times New Roman" w:cs="Times New Roman"/>
          <w:sz w:val="28"/>
          <w:szCs w:val="28"/>
          <w:lang w:val="uk-UA"/>
        </w:rPr>
        <w:t>операторів УЗЕ</w:t>
      </w:r>
      <w:r>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зазначаються дані щодо лічильників операторів </w:t>
      </w:r>
      <w:r>
        <w:rPr>
          <w:rFonts w:ascii="Times New Roman" w:hAnsi="Times New Roman" w:cs="Times New Roman"/>
          <w:sz w:val="28"/>
          <w:szCs w:val="28"/>
          <w:lang w:val="uk-UA"/>
        </w:rPr>
        <w:t>установок зберігання енергії</w:t>
      </w:r>
      <w:r w:rsidRPr="00526F7D">
        <w:rPr>
          <w:rFonts w:ascii="Times New Roman" w:hAnsi="Times New Roman" w:cs="Times New Roman"/>
          <w:sz w:val="28"/>
          <w:szCs w:val="28"/>
          <w:lang w:val="uk-UA"/>
        </w:rPr>
        <w:t xml:space="preserve">, що </w:t>
      </w:r>
      <w:proofErr w:type="spellStart"/>
      <w:r w:rsidRPr="00526F7D">
        <w:rPr>
          <w:rFonts w:ascii="Times New Roman" w:hAnsi="Times New Roman" w:cs="Times New Roman"/>
          <w:sz w:val="28"/>
          <w:szCs w:val="28"/>
          <w:lang w:val="uk-UA"/>
        </w:rPr>
        <w:t>адмініструються</w:t>
      </w:r>
      <w:proofErr w:type="spellEnd"/>
      <w:r w:rsidRPr="00526F7D">
        <w:rPr>
          <w:rFonts w:ascii="Times New Roman" w:hAnsi="Times New Roman" w:cs="Times New Roman"/>
          <w:sz w:val="28"/>
          <w:szCs w:val="28"/>
          <w:lang w:val="uk-UA"/>
        </w:rPr>
        <w:t xml:space="preserve"> оператором системи розподілу;</w:t>
      </w:r>
    </w:p>
    <w:p w14:paraId="021BB438" w14:textId="77777777" w:rsidR="0060466B" w:rsidRPr="00526F7D" w:rsidRDefault="0060466B" w:rsidP="007A0F37">
      <w:pPr>
        <w:pStyle w:val="a3"/>
        <w:spacing w:line="240" w:lineRule="auto"/>
        <w:ind w:firstLine="709"/>
        <w:rPr>
          <w:rFonts w:ascii="Times New Roman" w:hAnsi="Times New Roman" w:cs="Times New Roman"/>
          <w:sz w:val="28"/>
          <w:szCs w:val="28"/>
          <w:lang w:val="uk-UA"/>
        </w:rPr>
      </w:pPr>
    </w:p>
    <w:p w14:paraId="7BDD6F87" w14:textId="531F3250" w:rsidR="0060466B" w:rsidRPr="00526F7D" w:rsidRDefault="0060466B" w:rsidP="007A0F37">
      <w:pPr>
        <w:pStyle w:val="a3"/>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922516" w:rsidRPr="00526F7D">
        <w:rPr>
          <w:rFonts w:ascii="Times New Roman" w:hAnsi="Times New Roman" w:cs="Times New Roman"/>
          <w:sz w:val="28"/>
          <w:szCs w:val="28"/>
          <w:lang w:val="uk-UA"/>
        </w:rPr>
        <w:t>4</w:t>
      </w:r>
      <w:r w:rsidR="005A0D23" w:rsidRPr="00526F7D">
        <w:rPr>
          <w:rFonts w:ascii="Times New Roman" w:hAnsi="Times New Roman" w:cs="Times New Roman"/>
          <w:sz w:val="28"/>
          <w:szCs w:val="28"/>
          <w:lang w:val="uk-UA"/>
        </w:rPr>
        <w:t>5</w:t>
      </w:r>
      <w:r w:rsidR="0092251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«Кількість точок комерційного обліку з </w:t>
      </w:r>
      <w:proofErr w:type="spellStart"/>
      <w:r w:rsidRPr="00526F7D">
        <w:rPr>
          <w:rFonts w:ascii="Times New Roman" w:hAnsi="Times New Roman" w:cs="Times New Roman"/>
          <w:sz w:val="28"/>
          <w:szCs w:val="28"/>
          <w:lang w:val="uk-UA"/>
        </w:rPr>
        <w:t>безобліковим</w:t>
      </w:r>
      <w:proofErr w:type="spellEnd"/>
      <w:r w:rsidRPr="00526F7D">
        <w:rPr>
          <w:rFonts w:ascii="Times New Roman" w:hAnsi="Times New Roman" w:cs="Times New Roman"/>
          <w:sz w:val="28"/>
          <w:szCs w:val="28"/>
          <w:lang w:val="uk-UA"/>
        </w:rPr>
        <w:t xml:space="preserve"> споживанням» відображається сумарна інформація щодо кількості точок комерційного обліку, приєднаних до мереж ОСР та мереж основного споживача, з </w:t>
      </w:r>
      <w:proofErr w:type="spellStart"/>
      <w:r w:rsidRPr="00526F7D">
        <w:rPr>
          <w:rFonts w:ascii="Times New Roman" w:hAnsi="Times New Roman" w:cs="Times New Roman"/>
          <w:sz w:val="28"/>
          <w:szCs w:val="28"/>
          <w:lang w:val="uk-UA"/>
        </w:rPr>
        <w:t>безобліковим</w:t>
      </w:r>
      <w:proofErr w:type="spellEnd"/>
      <w:r w:rsidRPr="00526F7D">
        <w:rPr>
          <w:rFonts w:ascii="Times New Roman" w:hAnsi="Times New Roman" w:cs="Times New Roman"/>
          <w:sz w:val="28"/>
          <w:szCs w:val="28"/>
          <w:lang w:val="uk-UA"/>
        </w:rPr>
        <w:t xml:space="preserve"> споживанням.</w:t>
      </w:r>
    </w:p>
    <w:p w14:paraId="790C8E2B" w14:textId="77777777" w:rsidR="00EA7CA2" w:rsidRPr="00526F7D" w:rsidRDefault="00EA7CA2" w:rsidP="007A0F37">
      <w:pPr>
        <w:pStyle w:val="a3"/>
        <w:tabs>
          <w:tab w:val="left" w:pos="851"/>
          <w:tab w:val="left" w:pos="993"/>
        </w:tabs>
        <w:spacing w:after="0" w:line="240" w:lineRule="auto"/>
        <w:ind w:left="632" w:firstLine="709"/>
        <w:jc w:val="both"/>
        <w:rPr>
          <w:rFonts w:ascii="Times New Roman" w:hAnsi="Times New Roman" w:cs="Times New Roman"/>
          <w:sz w:val="28"/>
          <w:szCs w:val="28"/>
          <w:lang w:val="uk-UA"/>
        </w:rPr>
      </w:pPr>
    </w:p>
    <w:p w14:paraId="71B70FC3" w14:textId="2B46725C" w:rsidR="00EA7CA2" w:rsidRPr="00526F7D" w:rsidRDefault="0060466B" w:rsidP="007A0F37">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7</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розділі VІ </w:t>
      </w:r>
      <w:r w:rsidR="00EA7CA2" w:rsidRPr="00526F7D">
        <w:rPr>
          <w:lang w:val="uk-UA"/>
        </w:rPr>
        <w:t>«</w:t>
      </w:r>
      <w:r w:rsidR="00EA7CA2" w:rsidRPr="00526F7D">
        <w:rPr>
          <w:rFonts w:ascii="Times New Roman" w:hAnsi="Times New Roman" w:cs="Times New Roman"/>
          <w:sz w:val="28"/>
          <w:szCs w:val="28"/>
          <w:lang w:val="uk-UA"/>
        </w:rPr>
        <w:t>Інформація щодо відключення/відновлення електроживлення споживачів електричної енергії» відображається  інформація щодо відключення/відновлення електроживлення споживачів протягом звітного періоду:</w:t>
      </w:r>
    </w:p>
    <w:p w14:paraId="16E4ADB2" w14:textId="77777777" w:rsidR="00EA7CA2" w:rsidRPr="00526F7D" w:rsidRDefault="00EA7CA2" w:rsidP="007A0F37">
      <w:pPr>
        <w:pStyle w:val="a3"/>
        <w:tabs>
          <w:tab w:val="left" w:pos="993"/>
        </w:tabs>
        <w:spacing w:after="0" w:line="240" w:lineRule="auto"/>
        <w:ind w:left="632" w:firstLine="709"/>
        <w:jc w:val="both"/>
        <w:rPr>
          <w:rFonts w:ascii="Times New Roman" w:hAnsi="Times New Roman" w:cs="Times New Roman"/>
          <w:sz w:val="28"/>
          <w:szCs w:val="28"/>
          <w:lang w:val="uk-UA"/>
        </w:rPr>
      </w:pPr>
    </w:p>
    <w:p w14:paraId="5DE830E5" w14:textId="7777777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та 5;</w:t>
      </w:r>
    </w:p>
    <w:p w14:paraId="2FA8B9FA"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76F37E2A" w14:textId="79B769D0"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у графах 2 – 1</w:t>
      </w:r>
      <w:r w:rsidR="00E24B9C">
        <w:rPr>
          <w:rFonts w:ascii="Times New Roman" w:hAnsi="Times New Roman" w:cs="Times New Roman"/>
          <w:sz w:val="28"/>
          <w:szCs w:val="28"/>
          <w:lang w:val="uk-UA"/>
        </w:rPr>
        <w:t>1</w:t>
      </w:r>
      <w:r w:rsidRPr="00526F7D">
        <w:rPr>
          <w:rFonts w:ascii="Times New Roman" w:hAnsi="Times New Roman" w:cs="Times New Roman"/>
          <w:sz w:val="28"/>
          <w:szCs w:val="28"/>
          <w:lang w:val="uk-UA"/>
        </w:rPr>
        <w:t xml:space="preserve"> зазначаються дані за категоріями користувачів: побутових споживачів (графи 2 – 4), непобутових споживачів (графи 5 – 1</w:t>
      </w:r>
      <w:r w:rsidR="002942F7" w:rsidRPr="00526F7D">
        <w:rPr>
          <w:rFonts w:ascii="Times New Roman" w:hAnsi="Times New Roman" w:cs="Times New Roman"/>
          <w:sz w:val="28"/>
          <w:szCs w:val="28"/>
          <w:lang w:val="uk-UA"/>
        </w:rPr>
        <w:t>1</w:t>
      </w:r>
      <w:r w:rsidRPr="00526F7D">
        <w:rPr>
          <w:rFonts w:ascii="Times New Roman" w:hAnsi="Times New Roman" w:cs="Times New Roman"/>
          <w:sz w:val="28"/>
          <w:szCs w:val="28"/>
          <w:lang w:val="uk-UA"/>
        </w:rPr>
        <w:t>);</w:t>
      </w:r>
    </w:p>
    <w:p w14:paraId="763C02FF"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774BE6A5" w14:textId="61117B34"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455</w:t>
      </w:r>
      <w:r w:rsidRPr="00526F7D">
        <w:rPr>
          <w:rFonts w:ascii="Times New Roman" w:hAnsi="Times New Roman" w:cs="Times New Roman"/>
          <w:sz w:val="28"/>
          <w:szCs w:val="28"/>
          <w:lang w:val="uk-UA"/>
        </w:rPr>
        <w:t xml:space="preserve"> «Кількість випадків відключення електроживлення споживачів, з них за ініціативою:» зазначаються дані щодо загальної кількості випадків відключення електроживлення споживачів у звітному періоді;</w:t>
      </w:r>
    </w:p>
    <w:p w14:paraId="35DC4B71"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5F46FF7F" w14:textId="541DD707"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460</w:t>
      </w:r>
      <w:r w:rsidRPr="00526F7D">
        <w:rPr>
          <w:rFonts w:ascii="Times New Roman" w:hAnsi="Times New Roman" w:cs="Times New Roman"/>
          <w:sz w:val="28"/>
          <w:szCs w:val="28"/>
          <w:lang w:val="uk-UA"/>
        </w:rPr>
        <w:t xml:space="preserve"> «ОСР, зокрема»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ОСР;</w:t>
      </w:r>
    </w:p>
    <w:p w14:paraId="41C495FC" w14:textId="77777777" w:rsidR="00EA7CA2" w:rsidRPr="00526F7D" w:rsidRDefault="00EA7CA2" w:rsidP="007A0F37">
      <w:pPr>
        <w:pStyle w:val="a3"/>
        <w:tabs>
          <w:tab w:val="left" w:pos="851"/>
        </w:tabs>
        <w:spacing w:line="240" w:lineRule="auto"/>
        <w:ind w:left="0" w:firstLine="709"/>
        <w:rPr>
          <w:rFonts w:ascii="Times New Roman" w:hAnsi="Times New Roman" w:cs="Times New Roman"/>
          <w:sz w:val="28"/>
          <w:szCs w:val="28"/>
          <w:lang w:val="uk-UA"/>
        </w:rPr>
      </w:pPr>
    </w:p>
    <w:p w14:paraId="2DBABF23" w14:textId="1692880C"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465</w:t>
      </w:r>
      <w:r w:rsidRPr="00526F7D">
        <w:rPr>
          <w:rFonts w:ascii="Times New Roman" w:hAnsi="Times New Roman" w:cs="Times New Roman"/>
          <w:sz w:val="28"/>
          <w:szCs w:val="28"/>
          <w:lang w:val="uk-UA"/>
        </w:rPr>
        <w:t xml:space="preserve"> «за заборгованість» зазначаються дані щодо кількості випадків відключення електроживлення споживачів за заборгованість за надані послуги з розподілу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ОСР;</w:t>
      </w:r>
    </w:p>
    <w:p w14:paraId="70436C57" w14:textId="77777777" w:rsidR="00EA7CA2" w:rsidRPr="00526F7D" w:rsidRDefault="00EA7CA2" w:rsidP="007A0F37">
      <w:pPr>
        <w:pStyle w:val="a3"/>
        <w:tabs>
          <w:tab w:val="left" w:pos="851"/>
        </w:tabs>
        <w:spacing w:line="240" w:lineRule="auto"/>
        <w:ind w:left="0" w:firstLine="709"/>
        <w:rPr>
          <w:rFonts w:ascii="Times New Roman" w:hAnsi="Times New Roman" w:cs="Times New Roman"/>
          <w:sz w:val="28"/>
          <w:szCs w:val="28"/>
          <w:lang w:val="uk-UA"/>
        </w:rPr>
      </w:pPr>
    </w:p>
    <w:p w14:paraId="65A04282" w14:textId="59CA3FF6"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 xml:space="preserve">у рядку </w:t>
      </w:r>
      <w:r w:rsidR="00EC4AF4" w:rsidRPr="00526F7D">
        <w:rPr>
          <w:rFonts w:ascii="Times New Roman" w:hAnsi="Times New Roman" w:cs="Times New Roman"/>
          <w:sz w:val="28"/>
          <w:szCs w:val="28"/>
          <w:lang w:val="uk-UA"/>
        </w:rPr>
        <w:t>470</w:t>
      </w:r>
      <w:r w:rsidRPr="00526F7D">
        <w:rPr>
          <w:rFonts w:ascii="Times New Roman" w:hAnsi="Times New Roman" w:cs="Times New Roman"/>
          <w:sz w:val="28"/>
          <w:szCs w:val="28"/>
          <w:lang w:val="uk-UA"/>
        </w:rPr>
        <w:t xml:space="preserve"> «електропостачальника, зокрема»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електропостачальника;</w:t>
      </w:r>
    </w:p>
    <w:p w14:paraId="50246DA3"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208EDC16" w14:textId="669C38FC"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475</w:t>
      </w:r>
      <w:r w:rsidRPr="00526F7D">
        <w:rPr>
          <w:rFonts w:ascii="Times New Roman" w:hAnsi="Times New Roman" w:cs="Times New Roman"/>
          <w:sz w:val="28"/>
          <w:szCs w:val="28"/>
          <w:lang w:val="uk-UA"/>
        </w:rPr>
        <w:t xml:space="preserve"> «за заборгованість» зазначаються дані щодо кількості випадків відключення електроживлення споживачів за заборгованість з оплати за спожиту електричну енергію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електропостачальника;</w:t>
      </w:r>
    </w:p>
    <w:p w14:paraId="239DF19D"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7D4AE1A8" w14:textId="76BCEECA" w:rsidR="00EA7CA2" w:rsidRPr="00526F7D" w:rsidRDefault="00EA7CA2" w:rsidP="007A0F37">
      <w:pPr>
        <w:pStyle w:val="a3"/>
        <w:numPr>
          <w:ilvl w:val="0"/>
          <w:numId w:val="6"/>
        </w:numPr>
        <w:tabs>
          <w:tab w:val="left" w:pos="851"/>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480</w:t>
      </w:r>
      <w:r w:rsidRPr="00526F7D">
        <w:rPr>
          <w:rFonts w:ascii="Times New Roman" w:hAnsi="Times New Roman" w:cs="Times New Roman"/>
          <w:sz w:val="28"/>
          <w:szCs w:val="28"/>
          <w:lang w:val="uk-UA"/>
        </w:rPr>
        <w:t xml:space="preserve"> «споживача» зазначаються дані щодо кількості випадків відключення електроживлення споживачів у звітному періоді</w:t>
      </w:r>
      <w:r w:rsidRPr="00526F7D" w:rsidDel="006E240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за ініціативою споживача;</w:t>
      </w:r>
    </w:p>
    <w:p w14:paraId="3CBFF121"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A9245A6" w14:textId="4681091E"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485</w:t>
      </w:r>
      <w:r w:rsidRPr="00526F7D">
        <w:rPr>
          <w:rFonts w:ascii="Times New Roman" w:hAnsi="Times New Roman" w:cs="Times New Roman"/>
          <w:sz w:val="28"/>
          <w:szCs w:val="28"/>
          <w:lang w:val="uk-UA"/>
        </w:rPr>
        <w:t xml:space="preserve"> «Кількість випадків відновлення електроживлення споживачів, які були відключені за ініціативою:» зазначаються дані щодо загальної кількості випадків відновлення електроживлення споживачів у звітному періоді;</w:t>
      </w:r>
    </w:p>
    <w:p w14:paraId="4886AFCB"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7212EB51" w14:textId="722E21D7" w:rsidR="00EA7CA2"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490</w:t>
      </w:r>
      <w:r w:rsidRPr="00526F7D">
        <w:rPr>
          <w:rFonts w:ascii="Times New Roman" w:hAnsi="Times New Roman" w:cs="Times New Roman"/>
          <w:sz w:val="28"/>
          <w:szCs w:val="28"/>
          <w:lang w:val="uk-UA"/>
        </w:rPr>
        <w:t xml:space="preserve"> «ОСР,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ОСР;</w:t>
      </w:r>
    </w:p>
    <w:p w14:paraId="6ED53887" w14:textId="77777777" w:rsidR="00FB0F97" w:rsidRPr="00526F7D" w:rsidRDefault="00FB0F97" w:rsidP="00FB0F97">
      <w:pPr>
        <w:pStyle w:val="a3"/>
        <w:tabs>
          <w:tab w:val="left" w:pos="993"/>
          <w:tab w:val="left" w:pos="1276"/>
        </w:tabs>
        <w:spacing w:after="0" w:line="240" w:lineRule="auto"/>
        <w:ind w:left="709"/>
        <w:jc w:val="both"/>
        <w:rPr>
          <w:rFonts w:ascii="Times New Roman" w:hAnsi="Times New Roman" w:cs="Times New Roman"/>
          <w:sz w:val="28"/>
          <w:szCs w:val="28"/>
          <w:lang w:val="uk-UA"/>
        </w:rPr>
      </w:pPr>
    </w:p>
    <w:p w14:paraId="0734C151" w14:textId="68D89A23"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495</w:t>
      </w:r>
      <w:r w:rsidRPr="00526F7D">
        <w:rPr>
          <w:rFonts w:ascii="Times New Roman" w:hAnsi="Times New Roman" w:cs="Times New Roman"/>
          <w:sz w:val="28"/>
          <w:szCs w:val="28"/>
          <w:lang w:val="uk-UA"/>
        </w:rPr>
        <w:t xml:space="preserve"> «за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за надані послуги з розподілу за ініціативою ОСР;</w:t>
      </w:r>
    </w:p>
    <w:p w14:paraId="0DE8F93A"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3DADCD68" w14:textId="57FB5778"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EC4AF4" w:rsidRPr="00526F7D">
        <w:rPr>
          <w:rFonts w:ascii="Times New Roman" w:hAnsi="Times New Roman" w:cs="Times New Roman"/>
          <w:sz w:val="28"/>
          <w:szCs w:val="28"/>
          <w:lang w:val="uk-UA"/>
        </w:rPr>
        <w:t>500</w:t>
      </w:r>
      <w:r w:rsidRPr="00526F7D">
        <w:rPr>
          <w:rFonts w:ascii="Times New Roman" w:hAnsi="Times New Roman" w:cs="Times New Roman"/>
          <w:sz w:val="28"/>
          <w:szCs w:val="28"/>
          <w:lang w:val="uk-UA"/>
        </w:rPr>
        <w:t xml:space="preserve"> «електропостачальника,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електропостачальника; </w:t>
      </w:r>
    </w:p>
    <w:p w14:paraId="4FADF67B" w14:textId="77777777" w:rsidR="00EA7CA2" w:rsidRPr="00526F7D" w:rsidRDefault="00EA7CA2" w:rsidP="007A0F37">
      <w:pPr>
        <w:pStyle w:val="a3"/>
        <w:spacing w:line="240" w:lineRule="auto"/>
        <w:ind w:left="0" w:firstLine="709"/>
        <w:rPr>
          <w:rFonts w:ascii="Times New Roman" w:hAnsi="Times New Roman" w:cs="Times New Roman"/>
          <w:sz w:val="28"/>
          <w:szCs w:val="28"/>
          <w:lang w:val="uk-UA"/>
        </w:rPr>
      </w:pPr>
    </w:p>
    <w:p w14:paraId="5FD5B582" w14:textId="17EB2832" w:rsidR="00EA7CA2" w:rsidRPr="00526F7D" w:rsidRDefault="00EA7CA2" w:rsidP="007A0F37">
      <w:pPr>
        <w:pStyle w:val="a3"/>
        <w:numPr>
          <w:ilvl w:val="0"/>
          <w:numId w:val="6"/>
        </w:numPr>
        <w:tabs>
          <w:tab w:val="left" w:pos="993"/>
          <w:tab w:val="left" w:pos="1276"/>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 у рядку </w:t>
      </w:r>
      <w:r w:rsidR="0092251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0</w:t>
      </w:r>
      <w:r w:rsidR="0092251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 оплати за спожиту електричну енергію за ініціативою електропостачальника;</w:t>
      </w:r>
    </w:p>
    <w:p w14:paraId="24A11A7D" w14:textId="77777777" w:rsidR="00922516" w:rsidRPr="00526F7D" w:rsidRDefault="00922516" w:rsidP="007A0F37">
      <w:pPr>
        <w:pStyle w:val="a3"/>
        <w:spacing w:line="240" w:lineRule="auto"/>
        <w:ind w:firstLine="709"/>
        <w:rPr>
          <w:rFonts w:ascii="Times New Roman" w:hAnsi="Times New Roman" w:cs="Times New Roman"/>
          <w:sz w:val="28"/>
          <w:szCs w:val="28"/>
          <w:lang w:val="uk-UA"/>
        </w:rPr>
      </w:pPr>
    </w:p>
    <w:p w14:paraId="5381F437" w14:textId="2D34C0A7" w:rsidR="00922516" w:rsidRPr="00526F7D" w:rsidRDefault="00922516" w:rsidP="007A0F37">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510</w:t>
      </w:r>
      <w:r w:rsidRPr="00526F7D">
        <w:rPr>
          <w:rFonts w:ascii="Times New Roman" w:hAnsi="Times New Roman" w:cs="Times New Roman"/>
          <w:sz w:val="28"/>
          <w:szCs w:val="28"/>
          <w:lang w:val="uk-UA"/>
        </w:rPr>
        <w:t xml:space="preserve"> «споживача» зазначаються дані щодо кількості випадків відновлення електроживлення споживачів, які були відключені за ініціативою споживача;</w:t>
      </w:r>
    </w:p>
    <w:p w14:paraId="3B82D4C5" w14:textId="77777777" w:rsidR="00922516" w:rsidRPr="00526F7D" w:rsidRDefault="00922516" w:rsidP="007A0F37">
      <w:pPr>
        <w:pStyle w:val="a3"/>
        <w:tabs>
          <w:tab w:val="left" w:pos="993"/>
          <w:tab w:val="left" w:pos="1276"/>
        </w:tabs>
        <w:spacing w:after="0" w:line="240" w:lineRule="auto"/>
        <w:ind w:left="1418" w:firstLine="709"/>
        <w:jc w:val="both"/>
        <w:rPr>
          <w:rFonts w:ascii="Times New Roman" w:hAnsi="Times New Roman" w:cs="Times New Roman"/>
          <w:sz w:val="28"/>
          <w:szCs w:val="28"/>
          <w:lang w:val="uk-UA"/>
        </w:rPr>
      </w:pPr>
    </w:p>
    <w:p w14:paraId="25296DE6" w14:textId="202FDD1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515</w:t>
      </w:r>
      <w:r w:rsidRPr="00526F7D">
        <w:rPr>
          <w:rFonts w:ascii="Times New Roman" w:hAnsi="Times New Roman" w:cs="Times New Roman"/>
          <w:sz w:val="28"/>
          <w:szCs w:val="28"/>
          <w:lang w:val="uk-UA"/>
        </w:rPr>
        <w:t xml:space="preserve"> «Кількість випадків самовільного підключення споживачів» зазначаються дані щодо кількості підключень до мереж ОСР та/або споживання електричної енергії без укладення передбачених чинним законодавством договорів або не санкціоноване (не погоджене) ОСР підключення після припинення електроживлення;</w:t>
      </w:r>
    </w:p>
    <w:p w14:paraId="4169CC59"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12D14A3A" w14:textId="3C855B9B"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lastRenderedPageBreak/>
        <w:t xml:space="preserve">у рядку </w:t>
      </w:r>
      <w:r w:rsidR="00EC4AF4" w:rsidRPr="00526F7D">
        <w:rPr>
          <w:rFonts w:ascii="Times New Roman" w:hAnsi="Times New Roman" w:cs="Times New Roman"/>
          <w:sz w:val="28"/>
          <w:szCs w:val="28"/>
          <w:lang w:val="uk-UA"/>
        </w:rPr>
        <w:t>520</w:t>
      </w:r>
      <w:r w:rsidRPr="00526F7D">
        <w:rPr>
          <w:rFonts w:ascii="Times New Roman" w:hAnsi="Times New Roman" w:cs="Times New Roman"/>
          <w:sz w:val="28"/>
          <w:szCs w:val="28"/>
          <w:lang w:val="uk-UA"/>
        </w:rPr>
        <w:t xml:space="preserve"> «Максимальний термін відключення електроживлення споживача за його запитом» зазначаються дані щодо максимального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 </w:t>
      </w:r>
    </w:p>
    <w:p w14:paraId="02194906"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1F131644" w14:textId="2DF29288"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2</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відключення електроживлення споживача за його запитом» зазначаються дані щодо мінімального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w:t>
      </w:r>
    </w:p>
    <w:p w14:paraId="3A49F331" w14:textId="77777777" w:rsidR="00EA7CA2" w:rsidRPr="00526F7D" w:rsidRDefault="00EA7CA2" w:rsidP="007A0F37">
      <w:pPr>
        <w:pStyle w:val="a3"/>
        <w:tabs>
          <w:tab w:val="left" w:pos="993"/>
        </w:tabs>
        <w:spacing w:after="0" w:line="240" w:lineRule="auto"/>
        <w:ind w:left="851" w:firstLine="709"/>
        <w:jc w:val="both"/>
        <w:rPr>
          <w:rFonts w:ascii="Times New Roman" w:hAnsi="Times New Roman" w:cs="Times New Roman"/>
          <w:sz w:val="28"/>
          <w:szCs w:val="28"/>
          <w:lang w:val="uk-UA"/>
        </w:rPr>
      </w:pPr>
    </w:p>
    <w:p w14:paraId="42036A07" w14:textId="440BCAA9"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EC4AF4" w:rsidRPr="00526F7D">
        <w:rPr>
          <w:rFonts w:ascii="Times New Roman" w:hAnsi="Times New Roman" w:cs="Times New Roman"/>
          <w:sz w:val="28"/>
          <w:szCs w:val="28"/>
          <w:lang w:val="uk-UA"/>
        </w:rPr>
        <w:t>530</w:t>
      </w:r>
      <w:r w:rsidRPr="00526F7D">
        <w:rPr>
          <w:rFonts w:ascii="Times New Roman" w:hAnsi="Times New Roman" w:cs="Times New Roman"/>
          <w:sz w:val="28"/>
          <w:szCs w:val="28"/>
          <w:lang w:val="uk-UA"/>
        </w:rPr>
        <w:t xml:space="preserve"> «Максимальний термін відключення електроживлення споживача за заборгованість» зазначаються дані щодо максимального фактичного терміну здійснення відключення електроживлення споживача за заборгованість за надані послуги з розподілу (кількість календарних днів від дати кінцевого строку оплати за надані послуги з розподілу до дати фактичного відключення електроживлення) та/або з оплати за спожиту електричну енергію (кількість календарних днів від дати звернення електропостачальника до ОСР до дати фактичного відключення електроживлення); </w:t>
      </w:r>
    </w:p>
    <w:p w14:paraId="18077679"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7158B0F5" w14:textId="7BA96F95"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3</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відключення електроживлення споживача за заборгованість» зазначаються дані щодо мінімального фактичного терміну здійснення відключення електроживлення споживача за заборгованість за надані послуги з розподілу (кількість календарних днів від дати кінцевого строку оплати за надані послуги з розподілу до дати фактичного відключення електроживлення) та/або з оплати за спожиту електричну енергію (кількість календарних днів від дати звернення електропостачальника до ОСР до дати фактичного відключення електроживлення); </w:t>
      </w:r>
    </w:p>
    <w:p w14:paraId="72899F43" w14:textId="77777777" w:rsidR="00EA7CA2" w:rsidRPr="00526F7D" w:rsidRDefault="00EA7CA2" w:rsidP="007A0F37">
      <w:pPr>
        <w:tabs>
          <w:tab w:val="left" w:pos="993"/>
        </w:tabs>
        <w:spacing w:after="0" w:line="240" w:lineRule="auto"/>
        <w:ind w:firstLine="709"/>
        <w:jc w:val="both"/>
        <w:rPr>
          <w:rFonts w:ascii="Times New Roman" w:hAnsi="Times New Roman" w:cs="Times New Roman"/>
          <w:sz w:val="28"/>
          <w:szCs w:val="28"/>
          <w:lang w:val="uk-UA"/>
        </w:rPr>
      </w:pPr>
    </w:p>
    <w:p w14:paraId="24AFBBB6" w14:textId="3722A574" w:rsidR="00EA7CA2" w:rsidRPr="00526F7D" w:rsidRDefault="00EA7CA2" w:rsidP="007A0F37">
      <w:pPr>
        <w:pStyle w:val="a3"/>
        <w:numPr>
          <w:ilvl w:val="0"/>
          <w:numId w:val="6"/>
        </w:numPr>
        <w:tabs>
          <w:tab w:val="left" w:pos="709"/>
          <w:tab w:val="left" w:pos="851"/>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4</w:t>
      </w:r>
      <w:r w:rsidR="00454006" w:rsidRPr="00526F7D">
        <w:rPr>
          <w:rFonts w:ascii="Times New Roman" w:hAnsi="Times New Roman" w:cs="Times New Roman"/>
          <w:sz w:val="28"/>
          <w:szCs w:val="28"/>
          <w:lang w:val="uk-UA"/>
        </w:rPr>
        <w:t>0</w:t>
      </w:r>
      <w:r w:rsidRPr="00526F7D">
        <w:rPr>
          <w:rFonts w:ascii="Times New Roman" w:hAnsi="Times New Roman" w:cs="Times New Roman"/>
          <w:sz w:val="28"/>
          <w:szCs w:val="28"/>
          <w:lang w:val="uk-UA"/>
        </w:rPr>
        <w:t xml:space="preserve"> «Максимальний термін відновлення електроживлення споживача (після відключення за заборгованість)» зазначаються дані щодо максимального фактичного терміну здійснення відновлення електроживлення споживача після відключення за заборгованість за надані послуги з розподілу (кількість календарних днів від дати підтвердження оплати заборгованості за надані послуги з розподілу до дати фактичного відновлення електроживлення) та/або з оплати за спожиту електричну енергію (кількість календарних днів від дати звернення електропостачальника до ОСР до дати фактичного відновлення електроживлення);</w:t>
      </w:r>
    </w:p>
    <w:p w14:paraId="04C0FE07" w14:textId="77777777" w:rsidR="00EA7CA2" w:rsidRPr="00526F7D" w:rsidRDefault="00EA7CA2" w:rsidP="007A0F37">
      <w:pPr>
        <w:pStyle w:val="a3"/>
        <w:spacing w:line="240" w:lineRule="auto"/>
        <w:ind w:firstLine="709"/>
        <w:rPr>
          <w:rFonts w:ascii="Times New Roman" w:hAnsi="Times New Roman" w:cs="Times New Roman"/>
          <w:sz w:val="28"/>
          <w:szCs w:val="28"/>
          <w:lang w:val="uk-UA"/>
        </w:rPr>
      </w:pPr>
    </w:p>
    <w:p w14:paraId="7ADDFBE6" w14:textId="2FE533D7" w:rsidR="00EA7CA2" w:rsidRPr="00526F7D" w:rsidRDefault="00EA7CA2" w:rsidP="007A0F37">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 xml:space="preserve">у рядку </w:t>
      </w:r>
      <w:r w:rsidR="00454006" w:rsidRPr="00526F7D">
        <w:rPr>
          <w:rFonts w:ascii="Times New Roman" w:hAnsi="Times New Roman" w:cs="Times New Roman"/>
          <w:sz w:val="28"/>
          <w:szCs w:val="28"/>
          <w:lang w:val="uk-UA"/>
        </w:rPr>
        <w:t>5</w:t>
      </w:r>
      <w:r w:rsidR="00EC4AF4" w:rsidRPr="00526F7D">
        <w:rPr>
          <w:rFonts w:ascii="Times New Roman" w:hAnsi="Times New Roman" w:cs="Times New Roman"/>
          <w:sz w:val="28"/>
          <w:szCs w:val="28"/>
          <w:lang w:val="uk-UA"/>
        </w:rPr>
        <w:t>4</w:t>
      </w:r>
      <w:r w:rsidR="00454006" w:rsidRPr="00526F7D">
        <w:rPr>
          <w:rFonts w:ascii="Times New Roman" w:hAnsi="Times New Roman" w:cs="Times New Roman"/>
          <w:sz w:val="28"/>
          <w:szCs w:val="28"/>
          <w:lang w:val="uk-UA"/>
        </w:rPr>
        <w:t>5</w:t>
      </w:r>
      <w:r w:rsidRPr="00526F7D">
        <w:rPr>
          <w:rFonts w:ascii="Times New Roman" w:hAnsi="Times New Roman" w:cs="Times New Roman"/>
          <w:sz w:val="28"/>
          <w:szCs w:val="28"/>
          <w:lang w:val="uk-UA"/>
        </w:rPr>
        <w:t xml:space="preserve"> «Мінімальний термін відновлення електроживлення споживача (після відключення за заборгованість)» зазначаються дані щодо мінімального фактичного терміну здійснення відновлення електроживлення споживача після відключення за заборгованість за надані послуги з розподілу (кількість календарних днів від дати підтвердження оплати заборгованості за </w:t>
      </w:r>
      <w:r w:rsidRPr="00526F7D">
        <w:rPr>
          <w:rFonts w:ascii="Times New Roman" w:hAnsi="Times New Roman" w:cs="Times New Roman"/>
          <w:sz w:val="28"/>
          <w:szCs w:val="28"/>
          <w:lang w:val="uk-UA"/>
        </w:rPr>
        <w:lastRenderedPageBreak/>
        <w:t>надані послуги з розподілу до дати фактичного відновлення електроживлення) та/або з оплати за спожиту електричну енергію (кількість календарних днів від дати звернення електропостачальника до ОСР до дати фактичного відновлення електроживлення)</w:t>
      </w:r>
      <w:r w:rsidR="00CF05BB">
        <w:rPr>
          <w:rFonts w:ascii="Times New Roman" w:hAnsi="Times New Roman" w:cs="Times New Roman"/>
          <w:sz w:val="28"/>
          <w:szCs w:val="28"/>
          <w:lang w:val="uk-UA"/>
        </w:rPr>
        <w:t>.</w:t>
      </w:r>
    </w:p>
    <w:p w14:paraId="3115B0F3" w14:textId="77777777" w:rsidR="00EA7CA2" w:rsidRPr="00526F7D" w:rsidRDefault="00EA7CA2" w:rsidP="007A0F37">
      <w:pPr>
        <w:tabs>
          <w:tab w:val="left" w:pos="851"/>
        </w:tabs>
        <w:spacing w:after="0" w:line="240" w:lineRule="auto"/>
        <w:ind w:firstLine="709"/>
        <w:jc w:val="both"/>
        <w:rPr>
          <w:rFonts w:ascii="Times New Roman" w:hAnsi="Times New Roman" w:cs="Times New Roman"/>
          <w:sz w:val="28"/>
          <w:szCs w:val="28"/>
          <w:lang w:val="uk-UA"/>
        </w:rPr>
      </w:pPr>
    </w:p>
    <w:p w14:paraId="261AD632" w14:textId="602565DC" w:rsidR="00EA7CA2" w:rsidRPr="00526F7D" w:rsidRDefault="0060466B" w:rsidP="00A42D60">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8</w:t>
      </w:r>
      <w:r w:rsidRPr="00526F7D">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w:t>
      </w:r>
      <w:r w:rsidR="0093366B" w:rsidRPr="00526F7D">
        <w:rPr>
          <w:rFonts w:ascii="Times New Roman" w:hAnsi="Times New Roman" w:cs="Times New Roman"/>
          <w:sz w:val="28"/>
          <w:szCs w:val="28"/>
          <w:lang w:val="uk-UA"/>
        </w:rPr>
        <w:t>д</w:t>
      </w:r>
      <w:r w:rsidR="00EA7CA2" w:rsidRPr="00526F7D">
        <w:rPr>
          <w:rFonts w:ascii="Times New Roman" w:hAnsi="Times New Roman" w:cs="Times New Roman"/>
          <w:sz w:val="28"/>
          <w:szCs w:val="28"/>
          <w:lang w:val="uk-UA"/>
        </w:rPr>
        <w:t xml:space="preserve">одатку </w:t>
      </w:r>
      <w:r w:rsidRPr="00526F7D">
        <w:rPr>
          <w:rFonts w:ascii="Times New Roman" w:hAnsi="Times New Roman" w:cs="Times New Roman"/>
          <w:sz w:val="28"/>
          <w:szCs w:val="28"/>
          <w:lang w:val="uk-UA"/>
        </w:rPr>
        <w:t xml:space="preserve">1 </w:t>
      </w:r>
      <w:r w:rsidR="00A42D60" w:rsidRPr="00526F7D">
        <w:rPr>
          <w:rFonts w:ascii="Times New Roman" w:hAnsi="Times New Roman" w:cs="Times New Roman"/>
          <w:sz w:val="28"/>
          <w:szCs w:val="28"/>
          <w:lang w:val="uk-UA"/>
        </w:rPr>
        <w:t>«</w:t>
      </w:r>
      <w:r w:rsidR="00A42D60" w:rsidRPr="0075483B">
        <w:rPr>
          <w:rFonts w:ascii="Times New Roman" w:hAnsi="Times New Roman" w:cs="Times New Roman"/>
          <w:sz w:val="28"/>
          <w:szCs w:val="28"/>
          <w:lang w:val="uk-UA"/>
        </w:rPr>
        <w:t>Інформація щодо випадків повернення замовнику заяви про приєднання</w:t>
      </w:r>
      <w:r w:rsidR="00A42D60" w:rsidRPr="00526F7D">
        <w:rPr>
          <w:rFonts w:ascii="Times New Roman" w:hAnsi="Times New Roman" w:cs="Times New Roman"/>
          <w:sz w:val="28"/>
          <w:szCs w:val="28"/>
          <w:lang w:val="uk-UA"/>
        </w:rPr>
        <w:t>» до форми звітності № 7</w:t>
      </w:r>
      <w:r w:rsidR="00A42D60">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відображається інформація щодо кількості</w:t>
      </w:r>
      <w:r w:rsidR="0075483B" w:rsidRPr="0075483B">
        <w:rPr>
          <w:rFonts w:ascii="Times New Roman" w:hAnsi="Times New Roman" w:cs="Times New Roman"/>
          <w:sz w:val="28"/>
          <w:szCs w:val="28"/>
          <w:lang w:val="uk-UA"/>
        </w:rPr>
        <w:t xml:space="preserve"> замовників, яким було </w:t>
      </w:r>
      <w:proofErr w:type="spellStart"/>
      <w:r w:rsidR="0075483B" w:rsidRPr="0075483B">
        <w:rPr>
          <w:rFonts w:ascii="Times New Roman" w:hAnsi="Times New Roman" w:cs="Times New Roman"/>
          <w:sz w:val="28"/>
          <w:szCs w:val="28"/>
          <w:lang w:val="uk-UA"/>
        </w:rPr>
        <w:t>повернено</w:t>
      </w:r>
      <w:proofErr w:type="spellEnd"/>
      <w:r w:rsidR="0075483B" w:rsidRPr="0075483B">
        <w:rPr>
          <w:rFonts w:ascii="Times New Roman" w:hAnsi="Times New Roman" w:cs="Times New Roman"/>
          <w:sz w:val="28"/>
          <w:szCs w:val="28"/>
          <w:lang w:val="uk-UA"/>
        </w:rPr>
        <w:t xml:space="preserve"> заяву про приєднання</w:t>
      </w:r>
      <w:r w:rsidR="0075483B">
        <w:rPr>
          <w:rFonts w:ascii="Times New Roman" w:hAnsi="Times New Roman" w:cs="Times New Roman"/>
          <w:sz w:val="28"/>
          <w:szCs w:val="28"/>
          <w:lang w:val="uk-UA"/>
        </w:rPr>
        <w:t xml:space="preserve"> </w:t>
      </w:r>
      <w:r w:rsidR="00EA7CA2" w:rsidRPr="00526F7D">
        <w:rPr>
          <w:rFonts w:ascii="Times New Roman" w:hAnsi="Times New Roman" w:cs="Times New Roman"/>
          <w:sz w:val="28"/>
          <w:szCs w:val="28"/>
          <w:lang w:val="uk-UA"/>
        </w:rPr>
        <w:t xml:space="preserve">у розрізі категорій </w:t>
      </w:r>
      <w:r w:rsidR="0075483B">
        <w:rPr>
          <w:rFonts w:ascii="Times New Roman" w:hAnsi="Times New Roman" w:cs="Times New Roman"/>
          <w:sz w:val="28"/>
          <w:szCs w:val="28"/>
          <w:lang w:val="uk-UA"/>
        </w:rPr>
        <w:t>замовників</w:t>
      </w:r>
      <w:r w:rsidR="00EA7CA2" w:rsidRPr="00526F7D">
        <w:rPr>
          <w:rFonts w:ascii="Times New Roman" w:hAnsi="Times New Roman" w:cs="Times New Roman"/>
          <w:sz w:val="28"/>
          <w:szCs w:val="28"/>
          <w:lang w:val="uk-UA"/>
        </w:rPr>
        <w:t xml:space="preserve"> (графи 1 – </w:t>
      </w:r>
      <w:r w:rsidR="00E24B9C">
        <w:rPr>
          <w:rFonts w:ascii="Times New Roman" w:hAnsi="Times New Roman" w:cs="Times New Roman"/>
          <w:sz w:val="28"/>
          <w:szCs w:val="28"/>
          <w:lang w:val="uk-UA"/>
        </w:rPr>
        <w:t>3</w:t>
      </w:r>
      <w:r w:rsidR="00EA7CA2" w:rsidRPr="00526F7D">
        <w:rPr>
          <w:rFonts w:ascii="Times New Roman" w:hAnsi="Times New Roman" w:cs="Times New Roman"/>
          <w:sz w:val="28"/>
          <w:szCs w:val="28"/>
          <w:lang w:val="uk-UA"/>
        </w:rPr>
        <w:t xml:space="preserve">), та причин відмови. </w:t>
      </w:r>
    </w:p>
    <w:p w14:paraId="6E9812DB" w14:textId="77777777" w:rsidR="002D67AD" w:rsidRPr="00526F7D" w:rsidRDefault="002D67AD" w:rsidP="007A0F37">
      <w:pPr>
        <w:tabs>
          <w:tab w:val="left" w:pos="851"/>
        </w:tabs>
        <w:spacing w:after="0" w:line="240" w:lineRule="auto"/>
        <w:ind w:firstLine="709"/>
        <w:jc w:val="both"/>
        <w:rPr>
          <w:rFonts w:ascii="Times New Roman" w:hAnsi="Times New Roman" w:cs="Times New Roman"/>
          <w:sz w:val="28"/>
          <w:szCs w:val="28"/>
          <w:lang w:val="uk-UA"/>
        </w:rPr>
      </w:pPr>
    </w:p>
    <w:p w14:paraId="4BAE3140" w14:textId="19DD9374" w:rsidR="002D67AD" w:rsidRDefault="002D67AD" w:rsidP="00A42D60">
      <w:pPr>
        <w:tabs>
          <w:tab w:val="left" w:pos="1134"/>
        </w:tabs>
        <w:spacing w:after="0" w:line="240" w:lineRule="auto"/>
        <w:ind w:firstLine="709"/>
        <w:jc w:val="both"/>
        <w:rPr>
          <w:rFonts w:ascii="Times New Roman" w:hAnsi="Times New Roman" w:cs="Times New Roman"/>
          <w:sz w:val="28"/>
          <w:szCs w:val="28"/>
          <w:lang w:val="uk-UA"/>
        </w:rPr>
      </w:pPr>
      <w:r w:rsidRPr="00526F7D">
        <w:rPr>
          <w:rFonts w:ascii="Times New Roman" w:hAnsi="Times New Roman" w:cs="Times New Roman"/>
          <w:sz w:val="28"/>
          <w:szCs w:val="28"/>
          <w:lang w:val="uk-UA"/>
        </w:rPr>
        <w:t>3.</w:t>
      </w:r>
      <w:r w:rsidR="00CA30CE">
        <w:rPr>
          <w:rFonts w:ascii="Times New Roman" w:hAnsi="Times New Roman" w:cs="Times New Roman"/>
          <w:sz w:val="28"/>
          <w:szCs w:val="28"/>
          <w:lang w:val="uk-UA"/>
        </w:rPr>
        <w:t>9</w:t>
      </w:r>
      <w:r w:rsidRPr="00526F7D">
        <w:rPr>
          <w:rFonts w:ascii="Times New Roman" w:hAnsi="Times New Roman" w:cs="Times New Roman"/>
          <w:sz w:val="28"/>
          <w:szCs w:val="28"/>
          <w:lang w:val="uk-UA"/>
        </w:rPr>
        <w:t xml:space="preserve">. </w:t>
      </w:r>
      <w:r w:rsidR="00A42D6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 xml:space="preserve">У </w:t>
      </w:r>
      <w:r w:rsidR="00E2407D" w:rsidRPr="00526F7D">
        <w:rPr>
          <w:rFonts w:ascii="Times New Roman" w:hAnsi="Times New Roman" w:cs="Times New Roman"/>
          <w:sz w:val="28"/>
          <w:szCs w:val="28"/>
          <w:lang w:val="uk-UA"/>
        </w:rPr>
        <w:t>д</w:t>
      </w:r>
      <w:r w:rsidRPr="00526F7D">
        <w:rPr>
          <w:rFonts w:ascii="Times New Roman" w:hAnsi="Times New Roman" w:cs="Times New Roman"/>
          <w:sz w:val="28"/>
          <w:szCs w:val="28"/>
          <w:lang w:val="uk-UA"/>
        </w:rPr>
        <w:t xml:space="preserve">одатку </w:t>
      </w:r>
      <w:r w:rsidR="0060466B" w:rsidRPr="00526F7D">
        <w:rPr>
          <w:rFonts w:ascii="Times New Roman" w:hAnsi="Times New Roman" w:cs="Times New Roman"/>
          <w:sz w:val="28"/>
          <w:szCs w:val="28"/>
          <w:lang w:val="uk-UA"/>
        </w:rPr>
        <w:t xml:space="preserve">2 </w:t>
      </w:r>
      <w:r w:rsidR="00A42D60" w:rsidRPr="00526F7D">
        <w:rPr>
          <w:rFonts w:ascii="Times New Roman" w:hAnsi="Times New Roman" w:cs="Times New Roman"/>
          <w:sz w:val="28"/>
          <w:szCs w:val="28"/>
          <w:lang w:val="uk-UA"/>
        </w:rPr>
        <w:t>«Відшкодування за перевищення строків надання послуги з приєднання» до форми звітності № 7</w:t>
      </w:r>
      <w:r w:rsidR="00A42D60">
        <w:rPr>
          <w:rFonts w:ascii="Times New Roman" w:hAnsi="Times New Roman" w:cs="Times New Roman"/>
          <w:sz w:val="28"/>
          <w:szCs w:val="28"/>
          <w:lang w:val="uk-UA"/>
        </w:rPr>
        <w:t xml:space="preserve"> </w:t>
      </w:r>
      <w:r w:rsidRPr="00526F7D">
        <w:rPr>
          <w:rFonts w:ascii="Times New Roman" w:hAnsi="Times New Roman" w:cs="Times New Roman"/>
          <w:sz w:val="28"/>
          <w:szCs w:val="28"/>
          <w:lang w:val="uk-UA"/>
        </w:rPr>
        <w:t>відображається інформація щодо кількості випадків</w:t>
      </w:r>
      <w:r w:rsidR="00454006" w:rsidRPr="00526F7D">
        <w:rPr>
          <w:rFonts w:ascii="Times New Roman" w:hAnsi="Times New Roman" w:cs="Times New Roman"/>
          <w:sz w:val="28"/>
          <w:szCs w:val="28"/>
          <w:lang w:val="uk-UA"/>
        </w:rPr>
        <w:t>, заг</w:t>
      </w:r>
      <w:r w:rsidR="00E2407D" w:rsidRPr="00526F7D">
        <w:rPr>
          <w:rFonts w:ascii="Times New Roman" w:hAnsi="Times New Roman" w:cs="Times New Roman"/>
          <w:sz w:val="28"/>
          <w:szCs w:val="28"/>
          <w:lang w:val="uk-UA"/>
        </w:rPr>
        <w:t>а</w:t>
      </w:r>
      <w:r w:rsidR="00454006" w:rsidRPr="00526F7D">
        <w:rPr>
          <w:rFonts w:ascii="Times New Roman" w:hAnsi="Times New Roman" w:cs="Times New Roman"/>
          <w:sz w:val="28"/>
          <w:szCs w:val="28"/>
          <w:lang w:val="uk-UA"/>
        </w:rPr>
        <w:t xml:space="preserve">льної суми пені, наданої за кожен день прострочення виконання приєднання, та </w:t>
      </w:r>
      <w:r w:rsidRPr="00526F7D">
        <w:rPr>
          <w:rFonts w:ascii="Times New Roman" w:hAnsi="Times New Roman" w:cs="Times New Roman"/>
          <w:sz w:val="28"/>
          <w:szCs w:val="28"/>
          <w:lang w:val="uk-UA"/>
        </w:rPr>
        <w:t>загальної суми зменшення плати за приєднання у звітному періоді, що здійснюється у разі перевищення строку надання послуги з приєднання, встановлено</w:t>
      </w:r>
      <w:r w:rsidR="00907B49" w:rsidRPr="00526F7D">
        <w:rPr>
          <w:rFonts w:ascii="Times New Roman" w:hAnsi="Times New Roman" w:cs="Times New Roman"/>
          <w:sz w:val="28"/>
          <w:szCs w:val="28"/>
          <w:lang w:val="uk-UA"/>
        </w:rPr>
        <w:t>го</w:t>
      </w:r>
      <w:r w:rsidRPr="00526F7D">
        <w:rPr>
          <w:rFonts w:ascii="Times New Roman" w:hAnsi="Times New Roman" w:cs="Times New Roman"/>
          <w:sz w:val="28"/>
          <w:szCs w:val="28"/>
          <w:lang w:val="uk-UA"/>
        </w:rPr>
        <w:t xml:space="preserve"> договором про приєднання, для стандартного (графи 1 – </w:t>
      </w:r>
      <w:r w:rsidR="00454006" w:rsidRPr="00526F7D">
        <w:rPr>
          <w:rFonts w:ascii="Times New Roman" w:hAnsi="Times New Roman" w:cs="Times New Roman"/>
          <w:sz w:val="28"/>
          <w:szCs w:val="28"/>
          <w:lang w:val="uk-UA"/>
        </w:rPr>
        <w:t>6</w:t>
      </w:r>
      <w:r w:rsidRPr="00526F7D">
        <w:rPr>
          <w:rFonts w:ascii="Times New Roman" w:hAnsi="Times New Roman" w:cs="Times New Roman"/>
          <w:sz w:val="28"/>
          <w:szCs w:val="28"/>
          <w:lang w:val="uk-UA"/>
        </w:rPr>
        <w:t xml:space="preserve">) та нестандартного (графи </w:t>
      </w:r>
      <w:r w:rsidR="00454006" w:rsidRPr="00526F7D">
        <w:rPr>
          <w:rFonts w:ascii="Times New Roman" w:hAnsi="Times New Roman" w:cs="Times New Roman"/>
          <w:sz w:val="28"/>
          <w:szCs w:val="28"/>
          <w:lang w:val="uk-UA"/>
        </w:rPr>
        <w:t>7</w:t>
      </w:r>
      <w:r w:rsidRPr="00526F7D">
        <w:rPr>
          <w:rFonts w:ascii="Times New Roman" w:hAnsi="Times New Roman" w:cs="Times New Roman"/>
          <w:sz w:val="28"/>
          <w:szCs w:val="28"/>
          <w:lang w:val="uk-UA"/>
        </w:rPr>
        <w:t xml:space="preserve"> – </w:t>
      </w:r>
      <w:r w:rsidR="00454006" w:rsidRPr="00526F7D">
        <w:rPr>
          <w:rFonts w:ascii="Times New Roman" w:hAnsi="Times New Roman" w:cs="Times New Roman"/>
          <w:sz w:val="28"/>
          <w:szCs w:val="28"/>
          <w:lang w:val="uk-UA"/>
        </w:rPr>
        <w:t>9</w:t>
      </w:r>
      <w:r w:rsidRPr="00526F7D">
        <w:rPr>
          <w:rFonts w:ascii="Times New Roman" w:hAnsi="Times New Roman" w:cs="Times New Roman"/>
          <w:sz w:val="28"/>
          <w:szCs w:val="28"/>
          <w:lang w:val="uk-UA"/>
        </w:rPr>
        <w:t xml:space="preserve">) приєднань у розрізі категорій </w:t>
      </w:r>
      <w:r w:rsidR="0060466B" w:rsidRPr="00526F7D">
        <w:rPr>
          <w:rFonts w:ascii="Times New Roman" w:hAnsi="Times New Roman" w:cs="Times New Roman"/>
          <w:sz w:val="28"/>
          <w:szCs w:val="28"/>
          <w:lang w:val="uk-UA"/>
        </w:rPr>
        <w:t>замовників (рядки</w:t>
      </w:r>
      <w:r w:rsidR="00A75F81" w:rsidRPr="00526F7D">
        <w:rPr>
          <w:rFonts w:ascii="Times New Roman" w:hAnsi="Times New Roman" w:cs="Times New Roman"/>
          <w:sz w:val="28"/>
          <w:szCs w:val="28"/>
          <w:lang w:val="en-US"/>
        </w:rPr>
        <w:t> </w:t>
      </w:r>
      <w:r w:rsidR="0060466B" w:rsidRPr="00526F7D">
        <w:rPr>
          <w:rFonts w:ascii="Times New Roman" w:hAnsi="Times New Roman" w:cs="Times New Roman"/>
          <w:sz w:val="28"/>
          <w:szCs w:val="28"/>
          <w:lang w:val="uk-UA"/>
        </w:rPr>
        <w:t xml:space="preserve">005 – </w:t>
      </w:r>
      <w:r w:rsidR="00454006" w:rsidRPr="00526F7D">
        <w:rPr>
          <w:rFonts w:ascii="Times New Roman" w:hAnsi="Times New Roman" w:cs="Times New Roman"/>
          <w:sz w:val="28"/>
          <w:szCs w:val="28"/>
          <w:lang w:val="uk-UA"/>
        </w:rPr>
        <w:t>015</w:t>
      </w:r>
      <w:r w:rsidR="0060466B" w:rsidRPr="00526F7D">
        <w:rPr>
          <w:rFonts w:ascii="Times New Roman" w:hAnsi="Times New Roman" w:cs="Times New Roman"/>
          <w:sz w:val="28"/>
          <w:szCs w:val="28"/>
          <w:lang w:val="uk-UA"/>
        </w:rPr>
        <w:t>).</w:t>
      </w:r>
    </w:p>
    <w:p w14:paraId="5D2AE153" w14:textId="0744781F" w:rsidR="004B0221" w:rsidRPr="00526F7D" w:rsidRDefault="004B0221" w:rsidP="007A0F37">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Дані у </w:t>
      </w:r>
      <w:r w:rsidRPr="00526F7D">
        <w:rPr>
          <w:rFonts w:ascii="Times New Roman" w:hAnsi="Times New Roman" w:cs="Times New Roman"/>
          <w:sz w:val="28"/>
          <w:szCs w:val="28"/>
          <w:lang w:val="uk-UA"/>
        </w:rPr>
        <w:t>додатку 2</w:t>
      </w:r>
      <w:r>
        <w:rPr>
          <w:rFonts w:ascii="Times New Roman" w:hAnsi="Times New Roman" w:cs="Times New Roman"/>
          <w:sz w:val="28"/>
          <w:szCs w:val="28"/>
          <w:lang w:val="uk-UA"/>
        </w:rPr>
        <w:t xml:space="preserve"> </w:t>
      </w:r>
      <w:r w:rsidRPr="00FF2BEA">
        <w:rPr>
          <w:rFonts w:ascii="Times New Roman" w:hAnsi="Times New Roman" w:cs="Times New Roman"/>
          <w:color w:val="000000" w:themeColor="text1"/>
          <w:sz w:val="28"/>
          <w:szCs w:val="28"/>
          <w:lang w:val="uk-UA"/>
        </w:rPr>
        <w:t xml:space="preserve">щодо </w:t>
      </w:r>
      <w:r>
        <w:rPr>
          <w:rFonts w:ascii="Times New Roman" w:hAnsi="Times New Roman" w:cs="Times New Roman"/>
          <w:color w:val="000000" w:themeColor="text1"/>
          <w:sz w:val="28"/>
          <w:szCs w:val="28"/>
          <w:lang w:val="uk-UA"/>
        </w:rPr>
        <w:t>відшкодування</w:t>
      </w:r>
      <w:r w:rsidRPr="00FF2BEA">
        <w:rPr>
          <w:rFonts w:ascii="Times New Roman" w:hAnsi="Times New Roman" w:cs="Times New Roman"/>
          <w:color w:val="000000" w:themeColor="text1"/>
          <w:sz w:val="28"/>
          <w:szCs w:val="28"/>
          <w:lang w:val="uk-UA"/>
        </w:rPr>
        <w:t xml:space="preserve"> мають узгоджуватись з даними Звіт</w:t>
      </w:r>
      <w:r>
        <w:rPr>
          <w:rFonts w:ascii="Times New Roman" w:hAnsi="Times New Roman" w:cs="Times New Roman"/>
          <w:color w:val="000000" w:themeColor="text1"/>
          <w:sz w:val="28"/>
          <w:szCs w:val="28"/>
          <w:lang w:val="uk-UA"/>
        </w:rPr>
        <w:t>у</w:t>
      </w:r>
      <w:r w:rsidRPr="00FF2BEA">
        <w:rPr>
          <w:rFonts w:ascii="Times New Roman" w:hAnsi="Times New Roman" w:cs="Times New Roman"/>
          <w:color w:val="000000" w:themeColor="text1"/>
          <w:sz w:val="28"/>
          <w:szCs w:val="28"/>
          <w:lang w:val="uk-UA"/>
        </w:rPr>
        <w:t xml:space="preserve"> з моніторингу надання ОСП/ОСР послуг з приєднання</w:t>
      </w:r>
      <w:r>
        <w:rPr>
          <w:rFonts w:ascii="Times New Roman" w:hAnsi="Times New Roman" w:cs="Times New Roman"/>
          <w:color w:val="000000" w:themeColor="text1"/>
          <w:sz w:val="28"/>
          <w:szCs w:val="28"/>
          <w:lang w:val="uk-UA"/>
        </w:rPr>
        <w:t xml:space="preserve"> згідно з додатком 1 до Методики.</w:t>
      </w:r>
    </w:p>
    <w:p w14:paraId="74A4491A" w14:textId="6CCE9EBF" w:rsidR="002D67AD" w:rsidRDefault="002D67AD" w:rsidP="007A0F37">
      <w:pPr>
        <w:tabs>
          <w:tab w:val="left" w:pos="851"/>
        </w:tabs>
        <w:spacing w:after="0" w:line="240" w:lineRule="auto"/>
        <w:ind w:firstLine="709"/>
        <w:jc w:val="both"/>
        <w:rPr>
          <w:rFonts w:ascii="Times New Roman" w:hAnsi="Times New Roman" w:cs="Times New Roman"/>
          <w:sz w:val="28"/>
          <w:szCs w:val="28"/>
          <w:lang w:val="uk-UA"/>
        </w:rPr>
      </w:pPr>
    </w:p>
    <w:p w14:paraId="016047BF" w14:textId="77777777" w:rsidR="00931876" w:rsidRDefault="00931876" w:rsidP="007A0F3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65AD0ECD" w14:textId="77777777" w:rsidR="00931876" w:rsidRPr="005E3805" w:rsidRDefault="00931876" w:rsidP="007A0F37">
      <w:pPr>
        <w:spacing w:after="0" w:line="240" w:lineRule="auto"/>
        <w:ind w:firstLine="567"/>
        <w:jc w:val="center"/>
        <w:rPr>
          <w:rFonts w:ascii="Times New Roman" w:hAnsi="Times New Roman" w:cs="Times New Roman"/>
          <w:sz w:val="28"/>
          <w:szCs w:val="28"/>
          <w:lang w:val="uk-UA"/>
        </w:rPr>
      </w:pPr>
    </w:p>
    <w:p w14:paraId="3B1DB2F4" w14:textId="7A9AD6B4" w:rsidR="00931876" w:rsidRDefault="00931876" w:rsidP="007A0F37">
      <w:pPr>
        <w:pStyle w:val="af2"/>
        <w:ind w:firstLine="709"/>
        <w:rPr>
          <w:szCs w:val="28"/>
        </w:rPr>
      </w:pPr>
      <w:r w:rsidRPr="005E3805">
        <w:rPr>
          <w:szCs w:val="28"/>
        </w:rPr>
        <w:t xml:space="preserve">4.1. </w:t>
      </w:r>
      <w:r>
        <w:rPr>
          <w:szCs w:val="28"/>
        </w:rPr>
        <w:t xml:space="preserve">Електронний бланк форми звітності № </w:t>
      </w:r>
      <w:r w:rsidR="009F4778">
        <w:rPr>
          <w:szCs w:val="28"/>
        </w:rPr>
        <w:t>7</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2"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3" w:name="_Hlk150504958"/>
      <w:bookmarkEnd w:id="12"/>
      <w:r>
        <w:rPr>
          <w:szCs w:val="28"/>
        </w:rPr>
        <w:t>, який розміщено на офіційному вебсайті НКРЕКП</w:t>
      </w:r>
      <w:bookmarkEnd w:id="13"/>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D670FD5" w14:textId="77777777" w:rsidR="00931876" w:rsidRDefault="00931876" w:rsidP="007A0F37">
      <w:pPr>
        <w:pStyle w:val="af2"/>
        <w:ind w:firstLine="709"/>
        <w:rPr>
          <w:szCs w:val="28"/>
        </w:rPr>
      </w:pPr>
    </w:p>
    <w:p w14:paraId="75D74C5F" w14:textId="24CD585D" w:rsidR="00931876" w:rsidRPr="00CB35BE" w:rsidRDefault="00931876" w:rsidP="007A0F37">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9F4778">
        <w:rPr>
          <w:szCs w:val="28"/>
        </w:rPr>
        <w:t>7</w:t>
      </w:r>
      <w:r>
        <w:rPr>
          <w:szCs w:val="28"/>
        </w:rPr>
        <w:t xml:space="preserve"> </w:t>
      </w:r>
      <w:r w:rsidRPr="00CB35BE">
        <w:rPr>
          <w:szCs w:val="28"/>
        </w:rPr>
        <w:t xml:space="preserve">здійснюється </w:t>
      </w:r>
      <w:r>
        <w:rPr>
          <w:szCs w:val="28"/>
        </w:rPr>
        <w:t>таким чином:</w:t>
      </w:r>
    </w:p>
    <w:p w14:paraId="5F99CB3A" w14:textId="33C33F87" w:rsidR="00931876" w:rsidRPr="00422C0D" w:rsidRDefault="00931876" w:rsidP="007A0F37">
      <w:pPr>
        <w:pStyle w:val="af2"/>
        <w:ind w:firstLine="709"/>
        <w:rPr>
          <w:szCs w:val="28"/>
        </w:rPr>
      </w:pPr>
      <w:r w:rsidRPr="00422C0D">
        <w:rPr>
          <w:szCs w:val="28"/>
        </w:rPr>
        <w:t>ХХХХХХХХ_</w:t>
      </w:r>
      <w:r w:rsidR="00FA2D3F">
        <w:rPr>
          <w:szCs w:val="28"/>
        </w:rPr>
        <w:t>7</w:t>
      </w:r>
      <w:r>
        <w:rPr>
          <w:szCs w:val="28"/>
          <w:lang w:val="en-US"/>
        </w:rPr>
        <w:t>D</w:t>
      </w:r>
      <w:r w:rsidR="009F4778">
        <w:rPr>
          <w:szCs w:val="28"/>
        </w:rPr>
        <w:t xml:space="preserve"> </w:t>
      </w:r>
      <w:r>
        <w:rPr>
          <w:szCs w:val="28"/>
        </w:rPr>
        <w:t>_</w:t>
      </w:r>
      <w:r>
        <w:rPr>
          <w:szCs w:val="28"/>
          <w:lang w:val="en-US"/>
        </w:rPr>
        <w:t>YY</w:t>
      </w:r>
      <w:r w:rsidRPr="00422C0D">
        <w:rPr>
          <w:szCs w:val="28"/>
        </w:rPr>
        <w:t xml:space="preserve">, </w:t>
      </w:r>
    </w:p>
    <w:p w14:paraId="2A164D82" w14:textId="77777777" w:rsidR="00931876" w:rsidRDefault="00931876" w:rsidP="007A0F37">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4F07491" w14:textId="5B332DD6" w:rsidR="00931876" w:rsidRDefault="009F4778" w:rsidP="007A0F37">
      <w:pPr>
        <w:pStyle w:val="af2"/>
        <w:ind w:firstLine="709"/>
        <w:rPr>
          <w:szCs w:val="28"/>
        </w:rPr>
      </w:pPr>
      <w:r>
        <w:rPr>
          <w:szCs w:val="28"/>
        </w:rPr>
        <w:t xml:space="preserve"> </w:t>
      </w:r>
      <w:r w:rsidR="00931876">
        <w:rPr>
          <w:szCs w:val="28"/>
        </w:rPr>
        <w:t>«</w:t>
      </w:r>
      <w:r w:rsidR="00931876">
        <w:rPr>
          <w:szCs w:val="28"/>
          <w:lang w:val="en-US"/>
        </w:rPr>
        <w:t>YY</w:t>
      </w:r>
      <w:r w:rsidR="00931876">
        <w:rPr>
          <w:b/>
          <w:szCs w:val="28"/>
        </w:rPr>
        <w:t>»</w:t>
      </w:r>
      <w:r w:rsidR="00931876" w:rsidRPr="00CB59B1">
        <w:rPr>
          <w:szCs w:val="28"/>
        </w:rPr>
        <w:t xml:space="preserve"> – останні дві цифри звітного року.</w:t>
      </w:r>
    </w:p>
    <w:p w14:paraId="07B4BEE3" w14:textId="77777777" w:rsidR="00931876" w:rsidRDefault="00931876" w:rsidP="007A0F37">
      <w:pPr>
        <w:pStyle w:val="af2"/>
        <w:ind w:firstLine="709"/>
        <w:rPr>
          <w:szCs w:val="28"/>
        </w:rPr>
      </w:pPr>
    </w:p>
    <w:p w14:paraId="3C0BC6A2" w14:textId="5447E2AF" w:rsidR="00931876" w:rsidRPr="006472E8" w:rsidRDefault="00931876" w:rsidP="007A0F37">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14"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sidR="009F4778">
        <w:rPr>
          <w:rFonts w:ascii="Times New Roman" w:hAnsi="Times New Roman" w:cs="Times New Roman"/>
          <w:sz w:val="28"/>
          <w:szCs w:val="28"/>
          <w:lang w:val="uk-UA"/>
        </w:rPr>
        <w:t>7</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CC2F25">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подання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14"/>
    </w:p>
    <w:p w14:paraId="5D955704" w14:textId="77777777" w:rsidR="00EA7CA2" w:rsidRPr="007A0F37" w:rsidRDefault="00EA7CA2" w:rsidP="007A0F37">
      <w:pPr>
        <w:tabs>
          <w:tab w:val="left" w:pos="851"/>
        </w:tabs>
        <w:spacing w:after="0" w:line="240" w:lineRule="auto"/>
        <w:jc w:val="both"/>
        <w:rPr>
          <w:rFonts w:ascii="Times New Roman" w:hAnsi="Times New Roman" w:cs="Times New Roman"/>
          <w:sz w:val="28"/>
          <w:szCs w:val="28"/>
          <w:lang w:val="uk-UA"/>
        </w:rPr>
      </w:pPr>
    </w:p>
    <w:p w14:paraId="453815EF" w14:textId="77777777" w:rsidR="00EA7CA2" w:rsidRPr="00526F7D" w:rsidRDefault="00EA7CA2" w:rsidP="007A0F37">
      <w:pPr>
        <w:pStyle w:val="a3"/>
        <w:tabs>
          <w:tab w:val="left" w:pos="851"/>
        </w:tabs>
        <w:spacing w:after="0" w:line="240" w:lineRule="auto"/>
        <w:ind w:left="632"/>
        <w:jc w:val="both"/>
        <w:rPr>
          <w:rFonts w:ascii="Times New Roman" w:hAnsi="Times New Roman" w:cs="Times New Roman"/>
          <w:sz w:val="28"/>
          <w:szCs w:val="28"/>
          <w:lang w:val="uk-UA"/>
        </w:rPr>
      </w:pPr>
    </w:p>
    <w:p w14:paraId="358E58E9" w14:textId="0E191DC4" w:rsidR="00715918" w:rsidRPr="00526F7D" w:rsidRDefault="00A46852" w:rsidP="007A0F37">
      <w:pPr>
        <w:spacing w:after="0" w:line="240" w:lineRule="auto"/>
        <w:jc w:val="both"/>
        <w:rPr>
          <w:rFonts w:ascii="Times New Roman" w:hAnsi="Times New Roman"/>
          <w:sz w:val="28"/>
          <w:szCs w:val="28"/>
          <w:lang w:val="uk-UA"/>
        </w:rPr>
      </w:pPr>
      <w:r w:rsidRPr="00526F7D">
        <w:rPr>
          <w:rFonts w:ascii="Times New Roman" w:hAnsi="Times New Roman"/>
          <w:sz w:val="28"/>
          <w:szCs w:val="28"/>
          <w:lang w:val="uk-UA"/>
        </w:rPr>
        <w:t>Д</w:t>
      </w:r>
      <w:r w:rsidR="00715918" w:rsidRPr="00526F7D">
        <w:rPr>
          <w:rFonts w:ascii="Times New Roman" w:hAnsi="Times New Roman"/>
          <w:sz w:val="28"/>
          <w:szCs w:val="28"/>
          <w:lang w:val="uk-UA"/>
        </w:rPr>
        <w:t xml:space="preserve">иректор Департаменту                                                                            </w:t>
      </w:r>
    </w:p>
    <w:p w14:paraId="30F5A555" w14:textId="7917CB0A" w:rsidR="00715918" w:rsidRDefault="00715918" w:rsidP="007A0F37">
      <w:pPr>
        <w:spacing w:after="0" w:line="240" w:lineRule="auto"/>
        <w:jc w:val="both"/>
        <w:rPr>
          <w:rFonts w:ascii="Calibri" w:hAnsi="Calibri"/>
          <w:lang w:val="uk-UA"/>
        </w:rPr>
      </w:pPr>
      <w:r w:rsidRPr="00526F7D">
        <w:rPr>
          <w:rFonts w:ascii="Times New Roman" w:hAnsi="Times New Roman"/>
          <w:sz w:val="28"/>
          <w:szCs w:val="28"/>
          <w:lang w:val="uk-UA"/>
        </w:rPr>
        <w:lastRenderedPageBreak/>
        <w:t xml:space="preserve">ліцензійного контролю                                                        </w:t>
      </w:r>
      <w:r w:rsidR="00C226AE">
        <w:rPr>
          <w:rFonts w:ascii="Times New Roman" w:hAnsi="Times New Roman"/>
          <w:sz w:val="28"/>
          <w:szCs w:val="28"/>
          <w:lang w:val="uk-UA"/>
        </w:rPr>
        <w:t xml:space="preserve">     </w:t>
      </w:r>
      <w:r w:rsidRPr="00526F7D">
        <w:rPr>
          <w:rFonts w:ascii="Times New Roman" w:hAnsi="Times New Roman"/>
          <w:sz w:val="28"/>
          <w:szCs w:val="28"/>
          <w:lang w:val="uk-UA"/>
        </w:rPr>
        <w:t xml:space="preserve">   </w:t>
      </w:r>
      <w:r w:rsidR="00A46852" w:rsidRPr="00526F7D">
        <w:rPr>
          <w:rFonts w:ascii="Times New Roman" w:hAnsi="Times New Roman"/>
          <w:sz w:val="28"/>
          <w:szCs w:val="28"/>
          <w:lang w:val="uk-UA"/>
        </w:rPr>
        <w:t>Я</w:t>
      </w:r>
      <w:r w:rsidR="00C226AE">
        <w:rPr>
          <w:rFonts w:ascii="Times New Roman" w:hAnsi="Times New Roman"/>
          <w:sz w:val="28"/>
          <w:szCs w:val="28"/>
          <w:lang w:val="uk-UA"/>
        </w:rPr>
        <w:t>рослав</w:t>
      </w:r>
      <w:r w:rsidR="00C226AE" w:rsidRPr="00526F7D">
        <w:rPr>
          <w:rFonts w:ascii="Times New Roman" w:hAnsi="Times New Roman"/>
          <w:sz w:val="28"/>
          <w:szCs w:val="28"/>
          <w:lang w:val="uk-UA"/>
        </w:rPr>
        <w:t xml:space="preserve"> ЗЕЛЕНЮК</w:t>
      </w:r>
    </w:p>
    <w:p w14:paraId="2268559C" w14:textId="34AEEB87" w:rsidR="00DA19DB" w:rsidRPr="00EA7CA2" w:rsidRDefault="00DA19DB" w:rsidP="007A0F37">
      <w:pPr>
        <w:spacing w:after="0" w:line="240" w:lineRule="auto"/>
        <w:jc w:val="both"/>
        <w:rPr>
          <w:lang w:val="uk-UA"/>
        </w:rPr>
      </w:pPr>
    </w:p>
    <w:sectPr w:rsidR="00DA19DB" w:rsidRPr="00EA7CA2" w:rsidSect="00A75F81">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9E174" w14:textId="77777777" w:rsidR="00547764" w:rsidRDefault="00547764" w:rsidP="00A75F81">
      <w:pPr>
        <w:spacing w:after="0" w:line="240" w:lineRule="auto"/>
      </w:pPr>
      <w:r>
        <w:separator/>
      </w:r>
    </w:p>
  </w:endnote>
  <w:endnote w:type="continuationSeparator" w:id="0">
    <w:p w14:paraId="0148FD08" w14:textId="77777777" w:rsidR="00547764" w:rsidRDefault="00547764" w:rsidP="00A75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9DA6E" w14:textId="77777777" w:rsidR="00547764" w:rsidRDefault="00547764" w:rsidP="00A75F81">
      <w:pPr>
        <w:spacing w:after="0" w:line="240" w:lineRule="auto"/>
      </w:pPr>
      <w:r>
        <w:separator/>
      </w:r>
    </w:p>
  </w:footnote>
  <w:footnote w:type="continuationSeparator" w:id="0">
    <w:p w14:paraId="1CAA0FA5" w14:textId="77777777" w:rsidR="00547764" w:rsidRDefault="00547764" w:rsidP="00A75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49151"/>
      <w:docPartObj>
        <w:docPartGallery w:val="Page Numbers (Top of Page)"/>
        <w:docPartUnique/>
      </w:docPartObj>
    </w:sdtPr>
    <w:sdtEndPr>
      <w:rPr>
        <w:rFonts w:ascii="Times New Roman" w:hAnsi="Times New Roman" w:cs="Times New Roman"/>
        <w:sz w:val="28"/>
        <w:szCs w:val="28"/>
      </w:rPr>
    </w:sdtEndPr>
    <w:sdtContent>
      <w:p w14:paraId="41805487" w14:textId="393B4D64" w:rsidR="00A75F81" w:rsidRPr="00A75F81" w:rsidRDefault="00A75F81">
        <w:pPr>
          <w:pStyle w:val="ae"/>
          <w:jc w:val="center"/>
          <w:rPr>
            <w:rFonts w:ascii="Times New Roman" w:hAnsi="Times New Roman" w:cs="Times New Roman"/>
            <w:sz w:val="28"/>
            <w:szCs w:val="28"/>
          </w:rPr>
        </w:pPr>
        <w:r w:rsidRPr="00A75F81">
          <w:rPr>
            <w:rFonts w:ascii="Times New Roman" w:hAnsi="Times New Roman" w:cs="Times New Roman"/>
            <w:sz w:val="28"/>
            <w:szCs w:val="28"/>
          </w:rPr>
          <w:fldChar w:fldCharType="begin"/>
        </w:r>
        <w:r w:rsidRPr="00A75F81">
          <w:rPr>
            <w:rFonts w:ascii="Times New Roman" w:hAnsi="Times New Roman" w:cs="Times New Roman"/>
            <w:sz w:val="28"/>
            <w:szCs w:val="28"/>
          </w:rPr>
          <w:instrText>PAGE   \* MERGEFORMAT</w:instrText>
        </w:r>
        <w:r w:rsidRPr="00A75F81">
          <w:rPr>
            <w:rFonts w:ascii="Times New Roman" w:hAnsi="Times New Roman" w:cs="Times New Roman"/>
            <w:sz w:val="28"/>
            <w:szCs w:val="28"/>
          </w:rPr>
          <w:fldChar w:fldCharType="separate"/>
        </w:r>
        <w:r w:rsidRPr="00A75F81">
          <w:rPr>
            <w:rFonts w:ascii="Times New Roman" w:hAnsi="Times New Roman" w:cs="Times New Roman"/>
            <w:sz w:val="28"/>
            <w:szCs w:val="28"/>
            <w:lang w:val="uk-UA"/>
          </w:rPr>
          <w:t>2</w:t>
        </w:r>
        <w:r w:rsidRPr="00A75F81">
          <w:rPr>
            <w:rFonts w:ascii="Times New Roman" w:hAnsi="Times New Roman" w:cs="Times New Roman"/>
            <w:sz w:val="28"/>
            <w:szCs w:val="28"/>
          </w:rPr>
          <w:fldChar w:fldCharType="end"/>
        </w:r>
      </w:p>
    </w:sdtContent>
  </w:sdt>
  <w:p w14:paraId="0988EAF4" w14:textId="77777777" w:rsidR="00A75F81" w:rsidRDefault="00A75F8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F5C110C"/>
    <w:multiLevelType w:val="hybridMultilevel"/>
    <w:tmpl w:val="90964AE0"/>
    <w:lvl w:ilvl="0" w:tplc="100E55C4">
      <w:start w:val="1"/>
      <w:numFmt w:val="decimal"/>
      <w:lvlText w:val="%1)"/>
      <w:lvlJc w:val="left"/>
      <w:pPr>
        <w:ind w:left="810" w:hanging="360"/>
      </w:pPr>
    </w:lvl>
    <w:lvl w:ilvl="1" w:tplc="04220019">
      <w:start w:val="1"/>
      <w:numFmt w:val="lowerLetter"/>
      <w:lvlText w:val="%2."/>
      <w:lvlJc w:val="left"/>
      <w:pPr>
        <w:ind w:left="1530" w:hanging="360"/>
      </w:pPr>
    </w:lvl>
    <w:lvl w:ilvl="2" w:tplc="0422001B">
      <w:start w:val="1"/>
      <w:numFmt w:val="lowerRoman"/>
      <w:lvlText w:val="%3."/>
      <w:lvlJc w:val="right"/>
      <w:pPr>
        <w:ind w:left="2250" w:hanging="180"/>
      </w:pPr>
    </w:lvl>
    <w:lvl w:ilvl="3" w:tplc="0422000F">
      <w:start w:val="1"/>
      <w:numFmt w:val="decimal"/>
      <w:lvlText w:val="%4."/>
      <w:lvlJc w:val="left"/>
      <w:pPr>
        <w:ind w:left="2970" w:hanging="360"/>
      </w:pPr>
    </w:lvl>
    <w:lvl w:ilvl="4" w:tplc="04220019">
      <w:start w:val="1"/>
      <w:numFmt w:val="lowerLetter"/>
      <w:lvlText w:val="%5."/>
      <w:lvlJc w:val="left"/>
      <w:pPr>
        <w:ind w:left="3690" w:hanging="360"/>
      </w:pPr>
    </w:lvl>
    <w:lvl w:ilvl="5" w:tplc="0422001B">
      <w:start w:val="1"/>
      <w:numFmt w:val="lowerRoman"/>
      <w:lvlText w:val="%6."/>
      <w:lvlJc w:val="right"/>
      <w:pPr>
        <w:ind w:left="4410" w:hanging="180"/>
      </w:pPr>
    </w:lvl>
    <w:lvl w:ilvl="6" w:tplc="0422000F">
      <w:start w:val="1"/>
      <w:numFmt w:val="decimal"/>
      <w:lvlText w:val="%7."/>
      <w:lvlJc w:val="left"/>
      <w:pPr>
        <w:ind w:left="5130" w:hanging="360"/>
      </w:pPr>
    </w:lvl>
    <w:lvl w:ilvl="7" w:tplc="04220019">
      <w:start w:val="1"/>
      <w:numFmt w:val="lowerLetter"/>
      <w:lvlText w:val="%8."/>
      <w:lvlJc w:val="left"/>
      <w:pPr>
        <w:ind w:left="5850" w:hanging="360"/>
      </w:pPr>
    </w:lvl>
    <w:lvl w:ilvl="8" w:tplc="0422001B">
      <w:start w:val="1"/>
      <w:numFmt w:val="lowerRoman"/>
      <w:lvlText w:val="%9."/>
      <w:lvlJc w:val="right"/>
      <w:pPr>
        <w:ind w:left="6570" w:hanging="180"/>
      </w:pPr>
    </w:lvl>
  </w:abstractNum>
  <w:abstractNum w:abstractNumId="4" w15:restartNumberingAfterBreak="0">
    <w:nsid w:val="337E2AE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435B36D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6DD4412"/>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F010F18"/>
    <w:multiLevelType w:val="hybridMultilevel"/>
    <w:tmpl w:val="7FEE60C0"/>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16cid:durableId="1438479544">
    <w:abstractNumId w:val="1"/>
  </w:num>
  <w:num w:numId="2" w16cid:durableId="766930342">
    <w:abstractNumId w:val="4"/>
  </w:num>
  <w:num w:numId="3" w16cid:durableId="598030598">
    <w:abstractNumId w:val="9"/>
  </w:num>
  <w:num w:numId="4" w16cid:durableId="1518999686">
    <w:abstractNumId w:val="0"/>
  </w:num>
  <w:num w:numId="5" w16cid:durableId="1854298667">
    <w:abstractNumId w:val="6"/>
  </w:num>
  <w:num w:numId="6" w16cid:durableId="1420757605">
    <w:abstractNumId w:val="5"/>
  </w:num>
  <w:num w:numId="7" w16cid:durableId="1554734507">
    <w:abstractNumId w:val="2"/>
  </w:num>
  <w:num w:numId="8" w16cid:durableId="1897858915">
    <w:abstractNumId w:val="7"/>
  </w:num>
  <w:num w:numId="9" w16cid:durableId="831263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47051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5B8"/>
    <w:rsid w:val="00046C9D"/>
    <w:rsid w:val="00052AAF"/>
    <w:rsid w:val="00080573"/>
    <w:rsid w:val="000B5AFA"/>
    <w:rsid w:val="000F6C06"/>
    <w:rsid w:val="001328C3"/>
    <w:rsid w:val="00142A28"/>
    <w:rsid w:val="001A0667"/>
    <w:rsid w:val="001E0640"/>
    <w:rsid w:val="001E4C52"/>
    <w:rsid w:val="001F495C"/>
    <w:rsid w:val="00291E70"/>
    <w:rsid w:val="002942F7"/>
    <w:rsid w:val="00296E91"/>
    <w:rsid w:val="002A4D78"/>
    <w:rsid w:val="002B6B26"/>
    <w:rsid w:val="002D67AD"/>
    <w:rsid w:val="002E5FD2"/>
    <w:rsid w:val="0030653B"/>
    <w:rsid w:val="003152D8"/>
    <w:rsid w:val="00367290"/>
    <w:rsid w:val="003C0A2F"/>
    <w:rsid w:val="003D4301"/>
    <w:rsid w:val="003E021E"/>
    <w:rsid w:val="003E32A7"/>
    <w:rsid w:val="003E768A"/>
    <w:rsid w:val="004075B8"/>
    <w:rsid w:val="00431D8C"/>
    <w:rsid w:val="00454006"/>
    <w:rsid w:val="004547F1"/>
    <w:rsid w:val="004B0221"/>
    <w:rsid w:val="004B634E"/>
    <w:rsid w:val="004E3716"/>
    <w:rsid w:val="004E6A8E"/>
    <w:rsid w:val="004F6E7C"/>
    <w:rsid w:val="005013B3"/>
    <w:rsid w:val="005123E9"/>
    <w:rsid w:val="00517326"/>
    <w:rsid w:val="00526F7D"/>
    <w:rsid w:val="0054624D"/>
    <w:rsid w:val="00547764"/>
    <w:rsid w:val="0055116B"/>
    <w:rsid w:val="005631A1"/>
    <w:rsid w:val="00577823"/>
    <w:rsid w:val="005A057B"/>
    <w:rsid w:val="005A0D23"/>
    <w:rsid w:val="005B327B"/>
    <w:rsid w:val="005B3DDD"/>
    <w:rsid w:val="00603218"/>
    <w:rsid w:val="0060466B"/>
    <w:rsid w:val="00643044"/>
    <w:rsid w:val="00667FB7"/>
    <w:rsid w:val="006C0679"/>
    <w:rsid w:val="006E200B"/>
    <w:rsid w:val="00710B78"/>
    <w:rsid w:val="00715918"/>
    <w:rsid w:val="00724C97"/>
    <w:rsid w:val="00740165"/>
    <w:rsid w:val="00741C18"/>
    <w:rsid w:val="00747131"/>
    <w:rsid w:val="0075483B"/>
    <w:rsid w:val="0076713D"/>
    <w:rsid w:val="00771482"/>
    <w:rsid w:val="007845C5"/>
    <w:rsid w:val="0079691F"/>
    <w:rsid w:val="007A0F37"/>
    <w:rsid w:val="007C27D9"/>
    <w:rsid w:val="00805654"/>
    <w:rsid w:val="008148D5"/>
    <w:rsid w:val="00896098"/>
    <w:rsid w:val="008A4C0C"/>
    <w:rsid w:val="008B191B"/>
    <w:rsid w:val="00907B49"/>
    <w:rsid w:val="00922516"/>
    <w:rsid w:val="00931876"/>
    <w:rsid w:val="0093366B"/>
    <w:rsid w:val="009420EC"/>
    <w:rsid w:val="009A6A7D"/>
    <w:rsid w:val="009B3E63"/>
    <w:rsid w:val="009E6F22"/>
    <w:rsid w:val="009F4778"/>
    <w:rsid w:val="00A06810"/>
    <w:rsid w:val="00A3181A"/>
    <w:rsid w:val="00A42D60"/>
    <w:rsid w:val="00A46852"/>
    <w:rsid w:val="00A75F81"/>
    <w:rsid w:val="00A87B1C"/>
    <w:rsid w:val="00AA6103"/>
    <w:rsid w:val="00AE0D56"/>
    <w:rsid w:val="00B17A88"/>
    <w:rsid w:val="00B17BB1"/>
    <w:rsid w:val="00B47CA0"/>
    <w:rsid w:val="00B82A37"/>
    <w:rsid w:val="00B87A9C"/>
    <w:rsid w:val="00B96388"/>
    <w:rsid w:val="00BE4EC0"/>
    <w:rsid w:val="00C178F6"/>
    <w:rsid w:val="00C226AE"/>
    <w:rsid w:val="00C27F06"/>
    <w:rsid w:val="00C61A0B"/>
    <w:rsid w:val="00C67D08"/>
    <w:rsid w:val="00CA2A08"/>
    <w:rsid w:val="00CA30CE"/>
    <w:rsid w:val="00CA4224"/>
    <w:rsid w:val="00CC2F25"/>
    <w:rsid w:val="00CF05BB"/>
    <w:rsid w:val="00D22DEC"/>
    <w:rsid w:val="00D6090E"/>
    <w:rsid w:val="00DA19DB"/>
    <w:rsid w:val="00DC0A1C"/>
    <w:rsid w:val="00DE7A2D"/>
    <w:rsid w:val="00E0090F"/>
    <w:rsid w:val="00E2407D"/>
    <w:rsid w:val="00E24B9C"/>
    <w:rsid w:val="00E84A1E"/>
    <w:rsid w:val="00EA7CA2"/>
    <w:rsid w:val="00EC4AF4"/>
    <w:rsid w:val="00ED1D9F"/>
    <w:rsid w:val="00F4231E"/>
    <w:rsid w:val="00F43F07"/>
    <w:rsid w:val="00F478FF"/>
    <w:rsid w:val="00F55F19"/>
    <w:rsid w:val="00FA2D3F"/>
    <w:rsid w:val="00FB0F97"/>
    <w:rsid w:val="00FC678E"/>
    <w:rsid w:val="00FE270D"/>
    <w:rsid w:val="00FF2BEA"/>
    <w:rsid w:val="00FF2D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98FA"/>
  <w15:chartTrackingRefBased/>
  <w15:docId w15:val="{D5A99BEB-1FF7-44ED-826E-BAD27F2F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CA2"/>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7CA2"/>
    <w:pPr>
      <w:ind w:left="720"/>
      <w:contextualSpacing/>
    </w:pPr>
  </w:style>
  <w:style w:type="character" w:styleId="a5">
    <w:name w:val="Hyperlink"/>
    <w:basedOn w:val="a0"/>
    <w:uiPriority w:val="99"/>
    <w:unhideWhenUsed/>
    <w:rsid w:val="00EA7CA2"/>
    <w:rPr>
      <w:color w:val="0000FF"/>
      <w:u w:val="single"/>
    </w:rPr>
  </w:style>
  <w:style w:type="paragraph" w:styleId="a6">
    <w:name w:val="Normal (Web)"/>
    <w:basedOn w:val="a"/>
    <w:rsid w:val="00EA7CA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Balloon Text"/>
    <w:basedOn w:val="a"/>
    <w:link w:val="a8"/>
    <w:uiPriority w:val="99"/>
    <w:semiHidden/>
    <w:unhideWhenUsed/>
    <w:rsid w:val="002D67A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D67AD"/>
    <w:rPr>
      <w:rFonts w:ascii="Segoe UI" w:hAnsi="Segoe UI" w:cs="Segoe UI"/>
      <w:sz w:val="18"/>
      <w:szCs w:val="18"/>
      <w:lang w:val="ru-RU"/>
    </w:rPr>
  </w:style>
  <w:style w:type="character" w:customStyle="1" w:styleId="a4">
    <w:name w:val="Абзац списку Знак"/>
    <w:link w:val="a3"/>
    <w:uiPriority w:val="34"/>
    <w:locked/>
    <w:rsid w:val="0060466B"/>
    <w:rPr>
      <w:lang w:val="ru-RU"/>
    </w:rPr>
  </w:style>
  <w:style w:type="paragraph" w:customStyle="1" w:styleId="rvps2">
    <w:name w:val="rvps2"/>
    <w:basedOn w:val="a"/>
    <w:rsid w:val="00604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закрита згадка1"/>
    <w:basedOn w:val="a0"/>
    <w:uiPriority w:val="99"/>
    <w:semiHidden/>
    <w:unhideWhenUsed/>
    <w:rsid w:val="003152D8"/>
    <w:rPr>
      <w:color w:val="605E5C"/>
      <w:shd w:val="clear" w:color="auto" w:fill="E1DFDD"/>
    </w:rPr>
  </w:style>
  <w:style w:type="character" w:styleId="a9">
    <w:name w:val="annotation reference"/>
    <w:basedOn w:val="a0"/>
    <w:uiPriority w:val="99"/>
    <w:semiHidden/>
    <w:unhideWhenUsed/>
    <w:rsid w:val="00710B78"/>
    <w:rPr>
      <w:sz w:val="16"/>
      <w:szCs w:val="16"/>
    </w:rPr>
  </w:style>
  <w:style w:type="paragraph" w:styleId="aa">
    <w:name w:val="annotation text"/>
    <w:basedOn w:val="a"/>
    <w:link w:val="ab"/>
    <w:uiPriority w:val="99"/>
    <w:semiHidden/>
    <w:unhideWhenUsed/>
    <w:rsid w:val="00710B78"/>
    <w:pPr>
      <w:spacing w:line="240" w:lineRule="auto"/>
    </w:pPr>
    <w:rPr>
      <w:sz w:val="20"/>
      <w:szCs w:val="20"/>
    </w:rPr>
  </w:style>
  <w:style w:type="character" w:customStyle="1" w:styleId="ab">
    <w:name w:val="Текст примітки Знак"/>
    <w:basedOn w:val="a0"/>
    <w:link w:val="aa"/>
    <w:uiPriority w:val="99"/>
    <w:semiHidden/>
    <w:rsid w:val="00710B78"/>
    <w:rPr>
      <w:sz w:val="20"/>
      <w:szCs w:val="20"/>
      <w:lang w:val="ru-RU"/>
    </w:rPr>
  </w:style>
  <w:style w:type="paragraph" w:styleId="ac">
    <w:name w:val="annotation subject"/>
    <w:basedOn w:val="aa"/>
    <w:next w:val="aa"/>
    <w:link w:val="ad"/>
    <w:uiPriority w:val="99"/>
    <w:semiHidden/>
    <w:unhideWhenUsed/>
    <w:rsid w:val="00710B78"/>
    <w:rPr>
      <w:b/>
      <w:bCs/>
    </w:rPr>
  </w:style>
  <w:style w:type="character" w:customStyle="1" w:styleId="ad">
    <w:name w:val="Тема примітки Знак"/>
    <w:basedOn w:val="ab"/>
    <w:link w:val="ac"/>
    <w:uiPriority w:val="99"/>
    <w:semiHidden/>
    <w:rsid w:val="00710B78"/>
    <w:rPr>
      <w:b/>
      <w:bCs/>
      <w:sz w:val="20"/>
      <w:szCs w:val="20"/>
      <w:lang w:val="ru-RU"/>
    </w:rPr>
  </w:style>
  <w:style w:type="paragraph" w:styleId="ae">
    <w:name w:val="header"/>
    <w:basedOn w:val="a"/>
    <w:link w:val="af"/>
    <w:uiPriority w:val="99"/>
    <w:unhideWhenUsed/>
    <w:rsid w:val="00A75F81"/>
    <w:pPr>
      <w:tabs>
        <w:tab w:val="center" w:pos="4677"/>
        <w:tab w:val="right" w:pos="9355"/>
      </w:tabs>
      <w:spacing w:after="0" w:line="240" w:lineRule="auto"/>
    </w:pPr>
  </w:style>
  <w:style w:type="character" w:customStyle="1" w:styleId="af">
    <w:name w:val="Верхній колонтитул Знак"/>
    <w:basedOn w:val="a0"/>
    <w:link w:val="ae"/>
    <w:uiPriority w:val="99"/>
    <w:rsid w:val="00A75F81"/>
    <w:rPr>
      <w:lang w:val="ru-RU"/>
    </w:rPr>
  </w:style>
  <w:style w:type="paragraph" w:styleId="af0">
    <w:name w:val="footer"/>
    <w:basedOn w:val="a"/>
    <w:link w:val="af1"/>
    <w:uiPriority w:val="99"/>
    <w:unhideWhenUsed/>
    <w:rsid w:val="00A75F81"/>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A75F81"/>
    <w:rPr>
      <w:lang w:val="ru-RU"/>
    </w:rPr>
  </w:style>
  <w:style w:type="paragraph" w:styleId="af2">
    <w:name w:val="Body Text Indent"/>
    <w:basedOn w:val="a"/>
    <w:link w:val="af3"/>
    <w:unhideWhenUsed/>
    <w:rsid w:val="00931876"/>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931876"/>
    <w:rPr>
      <w:rFonts w:ascii="Times New Roman" w:eastAsia="Times New Roman" w:hAnsi="Times New Roman" w:cs="Times New Roman"/>
      <w:sz w:val="28"/>
      <w:szCs w:val="20"/>
      <w:lang w:eastAsia="ru-RU"/>
    </w:rPr>
  </w:style>
  <w:style w:type="character" w:styleId="af4">
    <w:name w:val="Unresolved Mention"/>
    <w:basedOn w:val="a0"/>
    <w:uiPriority w:val="99"/>
    <w:semiHidden/>
    <w:unhideWhenUsed/>
    <w:rsid w:val="00046C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711918">
      <w:bodyDiv w:val="1"/>
      <w:marLeft w:val="0"/>
      <w:marRight w:val="0"/>
      <w:marTop w:val="0"/>
      <w:marBottom w:val="0"/>
      <w:divBdr>
        <w:top w:val="none" w:sz="0" w:space="0" w:color="auto"/>
        <w:left w:val="none" w:sz="0" w:space="0" w:color="auto"/>
        <w:bottom w:val="none" w:sz="0" w:space="0" w:color="auto"/>
        <w:right w:val="none" w:sz="0" w:space="0" w:color="auto"/>
      </w:divBdr>
    </w:div>
    <w:div w:id="883249102">
      <w:bodyDiv w:val="1"/>
      <w:marLeft w:val="0"/>
      <w:marRight w:val="0"/>
      <w:marTop w:val="0"/>
      <w:marBottom w:val="0"/>
      <w:divBdr>
        <w:top w:val="none" w:sz="0" w:space="0" w:color="auto"/>
        <w:left w:val="none" w:sz="0" w:space="0" w:color="auto"/>
        <w:bottom w:val="none" w:sz="0" w:space="0" w:color="auto"/>
        <w:right w:val="none" w:sz="0" w:space="0" w:color="auto"/>
      </w:divBdr>
    </w:div>
    <w:div w:id="1027605128">
      <w:bodyDiv w:val="1"/>
      <w:marLeft w:val="0"/>
      <w:marRight w:val="0"/>
      <w:marTop w:val="0"/>
      <w:marBottom w:val="0"/>
      <w:divBdr>
        <w:top w:val="none" w:sz="0" w:space="0" w:color="auto"/>
        <w:left w:val="none" w:sz="0" w:space="0" w:color="auto"/>
        <w:bottom w:val="none" w:sz="0" w:space="0" w:color="auto"/>
        <w:right w:val="none" w:sz="0" w:space="0" w:color="auto"/>
      </w:divBdr>
    </w:div>
    <w:div w:id="1298416195">
      <w:bodyDiv w:val="1"/>
      <w:marLeft w:val="0"/>
      <w:marRight w:val="0"/>
      <w:marTop w:val="0"/>
      <w:marBottom w:val="0"/>
      <w:divBdr>
        <w:top w:val="none" w:sz="0" w:space="0" w:color="auto"/>
        <w:left w:val="none" w:sz="0" w:space="0" w:color="auto"/>
        <w:bottom w:val="none" w:sz="0" w:space="0" w:color="auto"/>
        <w:right w:val="none" w:sz="0" w:space="0" w:color="auto"/>
      </w:divBdr>
    </w:div>
    <w:div w:id="1511674403">
      <w:bodyDiv w:val="1"/>
      <w:marLeft w:val="0"/>
      <w:marRight w:val="0"/>
      <w:marTop w:val="0"/>
      <w:marBottom w:val="0"/>
      <w:divBdr>
        <w:top w:val="none" w:sz="0" w:space="0" w:color="auto"/>
        <w:left w:val="none" w:sz="0" w:space="0" w:color="auto"/>
        <w:bottom w:val="none" w:sz="0" w:space="0" w:color="auto"/>
        <w:right w:val="none" w:sz="0" w:space="0" w:color="auto"/>
      </w:divBdr>
    </w:div>
    <w:div w:id="1645892879">
      <w:bodyDiv w:val="1"/>
      <w:marLeft w:val="0"/>
      <w:marRight w:val="0"/>
      <w:marTop w:val="0"/>
      <w:marBottom w:val="0"/>
      <w:divBdr>
        <w:top w:val="none" w:sz="0" w:space="0" w:color="auto"/>
        <w:left w:val="none" w:sz="0" w:space="0" w:color="auto"/>
        <w:bottom w:val="none" w:sz="0" w:space="0" w:color="auto"/>
        <w:right w:val="none" w:sz="0" w:space="0" w:color="auto"/>
      </w:divBdr>
    </w:div>
    <w:div w:id="191006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rp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x@nerc.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19481</Words>
  <Characters>11105</Characters>
  <Application>Microsoft Office Word</Application>
  <DocSecurity>0</DocSecurity>
  <Lines>92</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3</cp:revision>
  <dcterms:created xsi:type="dcterms:W3CDTF">2024-02-13T07:50:00Z</dcterms:created>
  <dcterms:modified xsi:type="dcterms:W3CDTF">2025-07-08T10:34:00Z</dcterms:modified>
</cp:coreProperties>
</file>