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B2954A" w14:textId="77777777" w:rsidR="00DE0BD9" w:rsidRDefault="00DE0BD9" w:rsidP="00EE7401">
      <w:pPr>
        <w:pStyle w:val="af1"/>
        <w:framePr w:hSpace="45" w:wrap="around" w:vAnchor="text" w:hAnchor="page" w:x="1532" w:y="319"/>
        <w:tabs>
          <w:tab w:val="left" w:pos="9072"/>
        </w:tabs>
        <w:spacing w:before="0" w:beforeAutospacing="0" w:after="0" w:afterAutospacing="0"/>
        <w:ind w:left="5812"/>
        <w:rPr>
          <w:sz w:val="28"/>
          <w:szCs w:val="28"/>
        </w:rPr>
      </w:pPr>
      <w:bookmarkStart w:id="0" w:name="_Hlk153963625"/>
      <w:r w:rsidRPr="00DE0BD9">
        <w:rPr>
          <w:sz w:val="28"/>
          <w:szCs w:val="28"/>
        </w:rPr>
        <w:t>ЗАТВЕРДЖЕНО</w:t>
      </w:r>
      <w:r w:rsidRPr="00DE0BD9">
        <w:rPr>
          <w:sz w:val="28"/>
          <w:szCs w:val="28"/>
        </w:rPr>
        <w:br/>
        <w:t>Постанова Національної комісії, що здійснює державне регулювання у сферах</w:t>
      </w:r>
      <w:r w:rsidRPr="00DE0BD9">
        <w:rPr>
          <w:sz w:val="28"/>
          <w:szCs w:val="28"/>
          <w:lang w:val="ru-RU"/>
        </w:rPr>
        <w:t xml:space="preserve"> </w:t>
      </w:r>
      <w:r w:rsidRPr="00DE0BD9">
        <w:rPr>
          <w:sz w:val="28"/>
          <w:szCs w:val="28"/>
        </w:rPr>
        <w:t>енергетики та комунальних</w:t>
      </w:r>
      <w:r w:rsidRPr="00DE0BD9">
        <w:rPr>
          <w:sz w:val="28"/>
          <w:szCs w:val="28"/>
          <w:lang w:val="ru-RU"/>
        </w:rPr>
        <w:t xml:space="preserve"> </w:t>
      </w:r>
      <w:r w:rsidRPr="00DE0BD9">
        <w:rPr>
          <w:sz w:val="28"/>
          <w:szCs w:val="28"/>
        </w:rPr>
        <w:t xml:space="preserve">послуг </w:t>
      </w:r>
    </w:p>
    <w:p w14:paraId="31163E01" w14:textId="77777777" w:rsidR="00EE7401" w:rsidRPr="0063599D" w:rsidRDefault="00EE7401" w:rsidP="00EE7401">
      <w:pPr>
        <w:pStyle w:val="af1"/>
        <w:framePr w:hSpace="45" w:wrap="around" w:vAnchor="text" w:hAnchor="page" w:x="1532" w:y="319"/>
        <w:spacing w:before="0" w:beforeAutospacing="0" w:after="0" w:afterAutospacing="0"/>
        <w:ind w:left="5812"/>
        <w:rPr>
          <w:sz w:val="28"/>
          <w:szCs w:val="28"/>
        </w:rPr>
      </w:pPr>
      <w:r w:rsidRPr="0063599D">
        <w:rPr>
          <w:sz w:val="28"/>
          <w:szCs w:val="28"/>
        </w:rPr>
        <w:t>(у редакції постанови НКРЕКП</w:t>
      </w:r>
    </w:p>
    <w:p w14:paraId="3D558B99" w14:textId="4711C5C1" w:rsidR="00EE7401" w:rsidRPr="0063599D" w:rsidRDefault="00EE7401" w:rsidP="00EE7401">
      <w:pPr>
        <w:pStyle w:val="af1"/>
        <w:framePr w:hSpace="45" w:wrap="around" w:vAnchor="text" w:hAnchor="page" w:x="1532" w:y="319"/>
        <w:spacing w:before="0" w:beforeAutospacing="0" w:after="0" w:afterAutospacing="0"/>
        <w:ind w:left="5812"/>
        <w:rPr>
          <w:b/>
          <w:sz w:val="28"/>
          <w:szCs w:val="28"/>
        </w:rPr>
      </w:pPr>
      <w:r>
        <w:rPr>
          <w:sz w:val="28"/>
          <w:szCs w:val="28"/>
        </w:rPr>
        <w:t xml:space="preserve">від </w:t>
      </w:r>
      <w:r w:rsidR="00111017">
        <w:rPr>
          <w:sz w:val="28"/>
          <w:szCs w:val="28"/>
          <w:lang w:val="en-US"/>
        </w:rPr>
        <w:t>21</w:t>
      </w:r>
      <w:r w:rsidR="00111017">
        <w:rPr>
          <w:sz w:val="28"/>
          <w:szCs w:val="28"/>
        </w:rPr>
        <w:t>.01.2025</w:t>
      </w:r>
      <w:r w:rsidR="008B2AE1">
        <w:rPr>
          <w:sz w:val="28"/>
          <w:szCs w:val="28"/>
        </w:rPr>
        <w:t xml:space="preserve"> № </w:t>
      </w:r>
      <w:r w:rsidR="00111017">
        <w:rPr>
          <w:sz w:val="28"/>
          <w:szCs w:val="28"/>
        </w:rPr>
        <w:t>59</w:t>
      </w:r>
      <w:bookmarkStart w:id="1" w:name="_GoBack"/>
      <w:bookmarkEnd w:id="1"/>
      <w:r w:rsidRPr="0063599D">
        <w:rPr>
          <w:sz w:val="28"/>
          <w:szCs w:val="28"/>
        </w:rPr>
        <w:t>)</w:t>
      </w:r>
      <w:bookmarkEnd w:id="0"/>
      <w:r w:rsidRPr="0063599D">
        <w:rPr>
          <w:sz w:val="28"/>
          <w:szCs w:val="28"/>
        </w:rPr>
        <w:br w:type="textWrapping" w:clear="all"/>
      </w:r>
    </w:p>
    <w:p w14:paraId="15D94141" w14:textId="77777777" w:rsidR="00EE7401" w:rsidRPr="00DE0BD9" w:rsidRDefault="00EE7401" w:rsidP="00DE0BD9">
      <w:pPr>
        <w:pStyle w:val="af1"/>
        <w:framePr w:hSpace="45" w:wrap="around" w:vAnchor="text" w:hAnchor="page" w:x="1532" w:y="319"/>
        <w:tabs>
          <w:tab w:val="left" w:pos="9072"/>
        </w:tabs>
        <w:spacing w:before="0" w:beforeAutospacing="0" w:after="0" w:afterAutospacing="0"/>
        <w:ind w:left="5954"/>
        <w:rPr>
          <w:sz w:val="28"/>
          <w:szCs w:val="28"/>
        </w:rPr>
      </w:pPr>
    </w:p>
    <w:p w14:paraId="4AA917D4" w14:textId="77777777" w:rsidR="00DE0BD9" w:rsidRDefault="00DE0BD9" w:rsidP="00C62C1F">
      <w:pPr>
        <w:pStyle w:val="af1"/>
        <w:tabs>
          <w:tab w:val="left" w:pos="9072"/>
        </w:tabs>
        <w:spacing w:before="0" w:beforeAutospacing="0" w:after="0" w:afterAutospacing="0"/>
        <w:rPr>
          <w:b/>
          <w:sz w:val="28"/>
          <w:szCs w:val="28"/>
        </w:rPr>
      </w:pPr>
    </w:p>
    <w:p w14:paraId="54040937" w14:textId="77777777" w:rsidR="006506C0" w:rsidRPr="00DE0BD9" w:rsidRDefault="006506C0" w:rsidP="00DE0BD9">
      <w:pPr>
        <w:tabs>
          <w:tab w:val="left" w:pos="5940"/>
        </w:tabs>
        <w:spacing w:after="0" w:line="276" w:lineRule="auto"/>
        <w:rPr>
          <w:rFonts w:ascii="Times New Roman" w:hAnsi="Times New Roman" w:cs="Times New Roman"/>
          <w:b/>
          <w:sz w:val="28"/>
          <w:szCs w:val="28"/>
          <w:lang w:val="uk-UA"/>
        </w:rPr>
      </w:pPr>
    </w:p>
    <w:p w14:paraId="39E25DB8" w14:textId="77777777"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 xml:space="preserve">ІНСТРУКЦІЯ </w:t>
      </w:r>
    </w:p>
    <w:p w14:paraId="3C323469" w14:textId="77777777"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щодо заповнення форми звітності № 11-НКРЕКП-моніторинг-передача (річна) «Звіт про зміну споживачами електропостачальника»</w:t>
      </w:r>
    </w:p>
    <w:p w14:paraId="6D116E71" w14:textId="77777777" w:rsidR="00DE0BD9" w:rsidRPr="00DE0BD9" w:rsidRDefault="00DE0BD9" w:rsidP="00DE0BD9">
      <w:pPr>
        <w:spacing w:after="0" w:line="276" w:lineRule="auto"/>
        <w:jc w:val="center"/>
        <w:rPr>
          <w:rFonts w:ascii="Times New Roman" w:hAnsi="Times New Roman" w:cs="Times New Roman"/>
          <w:b/>
          <w:sz w:val="28"/>
          <w:szCs w:val="28"/>
          <w:lang w:val="uk-UA"/>
        </w:rPr>
      </w:pPr>
    </w:p>
    <w:p w14:paraId="50C6DE22" w14:textId="77777777"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1. Загальні положення</w:t>
      </w:r>
    </w:p>
    <w:p w14:paraId="7844AC91" w14:textId="77777777" w:rsidR="00DE0BD9" w:rsidRPr="00DE0BD9" w:rsidRDefault="00DE0BD9" w:rsidP="00DE0BD9">
      <w:pPr>
        <w:spacing w:after="0" w:line="276" w:lineRule="auto"/>
        <w:jc w:val="both"/>
        <w:rPr>
          <w:rFonts w:ascii="Times New Roman" w:hAnsi="Times New Roman" w:cs="Times New Roman"/>
          <w:sz w:val="28"/>
          <w:szCs w:val="28"/>
          <w:lang w:val="uk-UA"/>
        </w:rPr>
      </w:pPr>
    </w:p>
    <w:p w14:paraId="7D9D3E4B" w14:textId="77777777"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bookmarkStart w:id="2" w:name="_Hlk153963645"/>
      <w:r w:rsidR="00EE7401">
        <w:rPr>
          <w:rFonts w:ascii="Times New Roman" w:hAnsi="Times New Roman" w:cs="Times New Roman"/>
          <w:sz w:val="28"/>
          <w:szCs w:val="28"/>
          <w:lang w:val="uk-UA"/>
        </w:rPr>
        <w:t>, ліцензіат</w:t>
      </w:r>
      <w:bookmarkEnd w:id="2"/>
      <w:r w:rsidRPr="00DE0BD9">
        <w:rPr>
          <w:rFonts w:ascii="Times New Roman" w:hAnsi="Times New Roman" w:cs="Times New Roman"/>
          <w:sz w:val="28"/>
          <w:szCs w:val="28"/>
          <w:lang w:val="uk-UA"/>
        </w:rPr>
        <w:t>).</w:t>
      </w:r>
    </w:p>
    <w:p w14:paraId="146BBAC2" w14:textId="77777777" w:rsidR="00DE0BD9" w:rsidRPr="00DE0BD9" w:rsidRDefault="00DE0BD9" w:rsidP="00DE0BD9">
      <w:pPr>
        <w:spacing w:after="0" w:line="276" w:lineRule="auto"/>
        <w:ind w:firstLine="567"/>
        <w:jc w:val="both"/>
        <w:rPr>
          <w:rFonts w:ascii="Times New Roman" w:hAnsi="Times New Roman" w:cs="Times New Roman"/>
          <w:sz w:val="28"/>
          <w:szCs w:val="28"/>
          <w:lang w:val="uk-UA"/>
        </w:rPr>
      </w:pPr>
    </w:p>
    <w:p w14:paraId="03E87388" w14:textId="77777777"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1.2. Ця Інструкція визначає порядок заповнення форми звітності № 11</w:t>
      </w:r>
      <w:r w:rsidRPr="00DE0BD9">
        <w:rPr>
          <w:rFonts w:ascii="Times New Roman" w:hAnsi="Times New Roman" w:cs="Times New Roman"/>
          <w:sz w:val="28"/>
          <w:szCs w:val="28"/>
          <w:lang w:val="uk-UA"/>
        </w:rPr>
        <w:noBreakHyphen/>
        <w:t>НКРЕКП-моніторинг-передача (річна) «Звіт про зміну споживачами електропостачальника» (далі – форма звітності № 11) та додатків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14:paraId="07A4CDB9" w14:textId="77777777" w:rsidR="00DE0BD9" w:rsidRPr="00DE0BD9" w:rsidRDefault="00DE0BD9" w:rsidP="00DE0BD9">
      <w:pPr>
        <w:spacing w:after="0" w:line="276" w:lineRule="auto"/>
        <w:ind w:firstLine="567"/>
        <w:jc w:val="both"/>
        <w:rPr>
          <w:rFonts w:ascii="Times New Roman" w:hAnsi="Times New Roman" w:cs="Times New Roman"/>
          <w:sz w:val="28"/>
          <w:szCs w:val="28"/>
          <w:lang w:val="uk-UA"/>
        </w:rPr>
      </w:pPr>
    </w:p>
    <w:p w14:paraId="5874F737" w14:textId="77777777"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1.3. Цю Інструкцію розроблено відповідно до:</w:t>
      </w:r>
    </w:p>
    <w:p w14:paraId="1A3CDDFD" w14:textId="77777777"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DE0BD9">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DE0BD9">
        <w:rPr>
          <w:rFonts w:ascii="Times New Roman" w:hAnsi="Times New Roman" w:cs="Times New Roman"/>
          <w:sz w:val="28"/>
          <w:szCs w:val="28"/>
          <w:lang w:val="uk-UA"/>
        </w:rPr>
        <w:t>, </w:t>
      </w:r>
      <w:hyperlink r:id="rId9" w:tgtFrame="_blank" w:history="1">
        <w:r w:rsidRPr="00DE0BD9">
          <w:rPr>
            <w:rFonts w:ascii="Times New Roman" w:hAnsi="Times New Roman" w:cs="Times New Roman"/>
            <w:sz w:val="28"/>
            <w:szCs w:val="28"/>
            <w:lang w:val="uk-UA"/>
          </w:rPr>
          <w:t>«Про інформацію»</w:t>
        </w:r>
      </w:hyperlink>
      <w:r w:rsidRPr="00DE0BD9">
        <w:rPr>
          <w:rFonts w:ascii="Times New Roman" w:hAnsi="Times New Roman" w:cs="Times New Roman"/>
          <w:sz w:val="28"/>
          <w:szCs w:val="28"/>
          <w:lang w:val="uk-UA"/>
        </w:rPr>
        <w:t>, </w:t>
      </w:r>
      <w:hyperlink r:id="rId10" w:tgtFrame="_blank" w:history="1">
        <w:r w:rsidRPr="00DE0BD9">
          <w:rPr>
            <w:rFonts w:ascii="Times New Roman" w:hAnsi="Times New Roman" w:cs="Times New Roman"/>
            <w:sz w:val="28"/>
            <w:szCs w:val="28"/>
            <w:lang w:val="uk-UA"/>
          </w:rPr>
          <w:t>«Про доступ до публічної інформації»</w:t>
        </w:r>
      </w:hyperlink>
      <w:r w:rsidRPr="00DE0BD9">
        <w:rPr>
          <w:rFonts w:ascii="Times New Roman" w:hAnsi="Times New Roman" w:cs="Times New Roman"/>
          <w:sz w:val="28"/>
          <w:szCs w:val="28"/>
          <w:lang w:val="uk-UA"/>
        </w:rPr>
        <w:t>;</w:t>
      </w:r>
    </w:p>
    <w:p w14:paraId="2C1CE0B1" w14:textId="77777777" w:rsidR="00DE0BD9" w:rsidRP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DE0BD9">
        <w:rPr>
          <w:rFonts w:ascii="Times New Roman" w:hAnsi="Times New Roman" w:cs="Times New Roman"/>
          <w:sz w:val="28"/>
          <w:szCs w:val="28"/>
        </w:rPr>
        <w:t xml:space="preserve"> </w:t>
      </w:r>
      <w:r w:rsidRPr="00DE0BD9">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 307,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14:paraId="6AE4BF77" w14:textId="77777777" w:rsidR="00DE0BD9" w:rsidRDefault="00DE0BD9" w:rsidP="00DE0BD9">
      <w:pPr>
        <w:spacing w:after="0" w:line="276" w:lineRule="auto"/>
        <w:ind w:firstLine="567"/>
        <w:jc w:val="both"/>
        <w:rPr>
          <w:rFonts w:ascii="Times New Roman" w:hAnsi="Times New Roman" w:cs="Times New Roman"/>
          <w:sz w:val="28"/>
          <w:szCs w:val="28"/>
          <w:lang w:val="uk-UA"/>
        </w:rPr>
      </w:pPr>
      <w:r w:rsidRPr="00DE0BD9">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суб’єкта господарської діяльності з передачі електричної енергії.</w:t>
      </w:r>
    </w:p>
    <w:p w14:paraId="649217E9" w14:textId="77777777" w:rsidR="0018458B" w:rsidRDefault="0018458B" w:rsidP="00DE0BD9">
      <w:pPr>
        <w:spacing w:after="0" w:line="276" w:lineRule="auto"/>
        <w:ind w:firstLine="567"/>
        <w:jc w:val="both"/>
        <w:rPr>
          <w:rFonts w:ascii="Times New Roman" w:hAnsi="Times New Roman" w:cs="Times New Roman"/>
          <w:sz w:val="28"/>
          <w:szCs w:val="28"/>
          <w:lang w:val="uk-UA"/>
        </w:rPr>
      </w:pPr>
    </w:p>
    <w:p w14:paraId="53AC4433" w14:textId="77777777"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2. Порядок та термін надання інформації</w:t>
      </w:r>
    </w:p>
    <w:p w14:paraId="12C12A5A" w14:textId="77777777" w:rsidR="00DE0BD9" w:rsidRPr="00DE0BD9" w:rsidRDefault="00DE0BD9" w:rsidP="00DE0BD9">
      <w:pPr>
        <w:spacing w:after="0" w:line="276" w:lineRule="auto"/>
        <w:jc w:val="both"/>
        <w:rPr>
          <w:rFonts w:ascii="Times New Roman" w:hAnsi="Times New Roman" w:cs="Times New Roman"/>
          <w:sz w:val="24"/>
          <w:szCs w:val="28"/>
          <w:lang w:val="uk-UA"/>
        </w:rPr>
      </w:pPr>
    </w:p>
    <w:p w14:paraId="17827FA9" w14:textId="77777777" w:rsidR="00EE7401" w:rsidRDefault="00EE7401" w:rsidP="00EE7401">
      <w:pPr>
        <w:tabs>
          <w:tab w:val="left" w:pos="426"/>
          <w:tab w:val="left" w:pos="567"/>
        </w:tabs>
        <w:spacing w:after="0" w:line="276" w:lineRule="auto"/>
        <w:ind w:firstLine="567"/>
        <w:jc w:val="both"/>
        <w:rPr>
          <w:rFonts w:ascii="Times New Roman" w:hAnsi="Times New Roman" w:cs="Times New Roman"/>
          <w:sz w:val="28"/>
          <w:szCs w:val="28"/>
        </w:rPr>
      </w:pPr>
      <w:bookmarkStart w:id="3" w:name="_Hlk153963669"/>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14:paraId="04683C62" w14:textId="77777777" w:rsidR="00EE7401" w:rsidRDefault="00EE7401" w:rsidP="00EE7401">
      <w:pPr>
        <w:tabs>
          <w:tab w:val="left" w:pos="426"/>
          <w:tab w:val="left" w:pos="567"/>
        </w:tabs>
        <w:spacing w:after="0" w:line="276" w:lineRule="auto"/>
        <w:ind w:firstLine="567"/>
        <w:jc w:val="both"/>
        <w:rPr>
          <w:rFonts w:ascii="Times New Roman" w:hAnsi="Times New Roman" w:cs="Times New Roman"/>
          <w:sz w:val="28"/>
          <w:szCs w:val="28"/>
        </w:rPr>
      </w:pPr>
    </w:p>
    <w:p w14:paraId="2DE121BE" w14:textId="77777777" w:rsidR="00EE7401" w:rsidRDefault="00EE7401" w:rsidP="00EE7401">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rPr>
        <w:t>№ 11</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14:paraId="30D83AF5" w14:textId="77777777" w:rsidR="00EE7401" w:rsidRDefault="00EE7401" w:rsidP="00EE7401">
      <w:pPr>
        <w:tabs>
          <w:tab w:val="left" w:pos="426"/>
          <w:tab w:val="left" w:pos="993"/>
        </w:tabs>
        <w:spacing w:after="0" w:line="276" w:lineRule="auto"/>
        <w:ind w:firstLine="567"/>
        <w:jc w:val="both"/>
        <w:rPr>
          <w:rFonts w:ascii="Times New Roman" w:hAnsi="Times New Roman" w:cs="Times New Roman"/>
          <w:sz w:val="28"/>
          <w:szCs w:val="28"/>
        </w:rPr>
      </w:pPr>
    </w:p>
    <w:p w14:paraId="725AA709" w14:textId="77777777" w:rsidR="00EE7401" w:rsidRPr="00665D42" w:rsidRDefault="00EE7401" w:rsidP="00EE7401">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11</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подається до НКРЕКП виключно в електронн</w:t>
      </w:r>
      <w:r w:rsidR="00734841">
        <w:rPr>
          <w:rFonts w:ascii="Times New Roman" w:eastAsia="Calibri" w:hAnsi="Times New Roman" w:cs="Times New Roman"/>
          <w:sz w:val="28"/>
          <w:szCs w:val="28"/>
          <w:shd w:val="clear" w:color="auto" w:fill="FFFFFF"/>
          <w:lang w:val="uk-UA"/>
        </w:rPr>
        <w:t>ій</w:t>
      </w:r>
      <w:r w:rsidRPr="00665D42">
        <w:rPr>
          <w:rFonts w:ascii="Times New Roman" w:eastAsia="Calibri" w:hAnsi="Times New Roman" w:cs="Times New Roman"/>
          <w:sz w:val="28"/>
          <w:szCs w:val="28"/>
          <w:shd w:val="clear" w:color="auto" w:fill="FFFFFF"/>
          <w:lang w:val="uk-UA"/>
        </w:rPr>
        <w:t xml:space="preserve"> </w:t>
      </w:r>
      <w:r w:rsidR="00734841">
        <w:rPr>
          <w:rFonts w:ascii="Times New Roman" w:eastAsia="Calibri" w:hAnsi="Times New Roman" w:cs="Times New Roman"/>
          <w:sz w:val="28"/>
          <w:szCs w:val="28"/>
          <w:shd w:val="clear" w:color="auto" w:fill="FFFFFF"/>
          <w:lang w:val="uk-UA"/>
        </w:rPr>
        <w:t>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monitoring_</w:t>
      </w:r>
      <w:r w:rsidR="004253F7">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1AC702E7" w14:textId="77777777" w:rsidR="00EE7401" w:rsidRPr="00665D42" w:rsidRDefault="00EE7401" w:rsidP="00EE7401">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FC70A7E" w14:textId="1B1E005E" w:rsidR="00EE7401" w:rsidRPr="00665D42" w:rsidRDefault="00EE7401" w:rsidP="00EE7401">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734841">
        <w:rPr>
          <w:rFonts w:ascii="Times New Roman" w:eastAsia="Calibri" w:hAnsi="Times New Roman" w:cs="Times New Roman"/>
          <w:sz w:val="28"/>
          <w:szCs w:val="28"/>
          <w:shd w:val="clear" w:color="auto" w:fill="FFFFFF"/>
          <w:lang w:val="uk-UA"/>
        </w:rPr>
        <w:t>надходження</w:t>
      </w:r>
      <w:r w:rsidRPr="00665D42">
        <w:rPr>
          <w:rFonts w:ascii="Times New Roman" w:eastAsia="Calibri" w:hAnsi="Times New Roman" w:cs="Times New Roman"/>
          <w:sz w:val="28"/>
          <w:szCs w:val="28"/>
          <w:shd w:val="clear" w:color="auto" w:fill="FFFFFF"/>
          <w:lang w:val="uk-UA"/>
        </w:rPr>
        <w:t xml:space="preserve">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4253F7">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4253F7">
        <w:rPr>
          <w:rFonts w:ascii="Times New Roman" w:eastAsia="Calibri" w:hAnsi="Times New Roman" w:cs="Times New Roman"/>
          <w:sz w:val="28"/>
          <w:szCs w:val="28"/>
          <w:shd w:val="clear" w:color="auto" w:fill="FFFFFF"/>
          <w:lang w:val="uk-UA"/>
        </w:rPr>
        <w:t xml:space="preserve"> </w:t>
      </w:r>
      <w:r w:rsidRPr="00665D42">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14:paraId="71EA74EA" w14:textId="77777777" w:rsidR="00EE7401" w:rsidRPr="00665D42" w:rsidRDefault="00EE7401" w:rsidP="00EE7401">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11</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11</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4A94197D" w14:textId="77777777" w:rsidR="00EE7401" w:rsidRPr="00665D42" w:rsidRDefault="00EE7401" w:rsidP="00EE7401">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11</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w:t>
      </w:r>
      <w:r w:rsidRPr="00665D42">
        <w:rPr>
          <w:rFonts w:ascii="Times New Roman" w:eastAsia="Calibri" w:hAnsi="Times New Roman" w:cs="Times New Roman"/>
          <w:sz w:val="28"/>
          <w:szCs w:val="28"/>
          <w:shd w:val="clear" w:color="auto" w:fill="FFFFFF"/>
          <w:lang w:val="uk-UA"/>
        </w:rPr>
        <w:lastRenderedPageBreak/>
        <w:t xml:space="preserve">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11</w:t>
      </w:r>
      <w:r w:rsidRPr="00665D42">
        <w:rPr>
          <w:rFonts w:ascii="Times New Roman" w:eastAsia="Calibri" w:hAnsi="Times New Roman" w:cs="Times New Roman"/>
          <w:sz w:val="28"/>
          <w:szCs w:val="28"/>
          <w:shd w:val="clear" w:color="auto" w:fill="FFFFFF"/>
          <w:lang w:val="uk-UA"/>
        </w:rPr>
        <w:t xml:space="preserve"> до НКРЕКП.</w:t>
      </w:r>
    </w:p>
    <w:p w14:paraId="2EA29A37" w14:textId="77777777" w:rsidR="00EE7401" w:rsidRDefault="00EE7401" w:rsidP="00EE7401">
      <w:pPr>
        <w:tabs>
          <w:tab w:val="left" w:pos="993"/>
        </w:tabs>
        <w:spacing w:after="0" w:line="276" w:lineRule="auto"/>
        <w:ind w:firstLine="709"/>
        <w:jc w:val="both"/>
        <w:rPr>
          <w:rFonts w:ascii="Times New Roman" w:hAnsi="Times New Roman" w:cs="Times New Roman"/>
          <w:sz w:val="28"/>
          <w:szCs w:val="28"/>
          <w:lang w:val="uk-UA"/>
        </w:rPr>
      </w:pPr>
    </w:p>
    <w:p w14:paraId="2F030699" w14:textId="77777777" w:rsidR="00EE7401" w:rsidRPr="00665D42" w:rsidRDefault="00EE7401" w:rsidP="00EE7401">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11</w:t>
      </w:r>
      <w:r w:rsidRPr="00665D42">
        <w:rPr>
          <w:rFonts w:ascii="Times New Roman" w:eastAsia="Times New Roman" w:hAnsi="Times New Roman" w:cs="Times New Roman"/>
          <w:sz w:val="28"/>
          <w:szCs w:val="28"/>
          <w:lang w:val="uk-UA" w:eastAsia="uk-UA"/>
        </w:rPr>
        <w:t xml:space="preserve">. </w:t>
      </w:r>
    </w:p>
    <w:p w14:paraId="2220F486" w14:textId="4CCBF3B2" w:rsidR="00EE7401" w:rsidRPr="00665D42" w:rsidRDefault="00A85706" w:rsidP="00EE7401">
      <w:pPr>
        <w:pStyle w:val="rvps2"/>
        <w:shd w:val="clear" w:color="auto" w:fill="FFFFFF"/>
        <w:spacing w:after="0" w:line="276" w:lineRule="auto"/>
        <w:ind w:firstLine="709"/>
        <w:jc w:val="both"/>
        <w:rPr>
          <w:sz w:val="28"/>
          <w:szCs w:val="28"/>
        </w:rPr>
      </w:pPr>
      <w:r w:rsidRPr="00A85706">
        <w:rPr>
          <w:sz w:val="28"/>
          <w:szCs w:val="28"/>
        </w:rPr>
        <w:t xml:space="preserve">2.5. Усі показники форми звітності № 11 мають ґрунтуватися на даних, які вносяться відповідальними учасниками ринку до централізованого реєстру точок комерційного обліку інформаційно-телекомунікаційної платформи </w:t>
      </w:r>
      <w:proofErr w:type="spellStart"/>
      <w:r w:rsidRPr="00A85706">
        <w:rPr>
          <w:sz w:val="28"/>
          <w:szCs w:val="28"/>
        </w:rPr>
        <w:t>Датахаб</w:t>
      </w:r>
      <w:proofErr w:type="spellEnd"/>
      <w:r w:rsidRPr="00A85706">
        <w:rPr>
          <w:sz w:val="28"/>
          <w:szCs w:val="28"/>
        </w:rPr>
        <w:t xml:space="preserve"> та/або адмініструються ними на цій платформі відповідно до вимог, встановлених Правилами ринку, Правилами роздрібного ринку електричної енергії та Кодексом комерційного обліку електричної енергії.</w:t>
      </w:r>
    </w:p>
    <w:p w14:paraId="65518375" w14:textId="77777777" w:rsidR="00EE7401" w:rsidRDefault="00EE7401" w:rsidP="00EE7401">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032D03FD" w14:textId="77777777" w:rsidR="00EE7401" w:rsidRPr="000B2A6D" w:rsidRDefault="00EE7401" w:rsidP="00EE7401">
      <w:pPr>
        <w:tabs>
          <w:tab w:val="left" w:pos="993"/>
        </w:tabs>
        <w:spacing w:after="0" w:line="276" w:lineRule="auto"/>
        <w:ind w:firstLine="567"/>
        <w:jc w:val="both"/>
        <w:rPr>
          <w:sz w:val="28"/>
          <w:szCs w:val="28"/>
        </w:rPr>
      </w:pPr>
    </w:p>
    <w:p w14:paraId="70FEA446" w14:textId="5E15D2DD" w:rsidR="00EE7401" w:rsidRPr="00665D42" w:rsidRDefault="00EE7401" w:rsidP="00EE7401">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w:t>
      </w:r>
      <w:r w:rsidR="007D2804">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7D2804">
        <w:rPr>
          <w:rFonts w:ascii="Times New Roman" w:hAnsi="Times New Roman" w:cs="Times New Roman"/>
          <w:sz w:val="28"/>
          <w:szCs w:val="28"/>
          <w:lang w:val="uk-UA"/>
        </w:rPr>
        <w:t> </w:t>
      </w:r>
      <w:r>
        <w:rPr>
          <w:rFonts w:ascii="Times New Roman" w:hAnsi="Times New Roman" w:cs="Times New Roman"/>
          <w:sz w:val="28"/>
          <w:szCs w:val="28"/>
          <w:lang w:val="uk-UA"/>
        </w:rPr>
        <w:t>11</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73F10771" w14:textId="77777777" w:rsidR="00EE7401" w:rsidRDefault="00EE7401" w:rsidP="00EE7401">
      <w:pPr>
        <w:tabs>
          <w:tab w:val="left" w:pos="993"/>
        </w:tabs>
        <w:spacing w:after="0" w:line="276" w:lineRule="auto"/>
        <w:ind w:firstLine="567"/>
        <w:jc w:val="both"/>
        <w:rPr>
          <w:rFonts w:ascii="Times New Roman" w:hAnsi="Times New Roman" w:cs="Times New Roman"/>
          <w:sz w:val="28"/>
          <w:szCs w:val="28"/>
          <w:lang w:val="uk-UA"/>
        </w:rPr>
      </w:pPr>
      <w:r w:rsidRPr="0084720A">
        <w:rPr>
          <w:rFonts w:ascii="Times New Roman" w:hAnsi="Times New Roman" w:cs="Times New Roman"/>
          <w:sz w:val="28"/>
          <w:szCs w:val="28"/>
          <w:lang w:val="uk-UA"/>
        </w:rPr>
        <w:t xml:space="preserve">Вартісні показники у формі звітності </w:t>
      </w:r>
      <w:r>
        <w:rPr>
          <w:rFonts w:ascii="Times New Roman" w:hAnsi="Times New Roman" w:cs="Times New Roman"/>
          <w:sz w:val="28"/>
          <w:szCs w:val="28"/>
          <w:lang w:val="uk-UA"/>
        </w:rPr>
        <w:t>№ 11</w:t>
      </w:r>
      <w:r w:rsidRPr="0084720A">
        <w:rPr>
          <w:rFonts w:ascii="Times New Roman" w:hAnsi="Times New Roman" w:cs="Times New Roman"/>
          <w:sz w:val="28"/>
          <w:szCs w:val="28"/>
          <w:lang w:val="uk-UA"/>
        </w:rPr>
        <w:t xml:space="preserve"> наводяться без урахування податку на додану вартість (далі – ПДВ).</w:t>
      </w:r>
    </w:p>
    <w:p w14:paraId="00B76E1E" w14:textId="77777777" w:rsidR="00EE7401" w:rsidRPr="006031A3" w:rsidRDefault="00EE7401" w:rsidP="00EE7401">
      <w:pPr>
        <w:tabs>
          <w:tab w:val="left" w:pos="993"/>
        </w:tabs>
        <w:spacing w:after="0" w:line="276" w:lineRule="auto"/>
        <w:ind w:firstLine="567"/>
        <w:jc w:val="both"/>
        <w:rPr>
          <w:rFonts w:ascii="Times New Roman" w:hAnsi="Times New Roman" w:cs="Times New Roman"/>
          <w:sz w:val="28"/>
          <w:szCs w:val="28"/>
          <w:lang w:val="uk-UA"/>
        </w:rPr>
      </w:pPr>
    </w:p>
    <w:p w14:paraId="18083650" w14:textId="77777777" w:rsidR="00EE7401" w:rsidRPr="00665D42" w:rsidRDefault="00EE7401" w:rsidP="00EE7401">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11</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0E18647F" w14:textId="77777777" w:rsidR="00EE7401" w:rsidRDefault="00EE7401" w:rsidP="00EE7401">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8D41B6A" w14:textId="77777777" w:rsidR="00EE7401" w:rsidRPr="00454176" w:rsidRDefault="00EE7401" w:rsidP="00EE7401">
      <w:pPr>
        <w:tabs>
          <w:tab w:val="left" w:pos="993"/>
        </w:tabs>
        <w:spacing w:after="0" w:line="276" w:lineRule="auto"/>
        <w:ind w:firstLine="709"/>
        <w:jc w:val="both"/>
        <w:rPr>
          <w:sz w:val="28"/>
          <w:szCs w:val="28"/>
          <w:lang w:val="uk-UA"/>
        </w:rPr>
      </w:pPr>
    </w:p>
    <w:p w14:paraId="5C2C8756" w14:textId="06475D41" w:rsidR="00EE7401" w:rsidRPr="00665D42" w:rsidRDefault="00EE7401" w:rsidP="00EE7401">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27283F">
        <w:rPr>
          <w:rFonts w:ascii="Times New Roman" w:hAnsi="Times New Roman" w:cs="Times New Roman"/>
          <w:sz w:val="28"/>
          <w:szCs w:val="28"/>
          <w:lang w:val="uk-UA"/>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11</w:t>
      </w:r>
      <w:r w:rsidRPr="00665D42">
        <w:rPr>
          <w:rFonts w:ascii="Times New Roman" w:hAnsi="Times New Roman" w:cs="Times New Roman"/>
          <w:sz w:val="28"/>
          <w:szCs w:val="28"/>
          <w:lang w:val="uk-UA"/>
        </w:rPr>
        <w:t>,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w:t>
      </w:r>
      <w:r w:rsidR="00734841">
        <w:rPr>
          <w:rFonts w:ascii="Times New Roman" w:hAnsi="Times New Roman" w:cs="Times New Roman"/>
          <w:sz w:val="28"/>
          <w:szCs w:val="28"/>
          <w:lang w:val="uk-UA"/>
        </w:rPr>
        <w:t>ій</w:t>
      </w:r>
      <w:r w:rsidRPr="00665D42">
        <w:rPr>
          <w:rFonts w:ascii="Times New Roman" w:hAnsi="Times New Roman" w:cs="Times New Roman"/>
          <w:sz w:val="28"/>
          <w:szCs w:val="28"/>
          <w:lang w:val="uk-UA"/>
        </w:rPr>
        <w:t xml:space="preserve"> </w:t>
      </w:r>
      <w:r w:rsidR="00734841">
        <w:rPr>
          <w:rFonts w:ascii="Times New Roman" w:hAnsi="Times New Roman" w:cs="Times New Roman"/>
          <w:sz w:val="28"/>
          <w:szCs w:val="28"/>
          <w:lang w:val="uk-UA"/>
        </w:rPr>
        <w:t>форм</w:t>
      </w:r>
      <w:r w:rsidRPr="00665D42">
        <w:rPr>
          <w:rFonts w:ascii="Times New Roman" w:hAnsi="Times New Roman" w:cs="Times New Roman"/>
          <w:sz w:val="28"/>
          <w:szCs w:val="28"/>
          <w:lang w:val="uk-UA"/>
        </w:rPr>
        <w:t xml:space="preserve">і </w:t>
      </w:r>
      <w:bookmarkStart w:id="4" w:name="_Hlk86242544"/>
      <w:bookmarkStart w:id="5"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4"/>
      <w:r w:rsidR="004253F7">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5"/>
      <w:r w:rsidR="007D2804">
        <w:rPr>
          <w:rFonts w:ascii="Times New Roman" w:hAnsi="Times New Roman" w:cs="Times New Roman"/>
          <w:sz w:val="28"/>
          <w:szCs w:val="28"/>
          <w:lang w:val="uk-UA"/>
        </w:rPr>
        <w:t>у</w:t>
      </w:r>
      <w:r w:rsidR="007D2804" w:rsidRPr="00665D42">
        <w:rPr>
          <w:rFonts w:ascii="Times New Roman" w:hAnsi="Times New Roman" w:cs="Times New Roman"/>
          <w:sz w:val="28"/>
          <w:szCs w:val="28"/>
          <w:lang w:val="uk-UA"/>
        </w:rPr>
        <w:t xml:space="preserve"> </w:t>
      </w:r>
      <w:r w:rsidRPr="00665D42">
        <w:rPr>
          <w:rFonts w:ascii="Times New Roman" w:hAnsi="Times New Roman" w:cs="Times New Roman"/>
          <w:sz w:val="28"/>
          <w:szCs w:val="28"/>
          <w:lang w:val="uk-UA"/>
        </w:rPr>
        <w:t>якому зазначаються причини внесення змін.</w:t>
      </w:r>
    </w:p>
    <w:bookmarkEnd w:id="3"/>
    <w:p w14:paraId="3350DDE3" w14:textId="77777777" w:rsidR="00DE0BD9" w:rsidRPr="00DE0BD9" w:rsidRDefault="00DE0BD9" w:rsidP="00DE0BD9">
      <w:pPr>
        <w:spacing w:after="0" w:line="276" w:lineRule="auto"/>
        <w:jc w:val="both"/>
        <w:rPr>
          <w:rFonts w:ascii="Times New Roman" w:hAnsi="Times New Roman" w:cs="Times New Roman"/>
          <w:sz w:val="20"/>
          <w:szCs w:val="28"/>
          <w:lang w:val="uk-UA"/>
        </w:rPr>
      </w:pPr>
    </w:p>
    <w:p w14:paraId="405D19AB" w14:textId="77777777" w:rsidR="00DE0BD9" w:rsidRPr="00DE0BD9" w:rsidRDefault="00DE0BD9" w:rsidP="00DE0BD9">
      <w:pPr>
        <w:spacing w:after="0" w:line="276" w:lineRule="auto"/>
        <w:jc w:val="center"/>
        <w:rPr>
          <w:rFonts w:ascii="Times New Roman" w:hAnsi="Times New Roman" w:cs="Times New Roman"/>
          <w:b/>
          <w:sz w:val="28"/>
          <w:szCs w:val="28"/>
          <w:lang w:val="uk-UA"/>
        </w:rPr>
      </w:pPr>
      <w:r w:rsidRPr="00DE0BD9">
        <w:rPr>
          <w:rFonts w:ascii="Times New Roman" w:hAnsi="Times New Roman" w:cs="Times New Roman"/>
          <w:b/>
          <w:sz w:val="28"/>
          <w:szCs w:val="28"/>
          <w:lang w:val="uk-UA"/>
        </w:rPr>
        <w:t>3. Порядок заповнення форми звітності № 11</w:t>
      </w:r>
    </w:p>
    <w:p w14:paraId="4EAE848B" w14:textId="77777777" w:rsidR="00DE0BD9" w:rsidRPr="00DE0BD9" w:rsidRDefault="00DE0BD9" w:rsidP="00DE0BD9">
      <w:pPr>
        <w:spacing w:after="0" w:line="276" w:lineRule="auto"/>
        <w:jc w:val="center"/>
        <w:rPr>
          <w:rFonts w:ascii="Times New Roman" w:hAnsi="Times New Roman" w:cs="Times New Roman"/>
          <w:b/>
          <w:sz w:val="20"/>
          <w:szCs w:val="28"/>
          <w:lang w:val="uk-UA"/>
        </w:rPr>
      </w:pPr>
    </w:p>
    <w:p w14:paraId="181FB705" w14:textId="17C6857D" w:rsidR="00EE7401"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27283F">
        <w:rPr>
          <w:rFonts w:ascii="Times New Roman" w:hAnsi="Times New Roman" w:cs="Times New Roman"/>
          <w:sz w:val="28"/>
          <w:szCs w:val="28"/>
          <w:lang w:val="uk-UA"/>
        </w:rPr>
        <w:t>3</w:t>
      </w:r>
      <w:r>
        <w:rPr>
          <w:rFonts w:ascii="Times New Roman" w:hAnsi="Times New Roman" w:cs="Times New Roman"/>
          <w:sz w:val="28"/>
          <w:szCs w:val="28"/>
          <w:lang w:val="uk-UA"/>
        </w:rPr>
        <w:t>.1. У розділі І «</w:t>
      </w:r>
      <w:r w:rsidRPr="00454176">
        <w:rPr>
          <w:rFonts w:ascii="Times New Roman" w:hAnsi="Times New Roman" w:cs="Times New Roman"/>
          <w:sz w:val="28"/>
          <w:szCs w:val="28"/>
          <w:lang w:val="uk-UA"/>
        </w:rPr>
        <w:t>Інформація щодо зміни електропостачальника на постачальника «останньої надії»</w:t>
      </w:r>
      <w:r>
        <w:rPr>
          <w:rFonts w:ascii="Times New Roman" w:hAnsi="Times New Roman" w:cs="Times New Roman"/>
          <w:sz w:val="28"/>
          <w:szCs w:val="28"/>
          <w:lang w:val="uk-UA"/>
        </w:rPr>
        <w:t xml:space="preserve"> в</w:t>
      </w:r>
      <w:r w:rsidRPr="0063599D">
        <w:rPr>
          <w:rFonts w:ascii="Times New Roman" w:hAnsi="Times New Roman" w:cs="Times New Roman"/>
          <w:sz w:val="28"/>
          <w:szCs w:val="28"/>
          <w:lang w:val="uk-UA"/>
        </w:rPr>
        <w:t>ідображається інформація щодо зміни електропостачальника</w:t>
      </w:r>
      <w:r>
        <w:rPr>
          <w:rFonts w:ascii="Times New Roman" w:hAnsi="Times New Roman" w:cs="Times New Roman"/>
          <w:sz w:val="28"/>
          <w:szCs w:val="28"/>
          <w:lang w:val="uk-UA"/>
        </w:rPr>
        <w:t xml:space="preserve"> </w:t>
      </w:r>
      <w:r w:rsidRPr="00454176">
        <w:rPr>
          <w:rFonts w:ascii="Times New Roman" w:hAnsi="Times New Roman" w:cs="Times New Roman"/>
          <w:sz w:val="28"/>
          <w:szCs w:val="28"/>
          <w:lang w:val="uk-UA"/>
        </w:rPr>
        <w:t>на постачальника «останньої надії»</w:t>
      </w:r>
      <w:r>
        <w:rPr>
          <w:rFonts w:ascii="Times New Roman" w:hAnsi="Times New Roman" w:cs="Times New Roman"/>
          <w:sz w:val="28"/>
          <w:szCs w:val="28"/>
          <w:lang w:val="uk-UA"/>
        </w:rPr>
        <w:t xml:space="preserve"> відповідно до </w:t>
      </w:r>
      <w:r w:rsidR="007D2804">
        <w:rPr>
          <w:rFonts w:ascii="Times New Roman" w:hAnsi="Times New Roman" w:cs="Times New Roman"/>
          <w:sz w:val="28"/>
          <w:szCs w:val="28"/>
          <w:lang w:val="uk-UA"/>
        </w:rPr>
        <w:lastRenderedPageBreak/>
        <w:t>глави </w:t>
      </w:r>
      <w:r>
        <w:rPr>
          <w:rFonts w:ascii="Times New Roman" w:hAnsi="Times New Roman" w:cs="Times New Roman"/>
          <w:sz w:val="28"/>
          <w:szCs w:val="28"/>
          <w:lang w:val="uk-UA"/>
        </w:rPr>
        <w:t xml:space="preserve">6.2 розділу </w:t>
      </w:r>
      <w:r>
        <w:rPr>
          <w:rFonts w:ascii="Times New Roman" w:hAnsi="Times New Roman" w:cs="Times New Roman"/>
          <w:sz w:val="28"/>
          <w:szCs w:val="28"/>
          <w:lang w:val="en-US"/>
        </w:rPr>
        <w:t>VI</w:t>
      </w:r>
      <w:r>
        <w:rPr>
          <w:rFonts w:ascii="Times New Roman" w:hAnsi="Times New Roman" w:cs="Times New Roman"/>
          <w:sz w:val="28"/>
          <w:szCs w:val="28"/>
          <w:lang w:val="uk-UA"/>
        </w:rPr>
        <w:t xml:space="preserve"> ПРРЕЕ, які були реалізовані протягом звітного року та </w:t>
      </w:r>
      <w:proofErr w:type="spellStart"/>
      <w:r>
        <w:rPr>
          <w:rFonts w:ascii="Times New Roman" w:hAnsi="Times New Roman" w:cs="Times New Roman"/>
          <w:sz w:val="28"/>
          <w:szCs w:val="28"/>
          <w:lang w:val="uk-UA"/>
        </w:rPr>
        <w:t>адмініструвалися</w:t>
      </w:r>
      <w:proofErr w:type="spellEnd"/>
      <w:r>
        <w:rPr>
          <w:rFonts w:ascii="Times New Roman" w:hAnsi="Times New Roman" w:cs="Times New Roman"/>
          <w:sz w:val="28"/>
          <w:szCs w:val="28"/>
          <w:lang w:val="uk-UA"/>
        </w:rPr>
        <w:t xml:space="preserve"> адміністратором комерційного обліку:</w:t>
      </w:r>
    </w:p>
    <w:p w14:paraId="13BCEB39" w14:textId="35FBD790" w:rsidR="00EE7401"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454176">
        <w:rPr>
          <w:rFonts w:ascii="Times New Roman" w:hAnsi="Times New Roman" w:cs="Times New Roman"/>
          <w:sz w:val="28"/>
          <w:szCs w:val="28"/>
          <w:lang w:val="uk-UA"/>
        </w:rPr>
        <w:t>1) у графі 1</w:t>
      </w:r>
      <w:r>
        <w:rPr>
          <w:rFonts w:ascii="Times New Roman" w:hAnsi="Times New Roman" w:cs="Times New Roman"/>
          <w:sz w:val="28"/>
          <w:szCs w:val="28"/>
          <w:lang w:val="uk-UA"/>
        </w:rPr>
        <w:t xml:space="preserve"> «</w:t>
      </w:r>
      <w:r w:rsidRPr="00454176">
        <w:rPr>
          <w:rFonts w:ascii="Times New Roman" w:hAnsi="Times New Roman" w:cs="Times New Roman"/>
          <w:sz w:val="28"/>
          <w:szCs w:val="28"/>
          <w:lang w:val="uk-UA"/>
        </w:rPr>
        <w:t xml:space="preserve">Кількість </w:t>
      </w:r>
      <w:r>
        <w:rPr>
          <w:rFonts w:ascii="Times New Roman" w:hAnsi="Times New Roman" w:cs="Times New Roman"/>
          <w:sz w:val="28"/>
          <w:szCs w:val="28"/>
          <w:lang w:val="uk-UA"/>
        </w:rPr>
        <w:t xml:space="preserve">переведень </w:t>
      </w:r>
      <w:r w:rsidRPr="00454176">
        <w:rPr>
          <w:rFonts w:ascii="Times New Roman" w:hAnsi="Times New Roman" w:cs="Times New Roman"/>
          <w:sz w:val="28"/>
          <w:szCs w:val="28"/>
          <w:lang w:val="uk-UA"/>
        </w:rPr>
        <w:t>споживачів, яких було переведено на постачальника «останньої надії</w:t>
      </w:r>
      <w:r>
        <w:rPr>
          <w:rFonts w:ascii="Times New Roman" w:hAnsi="Times New Roman" w:cs="Times New Roman"/>
          <w:sz w:val="28"/>
          <w:szCs w:val="28"/>
          <w:lang w:val="uk-UA"/>
        </w:rPr>
        <w:t>» зазначається кількість здійснених переведень споживачів на постачальника «останньої надії». У випадку переведення одного і того ж споживача декілька разів на постачальника «останньої надії» протягом звітного року у графі 1 вказується кількість таких переведень;</w:t>
      </w:r>
    </w:p>
    <w:p w14:paraId="5198AA38" w14:textId="77777777" w:rsidR="00EE7401" w:rsidRPr="00454176"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p>
    <w:p w14:paraId="68C70F3E" w14:textId="4D70828E" w:rsidR="00EE7401" w:rsidRPr="00454176"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454176">
        <w:rPr>
          <w:rFonts w:ascii="Times New Roman" w:hAnsi="Times New Roman" w:cs="Times New Roman"/>
          <w:sz w:val="28"/>
          <w:szCs w:val="28"/>
          <w:lang w:val="uk-UA"/>
        </w:rPr>
        <w:t>2) у графі 2</w:t>
      </w:r>
      <w:r>
        <w:rPr>
          <w:rFonts w:ascii="Times New Roman" w:hAnsi="Times New Roman" w:cs="Times New Roman"/>
          <w:sz w:val="28"/>
          <w:szCs w:val="28"/>
          <w:lang w:val="uk-UA"/>
        </w:rPr>
        <w:t xml:space="preserve"> «</w:t>
      </w:r>
      <w:r w:rsidRPr="00513D35">
        <w:rPr>
          <w:rFonts w:ascii="Times New Roman" w:hAnsi="Times New Roman" w:cs="Times New Roman"/>
          <w:sz w:val="28"/>
          <w:szCs w:val="28"/>
          <w:lang w:val="uk-UA"/>
        </w:rPr>
        <w:t xml:space="preserve">Кількість </w:t>
      </w:r>
      <w:r w:rsidR="00201764">
        <w:rPr>
          <w:rFonts w:ascii="Times New Roman" w:hAnsi="Times New Roman" w:cs="Times New Roman"/>
          <w:sz w:val="28"/>
          <w:szCs w:val="28"/>
          <w:lang w:val="uk-UA"/>
        </w:rPr>
        <w:t>площадок</w:t>
      </w:r>
      <w:r w:rsidRPr="00513D35">
        <w:rPr>
          <w:rFonts w:ascii="Times New Roman" w:hAnsi="Times New Roman" w:cs="Times New Roman"/>
          <w:sz w:val="28"/>
          <w:szCs w:val="28"/>
          <w:lang w:val="uk-UA"/>
        </w:rPr>
        <w:t xml:space="preserve"> комерційного обліку споживачів, яких було переведено на постачальника «останньої надії»</w:t>
      </w:r>
      <w:r>
        <w:rPr>
          <w:rFonts w:ascii="Times New Roman" w:hAnsi="Times New Roman" w:cs="Times New Roman"/>
          <w:sz w:val="28"/>
          <w:szCs w:val="28"/>
          <w:lang w:val="uk-UA"/>
        </w:rPr>
        <w:t xml:space="preserve"> зазначається кількість </w:t>
      </w:r>
      <w:r w:rsidR="00A85706">
        <w:rPr>
          <w:rFonts w:ascii="Times New Roman" w:hAnsi="Times New Roman" w:cs="Times New Roman"/>
          <w:sz w:val="28"/>
          <w:szCs w:val="28"/>
          <w:lang w:val="uk-UA"/>
        </w:rPr>
        <w:t xml:space="preserve">площадок </w:t>
      </w:r>
      <w:r>
        <w:rPr>
          <w:rFonts w:ascii="Times New Roman" w:hAnsi="Times New Roman" w:cs="Times New Roman"/>
          <w:sz w:val="28"/>
          <w:szCs w:val="28"/>
          <w:lang w:val="uk-UA"/>
        </w:rPr>
        <w:t>комерційного обліку споживачів</w:t>
      </w:r>
      <w:r w:rsidRPr="00513D35">
        <w:rPr>
          <w:rFonts w:ascii="Times New Roman" w:hAnsi="Times New Roman" w:cs="Times New Roman"/>
          <w:sz w:val="28"/>
          <w:szCs w:val="28"/>
          <w:lang w:val="uk-UA"/>
        </w:rPr>
        <w:t>, яких було переведено на постачальника «останньої надії»</w:t>
      </w:r>
      <w:r>
        <w:rPr>
          <w:rFonts w:ascii="Times New Roman" w:hAnsi="Times New Roman" w:cs="Times New Roman"/>
          <w:sz w:val="28"/>
          <w:szCs w:val="28"/>
          <w:lang w:val="uk-UA"/>
        </w:rPr>
        <w:t xml:space="preserve"> протягом звітного року. У випадку переведення одного і того ж споживача декілька разів на постачальника «останньої надії» протягом звітного року у графі 2 кількість </w:t>
      </w:r>
      <w:r w:rsidR="00A85706">
        <w:rPr>
          <w:rFonts w:ascii="Times New Roman" w:hAnsi="Times New Roman" w:cs="Times New Roman"/>
          <w:sz w:val="28"/>
          <w:szCs w:val="28"/>
          <w:lang w:val="uk-UA"/>
        </w:rPr>
        <w:t xml:space="preserve">площадок </w:t>
      </w:r>
      <w:r>
        <w:rPr>
          <w:rFonts w:ascii="Times New Roman" w:hAnsi="Times New Roman" w:cs="Times New Roman"/>
          <w:sz w:val="28"/>
          <w:szCs w:val="28"/>
          <w:lang w:val="uk-UA"/>
        </w:rPr>
        <w:t>комерційного обліку такого споживача вказуються один раз;</w:t>
      </w:r>
    </w:p>
    <w:p w14:paraId="37A0A2C1" w14:textId="77777777" w:rsidR="00EE7401" w:rsidRPr="00513D35"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p>
    <w:p w14:paraId="289088CD" w14:textId="617A249F" w:rsidR="00EE7401" w:rsidRPr="00454176"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513D35">
        <w:rPr>
          <w:rFonts w:ascii="Times New Roman" w:hAnsi="Times New Roman" w:cs="Times New Roman"/>
          <w:sz w:val="28"/>
          <w:szCs w:val="28"/>
          <w:lang w:val="uk-UA"/>
        </w:rPr>
        <w:t>3) у графі 3</w:t>
      </w:r>
      <w:r>
        <w:rPr>
          <w:rFonts w:ascii="Times New Roman" w:hAnsi="Times New Roman" w:cs="Times New Roman"/>
          <w:sz w:val="28"/>
          <w:szCs w:val="28"/>
          <w:lang w:val="uk-UA"/>
        </w:rPr>
        <w:t xml:space="preserve"> «</w:t>
      </w:r>
      <w:r w:rsidRPr="00513D35">
        <w:rPr>
          <w:rFonts w:ascii="Times New Roman" w:hAnsi="Times New Roman" w:cs="Times New Roman"/>
          <w:sz w:val="28"/>
          <w:szCs w:val="28"/>
          <w:lang w:val="uk-UA"/>
        </w:rPr>
        <w:t>Річний (фактичний) обсяг споживання споживачів, яких було переведено на постачальника «останньої надії»</w:t>
      </w:r>
      <w:r>
        <w:rPr>
          <w:rFonts w:ascii="Times New Roman" w:hAnsi="Times New Roman" w:cs="Times New Roman"/>
          <w:sz w:val="28"/>
          <w:szCs w:val="28"/>
          <w:lang w:val="uk-UA"/>
        </w:rPr>
        <w:t xml:space="preserve"> зазначається </w:t>
      </w:r>
      <w:r w:rsidRPr="0063599D">
        <w:rPr>
          <w:rFonts w:ascii="Times New Roman" w:hAnsi="Times New Roman" w:cs="Times New Roman"/>
          <w:sz w:val="28"/>
          <w:szCs w:val="28"/>
          <w:lang w:val="uk-UA"/>
        </w:rPr>
        <w:t>фактичний річний обсяг споживання споживачами,</w:t>
      </w:r>
      <w:r>
        <w:rPr>
          <w:rFonts w:ascii="Times New Roman" w:hAnsi="Times New Roman" w:cs="Times New Roman"/>
          <w:sz w:val="28"/>
          <w:szCs w:val="28"/>
          <w:lang w:val="uk-UA"/>
        </w:rPr>
        <w:t xml:space="preserve"> </w:t>
      </w:r>
      <w:r w:rsidRPr="00513D35">
        <w:rPr>
          <w:rFonts w:ascii="Times New Roman" w:hAnsi="Times New Roman" w:cs="Times New Roman"/>
          <w:sz w:val="28"/>
          <w:szCs w:val="28"/>
          <w:lang w:val="uk-UA"/>
        </w:rPr>
        <w:t>яких було переведено на постачальника «останньої надії»</w:t>
      </w:r>
      <w:r>
        <w:rPr>
          <w:rFonts w:ascii="Times New Roman" w:hAnsi="Times New Roman" w:cs="Times New Roman"/>
          <w:sz w:val="28"/>
          <w:szCs w:val="28"/>
          <w:lang w:val="uk-UA"/>
        </w:rPr>
        <w:t xml:space="preserve"> протягом звітного року. У випадку переведення одного і того ж споживача декілька разів на постачальника «останньої надії» протягом звітного року у графі 3 </w:t>
      </w:r>
      <w:r w:rsidRPr="0063599D">
        <w:rPr>
          <w:rFonts w:ascii="Times New Roman" w:hAnsi="Times New Roman" w:cs="Times New Roman"/>
          <w:sz w:val="28"/>
          <w:szCs w:val="28"/>
          <w:lang w:val="uk-UA"/>
        </w:rPr>
        <w:t xml:space="preserve">фактичний річний обсяг споживання </w:t>
      </w:r>
      <w:r>
        <w:rPr>
          <w:rFonts w:ascii="Times New Roman" w:hAnsi="Times New Roman" w:cs="Times New Roman"/>
          <w:sz w:val="28"/>
          <w:szCs w:val="28"/>
          <w:lang w:val="uk-UA"/>
        </w:rPr>
        <w:t>такого споживача вказуються один раз;</w:t>
      </w:r>
    </w:p>
    <w:p w14:paraId="4BDCED46" w14:textId="77777777" w:rsidR="00EE7401" w:rsidRPr="00513D35"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p>
    <w:p w14:paraId="7587773C" w14:textId="36C7E8E8" w:rsidR="00EE7401" w:rsidRDefault="00EE7401" w:rsidP="00EE7401">
      <w:pPr>
        <w:pStyle w:val="a4"/>
        <w:tabs>
          <w:tab w:val="left" w:pos="1134"/>
        </w:tabs>
        <w:spacing w:after="0" w:line="276" w:lineRule="auto"/>
        <w:ind w:left="0" w:firstLine="709"/>
        <w:jc w:val="both"/>
        <w:rPr>
          <w:rFonts w:ascii="Times New Roman" w:hAnsi="Times New Roman" w:cs="Times New Roman"/>
          <w:sz w:val="28"/>
          <w:szCs w:val="28"/>
          <w:lang w:val="uk-UA"/>
        </w:rPr>
      </w:pPr>
      <w:r w:rsidRPr="00513D35">
        <w:rPr>
          <w:rFonts w:ascii="Times New Roman" w:hAnsi="Times New Roman" w:cs="Times New Roman"/>
          <w:sz w:val="28"/>
          <w:szCs w:val="28"/>
          <w:lang w:val="uk-UA"/>
        </w:rPr>
        <w:t>4) у граф</w:t>
      </w:r>
      <w:r>
        <w:rPr>
          <w:rFonts w:ascii="Times New Roman" w:hAnsi="Times New Roman" w:cs="Times New Roman"/>
          <w:sz w:val="28"/>
          <w:szCs w:val="28"/>
          <w:lang w:val="uk-UA"/>
        </w:rPr>
        <w:t>ах</w:t>
      </w:r>
      <w:r w:rsidRPr="00513D35">
        <w:rPr>
          <w:rFonts w:ascii="Times New Roman" w:hAnsi="Times New Roman" w:cs="Times New Roman"/>
          <w:sz w:val="28"/>
          <w:szCs w:val="28"/>
          <w:lang w:val="uk-UA"/>
        </w:rPr>
        <w:t xml:space="preserve"> 4</w:t>
      </w:r>
      <w:r>
        <w:rPr>
          <w:rFonts w:ascii="Times New Roman" w:hAnsi="Times New Roman" w:cs="Times New Roman"/>
          <w:sz w:val="28"/>
          <w:szCs w:val="28"/>
          <w:lang w:val="uk-UA"/>
        </w:rPr>
        <w:t xml:space="preserve"> – 8 «</w:t>
      </w:r>
      <w:r w:rsidRPr="00513D35">
        <w:rPr>
          <w:rFonts w:ascii="Times New Roman" w:hAnsi="Times New Roman" w:cs="Times New Roman"/>
          <w:sz w:val="28"/>
          <w:szCs w:val="28"/>
          <w:lang w:val="uk-UA"/>
        </w:rPr>
        <w:t>Підстави для переведення споживачів на постачальника «останньої надії»:</w:t>
      </w:r>
      <w:r>
        <w:rPr>
          <w:rFonts w:ascii="Times New Roman" w:hAnsi="Times New Roman" w:cs="Times New Roman"/>
          <w:sz w:val="28"/>
          <w:szCs w:val="28"/>
          <w:lang w:val="uk-UA"/>
        </w:rPr>
        <w:t xml:space="preserve">» зазначаються підстави з яких споживачів було переведено </w:t>
      </w:r>
      <w:r w:rsidRPr="00513D35">
        <w:rPr>
          <w:rFonts w:ascii="Times New Roman" w:hAnsi="Times New Roman" w:cs="Times New Roman"/>
          <w:sz w:val="28"/>
          <w:szCs w:val="28"/>
          <w:lang w:val="uk-UA"/>
        </w:rPr>
        <w:t>на постачальника «останньої надії»</w:t>
      </w:r>
      <w:r>
        <w:rPr>
          <w:rFonts w:ascii="Times New Roman" w:hAnsi="Times New Roman" w:cs="Times New Roman"/>
          <w:sz w:val="28"/>
          <w:szCs w:val="28"/>
          <w:lang w:val="uk-UA"/>
        </w:rPr>
        <w:t>;</w:t>
      </w:r>
    </w:p>
    <w:p w14:paraId="68F62CB5" w14:textId="77777777" w:rsidR="00EE7401" w:rsidRDefault="00EE7401" w:rsidP="00EE7401">
      <w:pPr>
        <w:pStyle w:val="a4"/>
        <w:spacing w:after="0" w:line="276" w:lineRule="auto"/>
        <w:ind w:left="0"/>
        <w:jc w:val="both"/>
        <w:rPr>
          <w:rFonts w:ascii="Times New Roman" w:hAnsi="Times New Roman" w:cs="Times New Roman"/>
          <w:sz w:val="28"/>
          <w:szCs w:val="28"/>
          <w:lang w:val="uk-UA"/>
        </w:rPr>
      </w:pPr>
    </w:p>
    <w:p w14:paraId="471E1BF5" w14:textId="77777777" w:rsidR="00EE7401" w:rsidRDefault="00EE7401" w:rsidP="00EE7401">
      <w:pPr>
        <w:pStyle w:val="a4"/>
        <w:tabs>
          <w:tab w:val="left" w:pos="709"/>
        </w:tabs>
        <w:spacing w:after="0" w:line="276"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84720A">
        <w:rPr>
          <w:rFonts w:ascii="Times New Roman" w:hAnsi="Times New Roman" w:cs="Times New Roman"/>
          <w:sz w:val="28"/>
          <w:szCs w:val="28"/>
          <w:lang w:val="uk-UA"/>
        </w:rPr>
        <w:t>у рядку 005 «Споживачі, усього, у тому числі:» відображається сумарна інформація щодо зміни споживачами електропостачальника</w:t>
      </w:r>
      <w:r>
        <w:rPr>
          <w:rFonts w:ascii="Times New Roman" w:hAnsi="Times New Roman" w:cs="Times New Roman"/>
          <w:sz w:val="28"/>
          <w:szCs w:val="28"/>
          <w:lang w:val="uk-UA"/>
        </w:rPr>
        <w:t xml:space="preserve"> </w:t>
      </w:r>
      <w:r w:rsidRPr="00513D35">
        <w:rPr>
          <w:rFonts w:ascii="Times New Roman" w:hAnsi="Times New Roman" w:cs="Times New Roman"/>
          <w:sz w:val="28"/>
          <w:szCs w:val="28"/>
          <w:lang w:val="uk-UA"/>
        </w:rPr>
        <w:t>на постачальника «останньої надії»</w:t>
      </w:r>
      <w:r w:rsidRPr="0084720A">
        <w:rPr>
          <w:rFonts w:ascii="Times New Roman" w:hAnsi="Times New Roman" w:cs="Times New Roman"/>
          <w:sz w:val="28"/>
          <w:szCs w:val="28"/>
          <w:lang w:val="uk-UA"/>
        </w:rPr>
        <w:t>. Значення цього рядка дорівнює сумі значень рядків 010 та 025;</w:t>
      </w:r>
    </w:p>
    <w:p w14:paraId="692357AC" w14:textId="77777777" w:rsidR="00EE7401" w:rsidRDefault="00EE7401" w:rsidP="00EE7401">
      <w:pPr>
        <w:pStyle w:val="a4"/>
        <w:tabs>
          <w:tab w:val="left" w:pos="709"/>
        </w:tabs>
        <w:spacing w:after="0" w:line="276" w:lineRule="auto"/>
        <w:ind w:left="0" w:firstLine="708"/>
        <w:jc w:val="both"/>
        <w:rPr>
          <w:rFonts w:ascii="Times New Roman" w:hAnsi="Times New Roman" w:cs="Times New Roman"/>
          <w:sz w:val="28"/>
          <w:szCs w:val="28"/>
          <w:lang w:val="uk-UA"/>
        </w:rPr>
      </w:pPr>
    </w:p>
    <w:p w14:paraId="0BE7613E" w14:textId="77777777" w:rsidR="00EE7401" w:rsidRDefault="00EE7401" w:rsidP="00EE7401">
      <w:pPr>
        <w:pStyle w:val="a4"/>
        <w:tabs>
          <w:tab w:val="left" w:pos="709"/>
        </w:tabs>
        <w:spacing w:after="0" w:line="276"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63599D">
        <w:rPr>
          <w:rFonts w:ascii="Times New Roman" w:hAnsi="Times New Roman" w:cs="Times New Roman"/>
          <w:sz w:val="28"/>
          <w:szCs w:val="28"/>
          <w:lang w:val="uk-UA"/>
        </w:rPr>
        <w:t xml:space="preserve">у рядку 010 «побутові, з них:» відображаються сумарні дані щодо зміни електропостачальника побутовими споживачами </w:t>
      </w:r>
      <w:r w:rsidRPr="00513D35">
        <w:rPr>
          <w:rFonts w:ascii="Times New Roman" w:hAnsi="Times New Roman" w:cs="Times New Roman"/>
          <w:sz w:val="28"/>
          <w:szCs w:val="28"/>
          <w:lang w:val="uk-UA"/>
        </w:rPr>
        <w:t>на постачальника «останньої надії»</w:t>
      </w:r>
      <w:r>
        <w:rPr>
          <w:rFonts w:ascii="Times New Roman" w:hAnsi="Times New Roman" w:cs="Times New Roman"/>
          <w:sz w:val="28"/>
          <w:szCs w:val="28"/>
          <w:lang w:val="uk-UA"/>
        </w:rPr>
        <w:t xml:space="preserve"> </w:t>
      </w:r>
      <w:r w:rsidRPr="0063599D">
        <w:rPr>
          <w:rFonts w:ascii="Times New Roman" w:hAnsi="Times New Roman" w:cs="Times New Roman"/>
          <w:sz w:val="28"/>
          <w:szCs w:val="28"/>
          <w:lang w:val="uk-UA"/>
        </w:rPr>
        <w:t>та за категоріями побутових споживачів (рядки 015 – 020). Значення цього рядка дорівнює сумі значень рядків 015 та 020;</w:t>
      </w:r>
    </w:p>
    <w:p w14:paraId="468A2F63" w14:textId="77777777" w:rsidR="00EE7401" w:rsidRDefault="00EE7401" w:rsidP="00EE7401">
      <w:pPr>
        <w:tabs>
          <w:tab w:val="left" w:pos="1134"/>
        </w:tabs>
        <w:spacing w:after="0" w:line="276" w:lineRule="auto"/>
        <w:jc w:val="both"/>
        <w:rPr>
          <w:rFonts w:ascii="Times New Roman" w:hAnsi="Times New Roman" w:cs="Times New Roman"/>
          <w:sz w:val="28"/>
          <w:szCs w:val="28"/>
          <w:lang w:val="uk-UA"/>
        </w:rPr>
      </w:pPr>
    </w:p>
    <w:p w14:paraId="3E48B4B8" w14:textId="77777777" w:rsidR="00B93D4E"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84720A">
        <w:rPr>
          <w:rFonts w:ascii="Times New Roman" w:hAnsi="Times New Roman" w:cs="Times New Roman"/>
          <w:sz w:val="28"/>
          <w:szCs w:val="28"/>
          <w:lang w:val="uk-UA"/>
        </w:rPr>
        <w:t xml:space="preserve">7) у рядку 025 «непобутові» відображаються сумарні дані щодо зміни електропостачальника непобутовими споживачами </w:t>
      </w:r>
      <w:r w:rsidRPr="00513D35">
        <w:rPr>
          <w:rFonts w:ascii="Times New Roman" w:hAnsi="Times New Roman" w:cs="Times New Roman"/>
          <w:sz w:val="28"/>
          <w:szCs w:val="28"/>
          <w:lang w:val="uk-UA"/>
        </w:rPr>
        <w:t xml:space="preserve">на постачальника «останньої </w:t>
      </w:r>
      <w:r w:rsidRPr="00513D35">
        <w:rPr>
          <w:rFonts w:ascii="Times New Roman" w:hAnsi="Times New Roman" w:cs="Times New Roman"/>
          <w:sz w:val="28"/>
          <w:szCs w:val="28"/>
          <w:lang w:val="uk-UA"/>
        </w:rPr>
        <w:lastRenderedPageBreak/>
        <w:t>надії»</w:t>
      </w:r>
      <w:r>
        <w:rPr>
          <w:rFonts w:ascii="Times New Roman" w:hAnsi="Times New Roman" w:cs="Times New Roman"/>
          <w:sz w:val="28"/>
          <w:szCs w:val="28"/>
          <w:lang w:val="uk-UA"/>
        </w:rPr>
        <w:t xml:space="preserve"> </w:t>
      </w:r>
      <w:r w:rsidRPr="0084720A">
        <w:rPr>
          <w:rFonts w:ascii="Times New Roman" w:hAnsi="Times New Roman" w:cs="Times New Roman"/>
          <w:sz w:val="28"/>
          <w:szCs w:val="28"/>
          <w:lang w:val="uk-UA"/>
        </w:rPr>
        <w:t>та  за категоріями непобутових споживачів (рядки 030 – 0</w:t>
      </w:r>
      <w:r w:rsidR="00201764">
        <w:rPr>
          <w:rFonts w:ascii="Times New Roman" w:hAnsi="Times New Roman" w:cs="Times New Roman"/>
          <w:sz w:val="28"/>
          <w:szCs w:val="28"/>
          <w:lang w:val="uk-UA"/>
        </w:rPr>
        <w:t>4</w:t>
      </w:r>
      <w:r w:rsidRPr="0084720A">
        <w:rPr>
          <w:rFonts w:ascii="Times New Roman" w:hAnsi="Times New Roman" w:cs="Times New Roman"/>
          <w:sz w:val="28"/>
          <w:szCs w:val="28"/>
          <w:lang w:val="uk-UA"/>
        </w:rPr>
        <w:t>5). Значення цього рядка дорівнює сумі значень рядків 030 та 04</w:t>
      </w:r>
      <w:r w:rsidR="00201764">
        <w:rPr>
          <w:rFonts w:ascii="Times New Roman" w:hAnsi="Times New Roman" w:cs="Times New Roman"/>
          <w:sz w:val="28"/>
          <w:szCs w:val="28"/>
          <w:lang w:val="uk-UA"/>
        </w:rPr>
        <w:t>0</w:t>
      </w:r>
      <w:r w:rsidR="00B93D4E">
        <w:rPr>
          <w:rFonts w:ascii="Times New Roman" w:hAnsi="Times New Roman" w:cs="Times New Roman"/>
          <w:sz w:val="28"/>
          <w:szCs w:val="28"/>
          <w:lang w:val="uk-UA"/>
        </w:rPr>
        <w:t>.</w:t>
      </w:r>
    </w:p>
    <w:p w14:paraId="0649C2D3" w14:textId="77777777" w:rsidR="00EE7401" w:rsidRPr="00B93D4E" w:rsidRDefault="00B93D4E" w:rsidP="00B93D4E">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p>
    <w:p w14:paraId="56C3D32C" w14:textId="77777777" w:rsidR="00A85706" w:rsidRPr="00A85706" w:rsidRDefault="00A85706" w:rsidP="00A85706">
      <w:pPr>
        <w:pStyle w:val="a4"/>
        <w:tabs>
          <w:tab w:val="left" w:pos="1134"/>
        </w:tabs>
        <w:spacing w:after="0" w:line="276" w:lineRule="auto"/>
        <w:ind w:left="0" w:firstLine="709"/>
        <w:jc w:val="both"/>
        <w:rPr>
          <w:rFonts w:ascii="Times New Roman" w:hAnsi="Times New Roman" w:cs="Times New Roman"/>
          <w:sz w:val="28"/>
          <w:szCs w:val="28"/>
          <w:lang w:val="uk-UA"/>
        </w:rPr>
      </w:pPr>
      <w:r w:rsidRPr="00A85706">
        <w:rPr>
          <w:rFonts w:ascii="Times New Roman" w:hAnsi="Times New Roman" w:cs="Times New Roman"/>
          <w:sz w:val="28"/>
          <w:szCs w:val="28"/>
          <w:lang w:val="uk-UA"/>
        </w:rPr>
        <w:t xml:space="preserve">3.2. У розділі ІІ «Інформація щодо зміни електропостачальника  за ініціативою споживачів»  відображається інформація щодо кожної процедури зміни електропостачальника за ініціативою споживача відповідно до глави 6.1 розділу VI ПРРЕЕ, які були реалізовані протягом звітного року та </w:t>
      </w:r>
      <w:proofErr w:type="spellStart"/>
      <w:r w:rsidRPr="00A85706">
        <w:rPr>
          <w:rFonts w:ascii="Times New Roman" w:hAnsi="Times New Roman" w:cs="Times New Roman"/>
          <w:sz w:val="28"/>
          <w:szCs w:val="28"/>
          <w:lang w:val="uk-UA"/>
        </w:rPr>
        <w:t>адмініструвалися</w:t>
      </w:r>
      <w:proofErr w:type="spellEnd"/>
      <w:r w:rsidRPr="00A85706">
        <w:rPr>
          <w:rFonts w:ascii="Times New Roman" w:hAnsi="Times New Roman" w:cs="Times New Roman"/>
          <w:sz w:val="28"/>
          <w:szCs w:val="28"/>
          <w:lang w:val="uk-UA"/>
        </w:rPr>
        <w:t xml:space="preserve"> адміністратором комерційного обліку:</w:t>
      </w:r>
    </w:p>
    <w:p w14:paraId="31891381" w14:textId="77777777" w:rsidR="00A85706" w:rsidRPr="00A85706" w:rsidRDefault="00A85706" w:rsidP="00A85706">
      <w:pPr>
        <w:pStyle w:val="a4"/>
        <w:tabs>
          <w:tab w:val="left" w:pos="1134"/>
        </w:tabs>
        <w:spacing w:after="0" w:line="276" w:lineRule="auto"/>
        <w:ind w:left="0" w:firstLine="709"/>
        <w:jc w:val="both"/>
        <w:rPr>
          <w:rFonts w:ascii="Times New Roman" w:hAnsi="Times New Roman" w:cs="Times New Roman"/>
          <w:sz w:val="28"/>
          <w:szCs w:val="28"/>
          <w:lang w:val="uk-UA"/>
        </w:rPr>
      </w:pPr>
    </w:p>
    <w:p w14:paraId="72BE1181" w14:textId="25DBE4AB" w:rsidR="00A85706" w:rsidRPr="00A85706" w:rsidRDefault="00A85706" w:rsidP="00A85706">
      <w:pPr>
        <w:pStyle w:val="a4"/>
        <w:tabs>
          <w:tab w:val="left" w:pos="1134"/>
        </w:tabs>
        <w:spacing w:after="0" w:line="276" w:lineRule="auto"/>
        <w:ind w:left="0" w:firstLine="709"/>
        <w:jc w:val="both"/>
        <w:rPr>
          <w:rFonts w:ascii="Times New Roman" w:hAnsi="Times New Roman" w:cs="Times New Roman"/>
          <w:sz w:val="28"/>
          <w:szCs w:val="28"/>
          <w:lang w:val="uk-UA"/>
        </w:rPr>
      </w:pPr>
      <w:r w:rsidRPr="00A85706">
        <w:rPr>
          <w:rFonts w:ascii="Times New Roman" w:hAnsi="Times New Roman" w:cs="Times New Roman"/>
          <w:sz w:val="28"/>
          <w:szCs w:val="28"/>
          <w:lang w:val="uk-UA"/>
        </w:rPr>
        <w:t>1) у графі Б «РНОКПП/код ЄДРПОУ споживача</w:t>
      </w:r>
      <w:r w:rsidR="00584934">
        <w:rPr>
          <w:rFonts w:ascii="Times New Roman" w:hAnsi="Times New Roman" w:cs="Times New Roman"/>
          <w:sz w:val="28"/>
          <w:szCs w:val="28"/>
          <w:lang w:val="uk-UA"/>
        </w:rPr>
        <w:t>,</w:t>
      </w:r>
      <w:r w:rsidRPr="00A85706">
        <w:rPr>
          <w:rFonts w:ascii="Times New Roman" w:hAnsi="Times New Roman" w:cs="Times New Roman"/>
          <w:sz w:val="28"/>
          <w:szCs w:val="28"/>
          <w:lang w:val="uk-UA"/>
        </w:rPr>
        <w:t xml:space="preserve"> який подав повідомлення про намір укласти новий договір з новим електропостачальником» зазначається реєстраційний номер облікової картки платника податків (для фізичних осіб) або код ЄДРПОУ (для юридичних осіб) споживачів, які подали повідомлення про намір укласти новий договір з новим електропостачальником за даними запитів щодо зміни електропостачальника від нових електропостачальників. У випадку зміни електропостачальника споживачем за декількома площадками вимірювання у графі Б дані щодо такого споживача вказуються стільки разів по скількох площадках вимірювання здійснюється зміна електропостачальника, при цьому дані щодо цієї процедури підсумовуються. </w:t>
      </w:r>
    </w:p>
    <w:p w14:paraId="00B2734F" w14:textId="7FE04617" w:rsidR="00A85706" w:rsidRPr="00A85706" w:rsidRDefault="00A85706" w:rsidP="00A85706">
      <w:pPr>
        <w:pStyle w:val="a4"/>
        <w:tabs>
          <w:tab w:val="left" w:pos="1134"/>
        </w:tabs>
        <w:spacing w:after="0" w:line="276" w:lineRule="auto"/>
        <w:ind w:left="0" w:firstLine="709"/>
        <w:jc w:val="both"/>
        <w:rPr>
          <w:rFonts w:ascii="Times New Roman" w:hAnsi="Times New Roman" w:cs="Times New Roman"/>
          <w:sz w:val="28"/>
          <w:szCs w:val="28"/>
          <w:lang w:val="uk-UA"/>
        </w:rPr>
      </w:pPr>
      <w:r w:rsidRPr="00A85706">
        <w:rPr>
          <w:rFonts w:ascii="Times New Roman" w:hAnsi="Times New Roman" w:cs="Times New Roman"/>
          <w:sz w:val="28"/>
          <w:szCs w:val="28"/>
          <w:lang w:val="uk-UA"/>
        </w:rPr>
        <w:t>У випадку  ініціювання зміни електропостачальника одним і тим же споживачем декілька разів у графі Б дані щодо такого споживача вказуються по кожній ініційованій процедурі зміни електропостачальника;</w:t>
      </w:r>
    </w:p>
    <w:p w14:paraId="58FE5179" w14:textId="77777777" w:rsidR="00A85706" w:rsidRPr="00A85706" w:rsidRDefault="00A85706" w:rsidP="00A85706">
      <w:pPr>
        <w:pStyle w:val="a4"/>
        <w:tabs>
          <w:tab w:val="left" w:pos="1134"/>
        </w:tabs>
        <w:spacing w:after="0" w:line="276" w:lineRule="auto"/>
        <w:ind w:left="0" w:firstLine="709"/>
        <w:jc w:val="both"/>
        <w:rPr>
          <w:rFonts w:ascii="Times New Roman" w:hAnsi="Times New Roman" w:cs="Times New Roman"/>
          <w:sz w:val="28"/>
          <w:szCs w:val="28"/>
          <w:lang w:val="uk-UA"/>
        </w:rPr>
      </w:pPr>
    </w:p>
    <w:p w14:paraId="2F887C81" w14:textId="60DF21C1" w:rsidR="00A85706" w:rsidRPr="00A85706" w:rsidRDefault="00A85706" w:rsidP="00A85706">
      <w:pPr>
        <w:pStyle w:val="a4"/>
        <w:tabs>
          <w:tab w:val="left" w:pos="1134"/>
        </w:tabs>
        <w:spacing w:after="0" w:line="276" w:lineRule="auto"/>
        <w:ind w:left="0" w:firstLine="709"/>
        <w:jc w:val="both"/>
        <w:rPr>
          <w:rFonts w:ascii="Times New Roman" w:hAnsi="Times New Roman" w:cs="Times New Roman"/>
          <w:sz w:val="28"/>
          <w:szCs w:val="28"/>
          <w:lang w:val="uk-UA"/>
        </w:rPr>
      </w:pPr>
      <w:r w:rsidRPr="00A85706">
        <w:rPr>
          <w:rFonts w:ascii="Times New Roman" w:hAnsi="Times New Roman" w:cs="Times New Roman"/>
          <w:sz w:val="28"/>
          <w:szCs w:val="28"/>
          <w:lang w:val="uk-UA"/>
        </w:rPr>
        <w:t>2) у графі 1 «EIC-код</w:t>
      </w:r>
      <w:r w:rsidR="00584934">
        <w:rPr>
          <w:rFonts w:ascii="Times New Roman" w:hAnsi="Times New Roman" w:cs="Times New Roman"/>
          <w:sz w:val="28"/>
          <w:szCs w:val="28"/>
          <w:lang w:val="uk-UA"/>
        </w:rPr>
        <w:t>(-и)</w:t>
      </w:r>
      <w:r w:rsidRPr="00A85706">
        <w:rPr>
          <w:rFonts w:ascii="Times New Roman" w:hAnsi="Times New Roman" w:cs="Times New Roman"/>
          <w:sz w:val="28"/>
          <w:szCs w:val="28"/>
          <w:lang w:val="uk-UA"/>
        </w:rPr>
        <w:t xml:space="preserve"> площадки</w:t>
      </w:r>
      <w:r w:rsidR="00584934">
        <w:rPr>
          <w:rFonts w:ascii="Times New Roman" w:hAnsi="Times New Roman" w:cs="Times New Roman"/>
          <w:sz w:val="28"/>
          <w:szCs w:val="28"/>
          <w:lang w:val="uk-UA"/>
        </w:rPr>
        <w:t>(-</w:t>
      </w:r>
      <w:proofErr w:type="spellStart"/>
      <w:r w:rsidR="00584934">
        <w:rPr>
          <w:rFonts w:ascii="Times New Roman" w:hAnsi="Times New Roman" w:cs="Times New Roman"/>
          <w:sz w:val="28"/>
          <w:szCs w:val="28"/>
          <w:lang w:val="uk-UA"/>
        </w:rPr>
        <w:t>ок</w:t>
      </w:r>
      <w:proofErr w:type="spellEnd"/>
      <w:r w:rsidR="00584934">
        <w:rPr>
          <w:rFonts w:ascii="Times New Roman" w:hAnsi="Times New Roman" w:cs="Times New Roman"/>
          <w:sz w:val="28"/>
          <w:szCs w:val="28"/>
          <w:lang w:val="uk-UA"/>
        </w:rPr>
        <w:t>)</w:t>
      </w:r>
      <w:r w:rsidRPr="00A85706">
        <w:rPr>
          <w:rFonts w:ascii="Times New Roman" w:hAnsi="Times New Roman" w:cs="Times New Roman"/>
          <w:sz w:val="28"/>
          <w:szCs w:val="28"/>
          <w:lang w:val="uk-UA"/>
        </w:rPr>
        <w:t xml:space="preserve"> вимірювання споживача» зазначається EIC-код площадки вимірювання відповідного споживача</w:t>
      </w:r>
      <w:r w:rsidR="00FB5FF7">
        <w:rPr>
          <w:rFonts w:ascii="Times New Roman" w:hAnsi="Times New Roman" w:cs="Times New Roman"/>
          <w:sz w:val="28"/>
          <w:szCs w:val="28"/>
          <w:lang w:val="uk-UA"/>
        </w:rPr>
        <w:t>,</w:t>
      </w:r>
      <w:r w:rsidRPr="00A85706">
        <w:rPr>
          <w:rFonts w:ascii="Times New Roman" w:hAnsi="Times New Roman" w:cs="Times New Roman"/>
          <w:sz w:val="28"/>
          <w:szCs w:val="28"/>
          <w:lang w:val="uk-UA"/>
        </w:rPr>
        <w:t xml:space="preserve"> за якою здійснюється зміна електропостачальника.</w:t>
      </w:r>
    </w:p>
    <w:p w14:paraId="5EB66979" w14:textId="6B1ED5C2" w:rsidR="00EE7401" w:rsidRPr="0084720A" w:rsidRDefault="00FB5FF7" w:rsidP="00EE7401">
      <w:pPr>
        <w:tabs>
          <w:tab w:val="left" w:pos="709"/>
        </w:tabs>
        <w:spacing w:after="0" w:line="276" w:lineRule="auto"/>
        <w:jc w:val="both"/>
        <w:rPr>
          <w:rFonts w:ascii="Times New Roman" w:hAnsi="Times New Roman" w:cs="Times New Roman"/>
          <w:sz w:val="24"/>
          <w:szCs w:val="28"/>
          <w:lang w:val="uk-UA"/>
        </w:rPr>
      </w:pPr>
      <w:r>
        <w:rPr>
          <w:rFonts w:ascii="Times New Roman" w:hAnsi="Times New Roman" w:cs="Times New Roman"/>
          <w:sz w:val="28"/>
          <w:szCs w:val="28"/>
          <w:lang w:val="uk-UA"/>
        </w:rPr>
        <w:tab/>
      </w:r>
      <w:r w:rsidR="00A85706" w:rsidRPr="00A85706">
        <w:rPr>
          <w:rFonts w:ascii="Times New Roman" w:hAnsi="Times New Roman" w:cs="Times New Roman"/>
          <w:sz w:val="28"/>
          <w:szCs w:val="28"/>
          <w:lang w:val="uk-UA"/>
        </w:rPr>
        <w:t>При відображенні підсумкових даних за однією процедурою зміни електропостачальника у графі 1 зазначається «Підсумок»;</w:t>
      </w:r>
    </w:p>
    <w:p w14:paraId="16F9388D" w14:textId="77777777"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3</w:t>
      </w:r>
      <w:r>
        <w:rPr>
          <w:rFonts w:ascii="Times New Roman" w:hAnsi="Times New Roman" w:cs="Times New Roman"/>
          <w:sz w:val="28"/>
          <w:szCs w:val="28"/>
          <w:lang w:val="uk-UA"/>
        </w:rPr>
        <w:t xml:space="preserve">) у графі </w:t>
      </w:r>
      <w:r w:rsidR="00201764">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Категорія споживача</w:t>
      </w:r>
      <w:r>
        <w:rPr>
          <w:rFonts w:ascii="Times New Roman" w:hAnsi="Times New Roman" w:cs="Times New Roman"/>
          <w:sz w:val="28"/>
          <w:szCs w:val="28"/>
          <w:lang w:val="uk-UA"/>
        </w:rPr>
        <w:t xml:space="preserve">» зазначається категорія відповідного споживача: </w:t>
      </w:r>
      <w:r w:rsidRPr="00E56875">
        <w:rPr>
          <w:rFonts w:ascii="Times New Roman" w:hAnsi="Times New Roman" w:cs="Times New Roman"/>
          <w:sz w:val="28"/>
          <w:szCs w:val="28"/>
          <w:lang w:val="uk-UA"/>
        </w:rPr>
        <w:t>індивідуальний побутовий споживач</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колективний побутовий споживач</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малий непобутовий споживач</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інший непобутовий споживач з потужністю вище 50 кВт</w:t>
      </w:r>
      <w:r>
        <w:rPr>
          <w:rFonts w:ascii="Times New Roman" w:hAnsi="Times New Roman" w:cs="Times New Roman"/>
          <w:sz w:val="28"/>
          <w:szCs w:val="28"/>
          <w:lang w:val="uk-UA"/>
        </w:rPr>
        <w:t>;</w:t>
      </w:r>
    </w:p>
    <w:p w14:paraId="71FB3AC8" w14:textId="77777777" w:rsidR="00EE7401" w:rsidRPr="0084720A" w:rsidRDefault="00EE7401" w:rsidP="00EE7401">
      <w:pPr>
        <w:tabs>
          <w:tab w:val="left" w:pos="709"/>
        </w:tabs>
        <w:spacing w:after="0" w:line="276" w:lineRule="auto"/>
        <w:jc w:val="both"/>
        <w:rPr>
          <w:rFonts w:ascii="Times New Roman" w:hAnsi="Times New Roman" w:cs="Times New Roman"/>
          <w:sz w:val="24"/>
          <w:szCs w:val="28"/>
          <w:lang w:val="uk-UA"/>
        </w:rPr>
      </w:pPr>
    </w:p>
    <w:p w14:paraId="4E0B0863" w14:textId="77777777"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4</w:t>
      </w:r>
      <w:r>
        <w:rPr>
          <w:rFonts w:ascii="Times New Roman" w:hAnsi="Times New Roman" w:cs="Times New Roman"/>
          <w:sz w:val="28"/>
          <w:szCs w:val="28"/>
          <w:lang w:val="uk-UA"/>
        </w:rPr>
        <w:t xml:space="preserve">) у графі </w:t>
      </w:r>
      <w:r w:rsidR="00201764">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 xml:space="preserve">Кількість </w:t>
      </w:r>
      <w:r w:rsidR="00201764">
        <w:rPr>
          <w:rFonts w:ascii="Times New Roman" w:hAnsi="Times New Roman" w:cs="Times New Roman"/>
          <w:sz w:val="28"/>
          <w:szCs w:val="28"/>
          <w:lang w:val="uk-UA"/>
        </w:rPr>
        <w:t>площадок</w:t>
      </w:r>
      <w:r w:rsidRPr="00E56875">
        <w:rPr>
          <w:rFonts w:ascii="Times New Roman" w:hAnsi="Times New Roman" w:cs="Times New Roman"/>
          <w:sz w:val="28"/>
          <w:szCs w:val="28"/>
          <w:lang w:val="uk-UA"/>
        </w:rPr>
        <w:t xml:space="preserve"> комерційного обліку, од.</w:t>
      </w:r>
      <w:r>
        <w:rPr>
          <w:rFonts w:ascii="Times New Roman" w:hAnsi="Times New Roman" w:cs="Times New Roman"/>
          <w:sz w:val="28"/>
          <w:szCs w:val="28"/>
          <w:lang w:val="uk-UA"/>
        </w:rPr>
        <w:t>» зазначається кількість точок комерційного обліку відповідного споживача;</w:t>
      </w:r>
    </w:p>
    <w:p w14:paraId="184D9004" w14:textId="77777777" w:rsidR="00EE7401" w:rsidRPr="0084720A" w:rsidRDefault="00EE7401" w:rsidP="00EE7401">
      <w:pPr>
        <w:tabs>
          <w:tab w:val="left" w:pos="709"/>
        </w:tabs>
        <w:spacing w:after="0" w:line="276" w:lineRule="auto"/>
        <w:jc w:val="both"/>
        <w:rPr>
          <w:rFonts w:ascii="Times New Roman" w:hAnsi="Times New Roman" w:cs="Times New Roman"/>
          <w:sz w:val="24"/>
          <w:szCs w:val="28"/>
          <w:lang w:val="uk-UA"/>
        </w:rPr>
      </w:pPr>
    </w:p>
    <w:p w14:paraId="729A98F4" w14:textId="26E8D625"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85706" w:rsidRPr="00A85706">
        <w:rPr>
          <w:rFonts w:ascii="Times New Roman" w:hAnsi="Times New Roman" w:cs="Times New Roman"/>
          <w:sz w:val="28"/>
          <w:szCs w:val="28"/>
          <w:lang w:val="uk-UA"/>
        </w:rPr>
        <w:t xml:space="preserve">«5) у графі 4 «Річний (фактичний) обсяг споживання, тис. кВт·год» зазначається фактичний річний обсяг споживання електричної енергії відповідного споживача згідно </w:t>
      </w:r>
      <w:r w:rsidR="00250E4A">
        <w:rPr>
          <w:rFonts w:ascii="Times New Roman" w:hAnsi="Times New Roman" w:cs="Times New Roman"/>
          <w:sz w:val="28"/>
          <w:szCs w:val="28"/>
          <w:lang w:val="uk-UA"/>
        </w:rPr>
        <w:t xml:space="preserve">з </w:t>
      </w:r>
      <w:r w:rsidR="00A85706" w:rsidRPr="00A85706">
        <w:rPr>
          <w:rFonts w:ascii="Times New Roman" w:hAnsi="Times New Roman" w:cs="Times New Roman"/>
          <w:sz w:val="28"/>
          <w:szCs w:val="28"/>
          <w:lang w:val="uk-UA"/>
        </w:rPr>
        <w:t>дани</w:t>
      </w:r>
      <w:r w:rsidR="00250E4A">
        <w:rPr>
          <w:rFonts w:ascii="Times New Roman" w:hAnsi="Times New Roman" w:cs="Times New Roman"/>
          <w:sz w:val="28"/>
          <w:szCs w:val="28"/>
          <w:lang w:val="uk-UA"/>
        </w:rPr>
        <w:t>ми</w:t>
      </w:r>
      <w:r w:rsidR="00A85706" w:rsidRPr="00A85706">
        <w:rPr>
          <w:rFonts w:ascii="Times New Roman" w:hAnsi="Times New Roman" w:cs="Times New Roman"/>
          <w:sz w:val="28"/>
          <w:szCs w:val="28"/>
          <w:lang w:val="uk-UA"/>
        </w:rPr>
        <w:t xml:space="preserve"> </w:t>
      </w:r>
      <w:proofErr w:type="spellStart"/>
      <w:r w:rsidR="00A85706" w:rsidRPr="00A85706">
        <w:rPr>
          <w:rFonts w:ascii="Times New Roman" w:hAnsi="Times New Roman" w:cs="Times New Roman"/>
          <w:sz w:val="28"/>
          <w:szCs w:val="28"/>
          <w:lang w:val="uk-UA"/>
        </w:rPr>
        <w:t>Датахаб</w:t>
      </w:r>
      <w:proofErr w:type="spellEnd"/>
      <w:r w:rsidR="00A85706" w:rsidRPr="00A85706">
        <w:rPr>
          <w:rFonts w:ascii="Times New Roman" w:hAnsi="Times New Roman" w:cs="Times New Roman"/>
          <w:sz w:val="28"/>
          <w:szCs w:val="28"/>
          <w:lang w:val="uk-UA"/>
        </w:rPr>
        <w:t>;»</w:t>
      </w:r>
    </w:p>
    <w:p w14:paraId="2FEACEFD" w14:textId="77777777" w:rsidR="00EE7401" w:rsidRPr="0084720A" w:rsidRDefault="00EE7401" w:rsidP="00EE7401">
      <w:pPr>
        <w:tabs>
          <w:tab w:val="left" w:pos="709"/>
        </w:tabs>
        <w:spacing w:after="0" w:line="276" w:lineRule="auto"/>
        <w:jc w:val="both"/>
        <w:rPr>
          <w:rFonts w:ascii="Times New Roman" w:hAnsi="Times New Roman" w:cs="Times New Roman"/>
          <w:sz w:val="24"/>
          <w:szCs w:val="28"/>
          <w:lang w:val="uk-UA"/>
        </w:rPr>
      </w:pPr>
    </w:p>
    <w:p w14:paraId="5E138D9C" w14:textId="6AE40798"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201764">
        <w:rPr>
          <w:rFonts w:ascii="Times New Roman" w:hAnsi="Times New Roman" w:cs="Times New Roman"/>
          <w:sz w:val="28"/>
          <w:szCs w:val="28"/>
          <w:lang w:val="uk-UA"/>
        </w:rPr>
        <w:t>6</w:t>
      </w:r>
      <w:r>
        <w:rPr>
          <w:rFonts w:ascii="Times New Roman" w:hAnsi="Times New Roman" w:cs="Times New Roman"/>
          <w:sz w:val="28"/>
          <w:szCs w:val="28"/>
          <w:lang w:val="uk-UA"/>
        </w:rPr>
        <w:t xml:space="preserve">) у графах </w:t>
      </w:r>
      <w:r w:rsidR="00201764">
        <w:rPr>
          <w:rFonts w:ascii="Times New Roman" w:hAnsi="Times New Roman" w:cs="Times New Roman"/>
          <w:sz w:val="28"/>
          <w:szCs w:val="28"/>
          <w:lang w:val="uk-UA"/>
        </w:rPr>
        <w:t>5</w:t>
      </w:r>
      <w:r>
        <w:rPr>
          <w:rFonts w:ascii="Times New Roman" w:hAnsi="Times New Roman" w:cs="Times New Roman"/>
          <w:sz w:val="28"/>
          <w:szCs w:val="28"/>
          <w:lang w:val="uk-UA"/>
        </w:rPr>
        <w:t xml:space="preserve"> – </w:t>
      </w:r>
      <w:r w:rsidR="00201764">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E56875">
        <w:rPr>
          <w:rFonts w:ascii="Times New Roman" w:hAnsi="Times New Roman" w:cs="Times New Roman"/>
          <w:sz w:val="28"/>
          <w:szCs w:val="28"/>
          <w:lang w:val="uk-UA"/>
        </w:rPr>
        <w:t>Чинний (попередній) електропостачальник</w:t>
      </w:r>
      <w:r>
        <w:rPr>
          <w:rFonts w:ascii="Times New Roman" w:hAnsi="Times New Roman" w:cs="Times New Roman"/>
          <w:sz w:val="28"/>
          <w:szCs w:val="28"/>
          <w:lang w:val="uk-UA"/>
        </w:rPr>
        <w:t xml:space="preserve">» зазначаються дані щодо чинного (попереднього) електропостачальника відповідного споживача: найменування (графа </w:t>
      </w:r>
      <w:r w:rsidR="00201764">
        <w:rPr>
          <w:rFonts w:ascii="Times New Roman" w:hAnsi="Times New Roman" w:cs="Times New Roman"/>
          <w:sz w:val="28"/>
          <w:szCs w:val="28"/>
          <w:lang w:val="uk-UA"/>
        </w:rPr>
        <w:t>5</w:t>
      </w:r>
      <w:r>
        <w:rPr>
          <w:rFonts w:ascii="Times New Roman" w:hAnsi="Times New Roman" w:cs="Times New Roman"/>
          <w:sz w:val="28"/>
          <w:szCs w:val="28"/>
          <w:lang w:val="uk-UA"/>
        </w:rPr>
        <w:t xml:space="preserve">), код ЄДРПОУ (графа </w:t>
      </w:r>
      <w:r w:rsidR="00201764">
        <w:rPr>
          <w:rFonts w:ascii="Times New Roman" w:hAnsi="Times New Roman" w:cs="Times New Roman"/>
          <w:sz w:val="28"/>
          <w:szCs w:val="28"/>
          <w:lang w:val="uk-UA"/>
        </w:rPr>
        <w:t>6</w:t>
      </w:r>
      <w:r>
        <w:rPr>
          <w:rFonts w:ascii="Times New Roman" w:hAnsi="Times New Roman" w:cs="Times New Roman"/>
          <w:sz w:val="28"/>
          <w:szCs w:val="28"/>
          <w:lang w:val="uk-UA"/>
        </w:rPr>
        <w:t>) та</w:t>
      </w:r>
      <w:r w:rsidR="00FB5FF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EIC</w:t>
      </w:r>
      <w:r w:rsidRPr="0027283F">
        <w:rPr>
          <w:rFonts w:ascii="Times New Roman" w:hAnsi="Times New Roman" w:cs="Times New Roman"/>
          <w:sz w:val="28"/>
          <w:szCs w:val="28"/>
          <w:lang w:val="uk-UA"/>
        </w:rPr>
        <w:t>-</w:t>
      </w:r>
      <w:r>
        <w:rPr>
          <w:rFonts w:ascii="Times New Roman" w:hAnsi="Times New Roman" w:cs="Times New Roman"/>
          <w:sz w:val="28"/>
          <w:szCs w:val="28"/>
          <w:lang w:val="uk-UA"/>
        </w:rPr>
        <w:t xml:space="preserve">код (графа </w:t>
      </w:r>
      <w:r w:rsidR="00201764">
        <w:rPr>
          <w:rFonts w:ascii="Times New Roman" w:hAnsi="Times New Roman" w:cs="Times New Roman"/>
          <w:sz w:val="28"/>
          <w:szCs w:val="28"/>
          <w:lang w:val="uk-UA"/>
        </w:rPr>
        <w:t>7</w:t>
      </w:r>
      <w:r>
        <w:rPr>
          <w:rFonts w:ascii="Times New Roman" w:hAnsi="Times New Roman" w:cs="Times New Roman"/>
          <w:sz w:val="28"/>
          <w:szCs w:val="28"/>
          <w:lang w:val="uk-UA"/>
        </w:rPr>
        <w:t>);</w:t>
      </w:r>
    </w:p>
    <w:p w14:paraId="2F2C8160" w14:textId="77777777" w:rsidR="00EE7401" w:rsidRDefault="00EE7401" w:rsidP="00EE7401">
      <w:pPr>
        <w:tabs>
          <w:tab w:val="left" w:pos="709"/>
        </w:tabs>
        <w:spacing w:after="0" w:line="276" w:lineRule="auto"/>
        <w:jc w:val="both"/>
        <w:rPr>
          <w:rFonts w:ascii="Times New Roman" w:hAnsi="Times New Roman" w:cs="Times New Roman"/>
          <w:sz w:val="28"/>
          <w:szCs w:val="28"/>
          <w:lang w:val="uk-UA"/>
        </w:rPr>
      </w:pPr>
    </w:p>
    <w:p w14:paraId="596C0256" w14:textId="77777777"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7</w:t>
      </w:r>
      <w:r>
        <w:rPr>
          <w:rFonts w:ascii="Times New Roman" w:hAnsi="Times New Roman" w:cs="Times New Roman"/>
          <w:sz w:val="28"/>
          <w:szCs w:val="28"/>
          <w:lang w:val="uk-UA"/>
        </w:rPr>
        <w:t xml:space="preserve">) у графах </w:t>
      </w:r>
      <w:r w:rsidR="00201764">
        <w:rPr>
          <w:rFonts w:ascii="Times New Roman" w:hAnsi="Times New Roman" w:cs="Times New Roman"/>
          <w:sz w:val="28"/>
          <w:szCs w:val="28"/>
          <w:lang w:val="uk-UA"/>
        </w:rPr>
        <w:t>8</w:t>
      </w:r>
      <w:r>
        <w:rPr>
          <w:rFonts w:ascii="Times New Roman" w:hAnsi="Times New Roman" w:cs="Times New Roman"/>
          <w:sz w:val="28"/>
          <w:szCs w:val="28"/>
          <w:lang w:val="uk-UA"/>
        </w:rPr>
        <w:t xml:space="preserve"> – 10 «</w:t>
      </w:r>
      <w:r w:rsidRPr="00E56875">
        <w:rPr>
          <w:rFonts w:ascii="Times New Roman" w:hAnsi="Times New Roman" w:cs="Times New Roman"/>
          <w:sz w:val="28"/>
          <w:szCs w:val="28"/>
          <w:lang w:val="uk-UA"/>
        </w:rPr>
        <w:t>Новий електропостачальник</w:t>
      </w:r>
      <w:r>
        <w:rPr>
          <w:rFonts w:ascii="Times New Roman" w:hAnsi="Times New Roman" w:cs="Times New Roman"/>
          <w:sz w:val="28"/>
          <w:szCs w:val="28"/>
          <w:lang w:val="uk-UA"/>
        </w:rPr>
        <w:t xml:space="preserve">» зазначаються дані щодо нового електропостачальника відповідного споживача: найменування (графа </w:t>
      </w:r>
      <w:r w:rsidR="00201764">
        <w:rPr>
          <w:rFonts w:ascii="Times New Roman" w:hAnsi="Times New Roman" w:cs="Times New Roman"/>
          <w:sz w:val="28"/>
          <w:szCs w:val="28"/>
          <w:lang w:val="uk-UA"/>
        </w:rPr>
        <w:t>8</w:t>
      </w:r>
      <w:r>
        <w:rPr>
          <w:rFonts w:ascii="Times New Roman" w:hAnsi="Times New Roman" w:cs="Times New Roman"/>
          <w:sz w:val="28"/>
          <w:szCs w:val="28"/>
          <w:lang w:val="uk-UA"/>
        </w:rPr>
        <w:t xml:space="preserve">), код ЄДРПОУ (графа </w:t>
      </w:r>
      <w:r w:rsidR="00201764">
        <w:rPr>
          <w:rFonts w:ascii="Times New Roman" w:hAnsi="Times New Roman" w:cs="Times New Roman"/>
          <w:sz w:val="28"/>
          <w:szCs w:val="28"/>
          <w:lang w:val="uk-UA"/>
        </w:rPr>
        <w:t>9</w:t>
      </w:r>
      <w:r>
        <w:rPr>
          <w:rFonts w:ascii="Times New Roman" w:hAnsi="Times New Roman" w:cs="Times New Roman"/>
          <w:sz w:val="28"/>
          <w:szCs w:val="28"/>
          <w:lang w:val="uk-UA"/>
        </w:rPr>
        <w:t xml:space="preserve">) та </w:t>
      </w:r>
      <w:r>
        <w:rPr>
          <w:rFonts w:ascii="Times New Roman" w:hAnsi="Times New Roman" w:cs="Times New Roman"/>
          <w:sz w:val="28"/>
          <w:szCs w:val="28"/>
          <w:lang w:val="en-US"/>
        </w:rPr>
        <w:t>EIC</w:t>
      </w:r>
      <w:r w:rsidRPr="0027283F">
        <w:rPr>
          <w:rFonts w:ascii="Times New Roman" w:hAnsi="Times New Roman" w:cs="Times New Roman"/>
          <w:sz w:val="28"/>
          <w:szCs w:val="28"/>
          <w:lang w:val="uk-UA"/>
        </w:rPr>
        <w:t>-</w:t>
      </w:r>
      <w:r>
        <w:rPr>
          <w:rFonts w:ascii="Times New Roman" w:hAnsi="Times New Roman" w:cs="Times New Roman"/>
          <w:sz w:val="28"/>
          <w:szCs w:val="28"/>
          <w:lang w:val="uk-UA"/>
        </w:rPr>
        <w:t>код (графа 1</w:t>
      </w:r>
      <w:r w:rsidR="00201764">
        <w:rPr>
          <w:rFonts w:ascii="Times New Roman" w:hAnsi="Times New Roman" w:cs="Times New Roman"/>
          <w:sz w:val="28"/>
          <w:szCs w:val="28"/>
          <w:lang w:val="uk-UA"/>
        </w:rPr>
        <w:t>0</w:t>
      </w:r>
      <w:r>
        <w:rPr>
          <w:rFonts w:ascii="Times New Roman" w:hAnsi="Times New Roman" w:cs="Times New Roman"/>
          <w:sz w:val="28"/>
          <w:szCs w:val="28"/>
          <w:lang w:val="uk-UA"/>
        </w:rPr>
        <w:t>);</w:t>
      </w:r>
    </w:p>
    <w:p w14:paraId="1FA27B81" w14:textId="77777777"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14:paraId="3768CAAC" w14:textId="77777777"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8</w:t>
      </w:r>
      <w:r>
        <w:rPr>
          <w:rFonts w:ascii="Times New Roman" w:hAnsi="Times New Roman" w:cs="Times New Roman"/>
          <w:sz w:val="28"/>
          <w:szCs w:val="28"/>
          <w:lang w:val="uk-UA"/>
        </w:rPr>
        <w:t>) у графі 1</w:t>
      </w:r>
      <w:r w:rsidR="00201764">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Тип процедури зміни електропостачальника (за загальним правилом/за скороченим правилом)</w:t>
      </w:r>
      <w:r>
        <w:rPr>
          <w:rFonts w:ascii="Times New Roman" w:hAnsi="Times New Roman" w:cs="Times New Roman"/>
          <w:sz w:val="28"/>
          <w:szCs w:val="28"/>
          <w:lang w:val="uk-UA"/>
        </w:rPr>
        <w:t xml:space="preserve">» вказується тип процедури зміни електропостачальника за відповідним повідомленням споживача: </w:t>
      </w:r>
      <w:r w:rsidRPr="000B0C02">
        <w:rPr>
          <w:rFonts w:ascii="Times New Roman" w:hAnsi="Times New Roman" w:cs="Times New Roman"/>
          <w:sz w:val="28"/>
          <w:szCs w:val="28"/>
          <w:lang w:val="uk-UA"/>
        </w:rPr>
        <w:t>за загальним правилом</w:t>
      </w:r>
      <w:r>
        <w:rPr>
          <w:rFonts w:ascii="Times New Roman" w:hAnsi="Times New Roman" w:cs="Times New Roman"/>
          <w:sz w:val="28"/>
          <w:szCs w:val="28"/>
          <w:lang w:val="uk-UA"/>
        </w:rPr>
        <w:t xml:space="preserve"> або </w:t>
      </w:r>
      <w:r w:rsidRPr="000B0C02">
        <w:rPr>
          <w:rFonts w:ascii="Times New Roman" w:hAnsi="Times New Roman" w:cs="Times New Roman"/>
          <w:sz w:val="28"/>
          <w:szCs w:val="28"/>
          <w:lang w:val="uk-UA"/>
        </w:rPr>
        <w:t>за скороченим правилом</w:t>
      </w:r>
      <w:r>
        <w:rPr>
          <w:rFonts w:ascii="Times New Roman" w:hAnsi="Times New Roman" w:cs="Times New Roman"/>
          <w:sz w:val="28"/>
          <w:szCs w:val="28"/>
          <w:lang w:val="uk-UA"/>
        </w:rPr>
        <w:t>;</w:t>
      </w:r>
    </w:p>
    <w:p w14:paraId="4A33F4E9" w14:textId="77777777"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14:paraId="464772F9" w14:textId="77777777"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01764">
        <w:rPr>
          <w:rFonts w:ascii="Times New Roman" w:hAnsi="Times New Roman" w:cs="Times New Roman"/>
          <w:sz w:val="28"/>
          <w:szCs w:val="28"/>
          <w:lang w:val="uk-UA"/>
        </w:rPr>
        <w:t>9</w:t>
      </w:r>
      <w:r>
        <w:rPr>
          <w:rFonts w:ascii="Times New Roman" w:hAnsi="Times New Roman" w:cs="Times New Roman"/>
          <w:sz w:val="28"/>
          <w:szCs w:val="28"/>
          <w:lang w:val="uk-UA"/>
        </w:rPr>
        <w:t>) у графі 1</w:t>
      </w:r>
      <w:r w:rsidR="00201764">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Результат реалізації процедури зміни електропостачальника</w:t>
      </w:r>
      <w:r>
        <w:rPr>
          <w:rFonts w:ascii="Times New Roman" w:hAnsi="Times New Roman" w:cs="Times New Roman"/>
          <w:sz w:val="28"/>
          <w:szCs w:val="28"/>
          <w:lang w:val="uk-UA"/>
        </w:rPr>
        <w:t xml:space="preserve">» вказується </w:t>
      </w:r>
      <w:r w:rsidRPr="000B0C02">
        <w:rPr>
          <w:rFonts w:ascii="Times New Roman" w:hAnsi="Times New Roman" w:cs="Times New Roman"/>
          <w:sz w:val="28"/>
          <w:szCs w:val="28"/>
          <w:lang w:val="uk-UA"/>
        </w:rPr>
        <w:t>результат реалізації процедури зміни електропостачальника</w:t>
      </w:r>
      <w:r>
        <w:rPr>
          <w:rFonts w:ascii="Times New Roman" w:hAnsi="Times New Roman" w:cs="Times New Roman"/>
          <w:sz w:val="28"/>
          <w:szCs w:val="28"/>
          <w:lang w:val="uk-UA"/>
        </w:rPr>
        <w:t xml:space="preserve"> за відповідним кожним повідомленням споживача: </w:t>
      </w:r>
      <w:r w:rsidRPr="000B0C02">
        <w:rPr>
          <w:rFonts w:ascii="Times New Roman" w:hAnsi="Times New Roman" w:cs="Times New Roman"/>
          <w:sz w:val="28"/>
          <w:szCs w:val="28"/>
          <w:lang w:val="uk-UA"/>
        </w:rPr>
        <w:t>реалізовано</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відмовлено</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скасовано за бажанням споживача</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скасовано за бажанням нового електропостачальника</w:t>
      </w:r>
      <w:r>
        <w:rPr>
          <w:rFonts w:ascii="Times New Roman" w:hAnsi="Times New Roman" w:cs="Times New Roman"/>
          <w:sz w:val="28"/>
          <w:szCs w:val="28"/>
          <w:lang w:val="uk-UA"/>
        </w:rPr>
        <w:t xml:space="preserve">, </w:t>
      </w:r>
      <w:r w:rsidRPr="000B0C02">
        <w:rPr>
          <w:rFonts w:ascii="Times New Roman" w:hAnsi="Times New Roman" w:cs="Times New Roman"/>
          <w:sz w:val="28"/>
          <w:szCs w:val="28"/>
          <w:lang w:val="uk-UA"/>
        </w:rPr>
        <w:t xml:space="preserve">скасовано у зв'язку із набуттям новим електропостачальником статусу </w:t>
      </w:r>
      <w:r>
        <w:rPr>
          <w:rFonts w:ascii="Times New Roman" w:hAnsi="Times New Roman" w:cs="Times New Roman"/>
          <w:sz w:val="28"/>
          <w:szCs w:val="28"/>
          <w:lang w:val="uk-UA"/>
        </w:rPr>
        <w:t>«</w:t>
      </w:r>
      <w:proofErr w:type="spellStart"/>
      <w:r w:rsidRPr="000B0C02">
        <w:rPr>
          <w:rFonts w:ascii="Times New Roman" w:hAnsi="Times New Roman" w:cs="Times New Roman"/>
          <w:sz w:val="28"/>
          <w:szCs w:val="28"/>
          <w:lang w:val="uk-UA"/>
        </w:rPr>
        <w:t>Дефолтний</w:t>
      </w:r>
      <w:proofErr w:type="spellEnd"/>
      <w:r>
        <w:rPr>
          <w:rFonts w:ascii="Times New Roman" w:hAnsi="Times New Roman" w:cs="Times New Roman"/>
          <w:sz w:val="28"/>
          <w:szCs w:val="28"/>
          <w:lang w:val="uk-UA"/>
        </w:rPr>
        <w:t>»;</w:t>
      </w:r>
    </w:p>
    <w:p w14:paraId="3E129C9D" w14:textId="77777777"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14:paraId="6B0F0AEC" w14:textId="59EDD59E"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85706" w:rsidRPr="00A85706">
        <w:rPr>
          <w:rFonts w:ascii="Times New Roman" w:hAnsi="Times New Roman" w:cs="Times New Roman"/>
          <w:sz w:val="28"/>
          <w:szCs w:val="28"/>
          <w:lang w:val="uk-UA"/>
        </w:rPr>
        <w:t>10) у графі 13 «Причина відмови у забезпеченні зміни електропостачальника» у випадку зазначення «відмовлено» у графі 13 –   зазначаються причини, передбачені ПРРЕЕ (припинення електроживлення об'єкта (об'єктів) споживача; відсутність у споживача чинного договору споживача про надання послуг з розподілу (не ідентифіковано споживача за договором); інше), з яких споживачу на відповідне повідомлення про намір укласти новий договір з новим електропостачальником було відмовлено у зміні електропостачальника, в іншому випадку зазначається «–»;</w:t>
      </w:r>
    </w:p>
    <w:p w14:paraId="3B230269" w14:textId="77777777"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14:paraId="49204797" w14:textId="370E94AC" w:rsidR="00EE7401"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w:t>
      </w:r>
      <w:r w:rsidR="00201764">
        <w:rPr>
          <w:rFonts w:ascii="Times New Roman" w:hAnsi="Times New Roman" w:cs="Times New Roman"/>
          <w:sz w:val="28"/>
          <w:szCs w:val="28"/>
          <w:lang w:val="uk-UA"/>
        </w:rPr>
        <w:t>1</w:t>
      </w:r>
      <w:r>
        <w:rPr>
          <w:rFonts w:ascii="Times New Roman" w:hAnsi="Times New Roman" w:cs="Times New Roman"/>
          <w:sz w:val="28"/>
          <w:szCs w:val="28"/>
          <w:lang w:val="uk-UA"/>
        </w:rPr>
        <w:t>) у графі 1</w:t>
      </w:r>
      <w:r w:rsidR="00201764">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Pr="00074C24">
        <w:rPr>
          <w:rFonts w:ascii="Times New Roman" w:hAnsi="Times New Roman" w:cs="Times New Roman"/>
          <w:sz w:val="28"/>
          <w:szCs w:val="28"/>
          <w:lang w:val="uk-UA"/>
        </w:rPr>
        <w:t xml:space="preserve">Дата початку процедури зміни електропостачальника </w:t>
      </w:r>
      <w:r w:rsidR="007218EA">
        <w:rPr>
          <w:rFonts w:ascii="Times New Roman" w:hAnsi="Times New Roman" w:cs="Times New Roman"/>
          <w:sz w:val="28"/>
          <w:szCs w:val="28"/>
          <w:lang w:val="uk-UA"/>
        </w:rPr>
        <w:t xml:space="preserve">                              </w:t>
      </w:r>
      <w:r w:rsidRPr="00074C24">
        <w:rPr>
          <w:rFonts w:ascii="Times New Roman" w:hAnsi="Times New Roman" w:cs="Times New Roman"/>
          <w:sz w:val="28"/>
          <w:szCs w:val="28"/>
          <w:lang w:val="uk-UA"/>
        </w:rPr>
        <w:t>(</w:t>
      </w:r>
      <w:proofErr w:type="spellStart"/>
      <w:r w:rsidRPr="00074C24">
        <w:rPr>
          <w:rFonts w:ascii="Times New Roman" w:hAnsi="Times New Roman" w:cs="Times New Roman"/>
          <w:sz w:val="28"/>
          <w:szCs w:val="28"/>
          <w:lang w:val="uk-UA"/>
        </w:rPr>
        <w:t>дд</w:t>
      </w:r>
      <w:proofErr w:type="spellEnd"/>
      <w:r w:rsidRPr="00074C24">
        <w:rPr>
          <w:rFonts w:ascii="Times New Roman" w:hAnsi="Times New Roman" w:cs="Times New Roman"/>
          <w:sz w:val="28"/>
          <w:szCs w:val="28"/>
          <w:lang w:val="uk-UA"/>
        </w:rPr>
        <w:t>-мм-</w:t>
      </w:r>
      <w:proofErr w:type="spellStart"/>
      <w:r w:rsidRPr="00074C24">
        <w:rPr>
          <w:rFonts w:ascii="Times New Roman" w:hAnsi="Times New Roman" w:cs="Times New Roman"/>
          <w:sz w:val="28"/>
          <w:szCs w:val="28"/>
          <w:lang w:val="uk-UA"/>
        </w:rPr>
        <w:t>рррр</w:t>
      </w:r>
      <w:proofErr w:type="spellEnd"/>
      <w:r w:rsidRPr="00074C24">
        <w:rPr>
          <w:rFonts w:ascii="Times New Roman" w:hAnsi="Times New Roman" w:cs="Times New Roman"/>
          <w:sz w:val="28"/>
          <w:szCs w:val="28"/>
          <w:lang w:val="uk-UA"/>
        </w:rPr>
        <w:t>)</w:t>
      </w:r>
      <w:r>
        <w:rPr>
          <w:rFonts w:ascii="Times New Roman" w:hAnsi="Times New Roman" w:cs="Times New Roman"/>
          <w:sz w:val="28"/>
          <w:szCs w:val="28"/>
          <w:lang w:val="uk-UA"/>
        </w:rPr>
        <w:t>» вказується дата початку процедури зміни електропостачальника за відповідним повідомленням споживача;</w:t>
      </w:r>
    </w:p>
    <w:p w14:paraId="766756B3" w14:textId="77777777" w:rsidR="00EE7401" w:rsidRPr="0084720A" w:rsidRDefault="00EE7401" w:rsidP="00EE7401">
      <w:pPr>
        <w:tabs>
          <w:tab w:val="left" w:pos="709"/>
        </w:tabs>
        <w:spacing w:after="0" w:line="276" w:lineRule="auto"/>
        <w:jc w:val="both"/>
        <w:rPr>
          <w:rFonts w:ascii="Times New Roman" w:hAnsi="Times New Roman" w:cs="Times New Roman"/>
          <w:sz w:val="20"/>
          <w:szCs w:val="28"/>
          <w:lang w:val="uk-UA"/>
        </w:rPr>
      </w:pPr>
    </w:p>
    <w:p w14:paraId="757611FA" w14:textId="3E7DEE98" w:rsidR="00EE7401" w:rsidRPr="00D14474" w:rsidRDefault="00EE7401" w:rsidP="00EE7401">
      <w:pPr>
        <w:tabs>
          <w:tab w:val="left" w:pos="709"/>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w:t>
      </w:r>
      <w:r w:rsidR="00201764">
        <w:rPr>
          <w:rFonts w:ascii="Times New Roman" w:hAnsi="Times New Roman" w:cs="Times New Roman"/>
          <w:sz w:val="28"/>
          <w:szCs w:val="28"/>
          <w:lang w:val="uk-UA"/>
        </w:rPr>
        <w:t>2</w:t>
      </w:r>
      <w:r>
        <w:rPr>
          <w:rFonts w:ascii="Times New Roman" w:hAnsi="Times New Roman" w:cs="Times New Roman"/>
          <w:sz w:val="28"/>
          <w:szCs w:val="28"/>
          <w:lang w:val="uk-UA"/>
        </w:rPr>
        <w:t>) у графі 1</w:t>
      </w:r>
      <w:r w:rsidR="00201764">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074C24">
        <w:rPr>
          <w:rFonts w:ascii="Times New Roman" w:hAnsi="Times New Roman" w:cs="Times New Roman"/>
          <w:sz w:val="28"/>
          <w:szCs w:val="28"/>
          <w:lang w:val="uk-UA"/>
        </w:rPr>
        <w:t>Дата завершення процедури зміни електропостачальника (</w:t>
      </w:r>
      <w:proofErr w:type="spellStart"/>
      <w:r w:rsidRPr="00074C24">
        <w:rPr>
          <w:rFonts w:ascii="Times New Roman" w:hAnsi="Times New Roman" w:cs="Times New Roman"/>
          <w:sz w:val="28"/>
          <w:szCs w:val="28"/>
          <w:lang w:val="uk-UA"/>
        </w:rPr>
        <w:t>дд</w:t>
      </w:r>
      <w:proofErr w:type="spellEnd"/>
      <w:r w:rsidRPr="00074C24">
        <w:rPr>
          <w:rFonts w:ascii="Times New Roman" w:hAnsi="Times New Roman" w:cs="Times New Roman"/>
          <w:sz w:val="28"/>
          <w:szCs w:val="28"/>
          <w:lang w:val="uk-UA"/>
        </w:rPr>
        <w:t>-мм-</w:t>
      </w:r>
      <w:proofErr w:type="spellStart"/>
      <w:r w:rsidRPr="00074C24">
        <w:rPr>
          <w:rFonts w:ascii="Times New Roman" w:hAnsi="Times New Roman" w:cs="Times New Roman"/>
          <w:sz w:val="28"/>
          <w:szCs w:val="28"/>
          <w:lang w:val="uk-UA"/>
        </w:rPr>
        <w:t>рррр</w:t>
      </w:r>
      <w:proofErr w:type="spellEnd"/>
      <w:r w:rsidRPr="00074C24">
        <w:rPr>
          <w:rFonts w:ascii="Times New Roman" w:hAnsi="Times New Roman" w:cs="Times New Roman"/>
          <w:sz w:val="28"/>
          <w:szCs w:val="28"/>
          <w:lang w:val="uk-UA"/>
        </w:rPr>
        <w:t>)</w:t>
      </w:r>
      <w:r>
        <w:rPr>
          <w:rFonts w:ascii="Times New Roman" w:hAnsi="Times New Roman" w:cs="Times New Roman"/>
          <w:sz w:val="28"/>
          <w:szCs w:val="28"/>
          <w:lang w:val="uk-UA"/>
        </w:rPr>
        <w:t>»</w:t>
      </w:r>
      <w:r w:rsidRPr="00074C2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вказується дата завершення процедури зміни електропостачальника у </w:t>
      </w:r>
      <w:r w:rsidRPr="00D14474">
        <w:rPr>
          <w:rFonts w:ascii="Times New Roman" w:hAnsi="Times New Roman" w:cs="Times New Roman"/>
          <w:sz w:val="28"/>
          <w:szCs w:val="28"/>
          <w:lang w:val="uk-UA"/>
        </w:rPr>
        <w:t xml:space="preserve">звітному році за відповідним повідомленням споживача. Графа </w:t>
      </w:r>
      <w:r w:rsidR="00D14474" w:rsidRPr="00D14474">
        <w:rPr>
          <w:rFonts w:ascii="Times New Roman" w:hAnsi="Times New Roman" w:cs="Times New Roman"/>
          <w:sz w:val="28"/>
          <w:szCs w:val="28"/>
          <w:lang w:val="uk-UA"/>
        </w:rPr>
        <w:t>15</w:t>
      </w:r>
      <w:r w:rsidRPr="00D14474">
        <w:rPr>
          <w:rFonts w:ascii="Times New Roman" w:hAnsi="Times New Roman" w:cs="Times New Roman"/>
          <w:sz w:val="28"/>
          <w:szCs w:val="28"/>
          <w:lang w:val="uk-UA"/>
        </w:rPr>
        <w:t xml:space="preserve"> заповнюється у випадку зазначення «реалізовано» у графі </w:t>
      </w:r>
      <w:r w:rsidR="00D14474" w:rsidRPr="00D14474">
        <w:rPr>
          <w:rFonts w:ascii="Times New Roman" w:hAnsi="Times New Roman" w:cs="Times New Roman"/>
          <w:sz w:val="28"/>
          <w:szCs w:val="28"/>
          <w:lang w:val="uk-UA"/>
        </w:rPr>
        <w:t>12</w:t>
      </w:r>
      <w:r w:rsidRPr="00D14474">
        <w:rPr>
          <w:rFonts w:ascii="Times New Roman" w:hAnsi="Times New Roman" w:cs="Times New Roman"/>
          <w:sz w:val="28"/>
          <w:szCs w:val="28"/>
          <w:lang w:val="uk-UA"/>
        </w:rPr>
        <w:t>, в інших випадках зазначається «–»;</w:t>
      </w:r>
    </w:p>
    <w:p w14:paraId="4D9C94E3" w14:textId="77777777" w:rsidR="00EE7401" w:rsidRPr="00D14474" w:rsidRDefault="00EE7401" w:rsidP="00EE7401">
      <w:pPr>
        <w:tabs>
          <w:tab w:val="left" w:pos="709"/>
        </w:tabs>
        <w:spacing w:after="0" w:line="276" w:lineRule="auto"/>
        <w:jc w:val="both"/>
        <w:rPr>
          <w:rFonts w:ascii="Times New Roman" w:hAnsi="Times New Roman" w:cs="Times New Roman"/>
          <w:sz w:val="20"/>
          <w:szCs w:val="28"/>
          <w:lang w:val="uk-UA"/>
        </w:rPr>
      </w:pPr>
    </w:p>
    <w:p w14:paraId="0B08A60E" w14:textId="69CFBBE0" w:rsidR="00EE7401" w:rsidRPr="00D14474" w:rsidRDefault="00EE7401" w:rsidP="00EE7401">
      <w:pPr>
        <w:tabs>
          <w:tab w:val="left" w:pos="0"/>
        </w:tabs>
        <w:spacing w:after="0" w:line="276" w:lineRule="auto"/>
        <w:jc w:val="both"/>
        <w:rPr>
          <w:rFonts w:ascii="Times New Roman" w:hAnsi="Times New Roman" w:cs="Times New Roman"/>
          <w:sz w:val="28"/>
          <w:szCs w:val="28"/>
          <w:lang w:val="uk-UA"/>
        </w:rPr>
      </w:pPr>
      <w:r w:rsidRPr="00D14474">
        <w:rPr>
          <w:rFonts w:ascii="Times New Roman" w:hAnsi="Times New Roman" w:cs="Times New Roman"/>
          <w:sz w:val="28"/>
          <w:szCs w:val="28"/>
          <w:lang w:val="uk-UA"/>
        </w:rPr>
        <w:lastRenderedPageBreak/>
        <w:tab/>
        <w:t>1</w:t>
      </w:r>
      <w:r w:rsidR="00201764" w:rsidRPr="00D14474">
        <w:rPr>
          <w:rFonts w:ascii="Times New Roman" w:hAnsi="Times New Roman" w:cs="Times New Roman"/>
          <w:sz w:val="28"/>
          <w:szCs w:val="28"/>
          <w:lang w:val="uk-UA"/>
        </w:rPr>
        <w:t>3</w:t>
      </w:r>
      <w:r w:rsidRPr="00D14474">
        <w:rPr>
          <w:rFonts w:ascii="Times New Roman" w:hAnsi="Times New Roman" w:cs="Times New Roman"/>
          <w:sz w:val="28"/>
          <w:szCs w:val="28"/>
          <w:lang w:val="uk-UA"/>
        </w:rPr>
        <w:t>) у графі 1</w:t>
      </w:r>
      <w:r w:rsidR="00201764" w:rsidRPr="00D14474">
        <w:rPr>
          <w:rFonts w:ascii="Times New Roman" w:hAnsi="Times New Roman" w:cs="Times New Roman"/>
          <w:sz w:val="28"/>
          <w:szCs w:val="28"/>
          <w:lang w:val="uk-UA"/>
        </w:rPr>
        <w:t>6</w:t>
      </w:r>
      <w:r w:rsidRPr="00D14474">
        <w:rPr>
          <w:rFonts w:ascii="Times New Roman" w:hAnsi="Times New Roman" w:cs="Times New Roman"/>
          <w:sz w:val="28"/>
          <w:szCs w:val="28"/>
          <w:lang w:val="uk-UA"/>
        </w:rPr>
        <w:t xml:space="preserve"> «Тривалість зміни електропостачальника, днів» вказується тривалість процедури зміни електропостачальника за відповідним повідомленням споживача. Графа </w:t>
      </w:r>
      <w:r w:rsidR="00D14474" w:rsidRPr="00D14474">
        <w:rPr>
          <w:rFonts w:ascii="Times New Roman" w:hAnsi="Times New Roman" w:cs="Times New Roman"/>
          <w:sz w:val="28"/>
          <w:szCs w:val="28"/>
          <w:lang w:val="uk-UA"/>
        </w:rPr>
        <w:t>16</w:t>
      </w:r>
      <w:r w:rsidRPr="00D14474">
        <w:rPr>
          <w:rFonts w:ascii="Times New Roman" w:hAnsi="Times New Roman" w:cs="Times New Roman"/>
          <w:sz w:val="28"/>
          <w:szCs w:val="28"/>
          <w:lang w:val="uk-UA"/>
        </w:rPr>
        <w:t xml:space="preserve"> заповнюється у випадку зазначення «реалізовано» у графі </w:t>
      </w:r>
      <w:r w:rsidR="00D14474" w:rsidRPr="00D14474">
        <w:rPr>
          <w:rFonts w:ascii="Times New Roman" w:hAnsi="Times New Roman" w:cs="Times New Roman"/>
          <w:sz w:val="28"/>
          <w:szCs w:val="28"/>
          <w:lang w:val="uk-UA"/>
        </w:rPr>
        <w:t>12</w:t>
      </w:r>
      <w:r w:rsidRPr="00D14474">
        <w:rPr>
          <w:rFonts w:ascii="Times New Roman" w:hAnsi="Times New Roman" w:cs="Times New Roman"/>
          <w:sz w:val="28"/>
          <w:szCs w:val="28"/>
          <w:lang w:val="uk-UA"/>
        </w:rPr>
        <w:t>, в інших випадках зазначається «–»</w:t>
      </w:r>
      <w:r w:rsidR="00201764" w:rsidRPr="00D14474">
        <w:rPr>
          <w:rFonts w:ascii="Times New Roman" w:hAnsi="Times New Roman" w:cs="Times New Roman"/>
          <w:sz w:val="28"/>
          <w:szCs w:val="28"/>
          <w:lang w:val="uk-UA"/>
        </w:rPr>
        <w:t>;</w:t>
      </w:r>
    </w:p>
    <w:p w14:paraId="65D7158A" w14:textId="77777777" w:rsidR="00201764" w:rsidRPr="00D14474" w:rsidRDefault="00201764" w:rsidP="00EE7401">
      <w:pPr>
        <w:tabs>
          <w:tab w:val="left" w:pos="0"/>
        </w:tabs>
        <w:spacing w:after="0" w:line="276" w:lineRule="auto"/>
        <w:jc w:val="both"/>
        <w:rPr>
          <w:rFonts w:ascii="Times New Roman" w:hAnsi="Times New Roman" w:cs="Times New Roman"/>
          <w:sz w:val="28"/>
          <w:szCs w:val="28"/>
          <w:lang w:val="uk-UA"/>
        </w:rPr>
      </w:pPr>
    </w:p>
    <w:p w14:paraId="076240A7" w14:textId="77777777" w:rsidR="00201764" w:rsidRDefault="00201764" w:rsidP="00EE7401">
      <w:pPr>
        <w:tabs>
          <w:tab w:val="left" w:pos="0"/>
        </w:tabs>
        <w:spacing w:after="0" w:line="276" w:lineRule="auto"/>
        <w:jc w:val="both"/>
        <w:rPr>
          <w:rFonts w:ascii="Times New Roman" w:hAnsi="Times New Roman" w:cs="Times New Roman"/>
          <w:sz w:val="28"/>
          <w:szCs w:val="28"/>
          <w:lang w:val="uk-UA"/>
        </w:rPr>
      </w:pPr>
      <w:r w:rsidRPr="00D14474">
        <w:rPr>
          <w:rFonts w:ascii="Times New Roman" w:hAnsi="Times New Roman" w:cs="Times New Roman"/>
          <w:sz w:val="28"/>
          <w:szCs w:val="28"/>
          <w:lang w:val="uk-UA"/>
        </w:rPr>
        <w:tab/>
        <w:t>14) у графі 17 «Найменування оператора системи</w:t>
      </w:r>
      <w:r w:rsidRPr="00201764">
        <w:rPr>
          <w:rFonts w:ascii="Times New Roman" w:hAnsi="Times New Roman" w:cs="Times New Roman"/>
          <w:sz w:val="28"/>
          <w:szCs w:val="28"/>
          <w:lang w:val="uk-UA"/>
        </w:rPr>
        <w:t>, до якого приєднаний споживач</w:t>
      </w:r>
      <w:r>
        <w:rPr>
          <w:rFonts w:ascii="Times New Roman" w:hAnsi="Times New Roman" w:cs="Times New Roman"/>
          <w:sz w:val="28"/>
          <w:szCs w:val="28"/>
          <w:lang w:val="uk-UA"/>
        </w:rPr>
        <w:t>» вказується н</w:t>
      </w:r>
      <w:r w:rsidRPr="00201764">
        <w:rPr>
          <w:rFonts w:ascii="Times New Roman" w:hAnsi="Times New Roman" w:cs="Times New Roman"/>
          <w:sz w:val="28"/>
          <w:szCs w:val="28"/>
          <w:lang w:val="uk-UA"/>
        </w:rPr>
        <w:t xml:space="preserve">айменування оператора системи, до якого приєднаний </w:t>
      </w:r>
      <w:r>
        <w:rPr>
          <w:rFonts w:ascii="Times New Roman" w:hAnsi="Times New Roman" w:cs="Times New Roman"/>
          <w:sz w:val="28"/>
          <w:szCs w:val="28"/>
          <w:lang w:val="uk-UA"/>
        </w:rPr>
        <w:t xml:space="preserve">відповідний </w:t>
      </w:r>
      <w:r w:rsidRPr="00201764">
        <w:rPr>
          <w:rFonts w:ascii="Times New Roman" w:hAnsi="Times New Roman" w:cs="Times New Roman"/>
          <w:sz w:val="28"/>
          <w:szCs w:val="28"/>
          <w:lang w:val="uk-UA"/>
        </w:rPr>
        <w:t>споживач</w:t>
      </w:r>
      <w:r>
        <w:rPr>
          <w:rFonts w:ascii="Times New Roman" w:hAnsi="Times New Roman" w:cs="Times New Roman"/>
          <w:sz w:val="28"/>
          <w:szCs w:val="28"/>
          <w:lang w:val="uk-UA"/>
        </w:rPr>
        <w:t>;</w:t>
      </w:r>
    </w:p>
    <w:p w14:paraId="08E79214" w14:textId="77777777" w:rsidR="004D6441" w:rsidRDefault="004D6441" w:rsidP="00EE7401">
      <w:pPr>
        <w:tabs>
          <w:tab w:val="left" w:pos="0"/>
        </w:tabs>
        <w:spacing w:after="0" w:line="276" w:lineRule="auto"/>
        <w:jc w:val="both"/>
        <w:rPr>
          <w:rFonts w:ascii="Times New Roman" w:hAnsi="Times New Roman" w:cs="Times New Roman"/>
          <w:sz w:val="28"/>
          <w:szCs w:val="28"/>
          <w:lang w:val="uk-UA"/>
        </w:rPr>
      </w:pPr>
    </w:p>
    <w:p w14:paraId="5F570143" w14:textId="77777777" w:rsidR="00201764" w:rsidRDefault="00201764" w:rsidP="00201764">
      <w:pPr>
        <w:tabs>
          <w:tab w:val="left" w:pos="0"/>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15) у графі 18 «</w:t>
      </w:r>
      <w:r w:rsidRPr="00201764">
        <w:rPr>
          <w:rFonts w:ascii="Times New Roman" w:hAnsi="Times New Roman" w:cs="Times New Roman"/>
          <w:sz w:val="28"/>
          <w:szCs w:val="28"/>
          <w:lang w:val="uk-UA"/>
        </w:rPr>
        <w:t>Код ЄДРПОУ оператора системи, до якого приєднаний споживач</w:t>
      </w:r>
      <w:r>
        <w:rPr>
          <w:rFonts w:ascii="Times New Roman" w:hAnsi="Times New Roman" w:cs="Times New Roman"/>
          <w:sz w:val="28"/>
          <w:szCs w:val="28"/>
          <w:lang w:val="uk-UA"/>
        </w:rPr>
        <w:t xml:space="preserve">» вказується </w:t>
      </w:r>
      <w:r w:rsidRPr="00201764">
        <w:rPr>
          <w:rFonts w:ascii="Times New Roman" w:hAnsi="Times New Roman" w:cs="Times New Roman"/>
          <w:sz w:val="28"/>
          <w:szCs w:val="28"/>
          <w:lang w:val="uk-UA"/>
        </w:rPr>
        <w:t>код ЄДРПОУ оператора системи, до якого приєднаний споживач</w:t>
      </w:r>
      <w:r>
        <w:rPr>
          <w:rFonts w:ascii="Times New Roman" w:hAnsi="Times New Roman" w:cs="Times New Roman"/>
          <w:sz w:val="28"/>
          <w:szCs w:val="28"/>
          <w:lang w:val="uk-UA"/>
        </w:rPr>
        <w:t>.</w:t>
      </w:r>
    </w:p>
    <w:p w14:paraId="27D842D4" w14:textId="77777777" w:rsidR="00201764" w:rsidRDefault="00201764" w:rsidP="00EE7401">
      <w:pPr>
        <w:tabs>
          <w:tab w:val="left" w:pos="0"/>
        </w:tabs>
        <w:spacing w:after="0" w:line="276" w:lineRule="auto"/>
        <w:jc w:val="both"/>
        <w:rPr>
          <w:rFonts w:ascii="Times New Roman" w:hAnsi="Times New Roman" w:cs="Times New Roman"/>
          <w:sz w:val="28"/>
          <w:szCs w:val="28"/>
          <w:lang w:val="uk-UA"/>
        </w:rPr>
      </w:pPr>
    </w:p>
    <w:p w14:paraId="2E88908A" w14:textId="77777777" w:rsidR="00C62C1F" w:rsidRDefault="00C62C1F" w:rsidP="00C62C1F">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481DC996" w14:textId="77777777" w:rsidR="00C62C1F" w:rsidRPr="00353F2A" w:rsidRDefault="00C62C1F" w:rsidP="00C62C1F">
      <w:pPr>
        <w:spacing w:after="0" w:line="240" w:lineRule="auto"/>
        <w:ind w:firstLine="567"/>
        <w:jc w:val="center"/>
        <w:rPr>
          <w:rFonts w:ascii="Times New Roman" w:hAnsi="Times New Roman" w:cs="Times New Roman"/>
          <w:sz w:val="28"/>
          <w:szCs w:val="28"/>
          <w:lang w:val="uk-UA"/>
        </w:rPr>
      </w:pPr>
    </w:p>
    <w:p w14:paraId="39CB55F6" w14:textId="77777777" w:rsidR="00C62C1F" w:rsidRDefault="00C62C1F" w:rsidP="00C62C1F">
      <w:pPr>
        <w:pStyle w:val="af6"/>
        <w:ind w:firstLine="709"/>
        <w:rPr>
          <w:szCs w:val="28"/>
        </w:rPr>
      </w:pPr>
      <w:r w:rsidRPr="00353F2A">
        <w:rPr>
          <w:szCs w:val="28"/>
        </w:rPr>
        <w:t xml:space="preserve">4.1. </w:t>
      </w:r>
      <w:r>
        <w:rPr>
          <w:szCs w:val="28"/>
        </w:rPr>
        <w:t>Електронний бланк форми звітності № 11</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6"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7" w:name="_Hlk150504958"/>
      <w:bookmarkEnd w:id="6"/>
      <w:r>
        <w:rPr>
          <w:szCs w:val="28"/>
        </w:rPr>
        <w:t>, який розміщено на офіційному вебсайті НКРЕКП</w:t>
      </w:r>
      <w:bookmarkEnd w:id="7"/>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48AD895F" w14:textId="77777777" w:rsidR="00C62C1F" w:rsidRDefault="00C62C1F" w:rsidP="00C62C1F">
      <w:pPr>
        <w:pStyle w:val="af6"/>
        <w:ind w:firstLine="709"/>
        <w:rPr>
          <w:szCs w:val="28"/>
        </w:rPr>
      </w:pPr>
    </w:p>
    <w:p w14:paraId="447BD488" w14:textId="77777777" w:rsidR="00C62C1F" w:rsidRPr="00CB35BE" w:rsidRDefault="00C62C1F" w:rsidP="00C62C1F">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11 </w:t>
      </w:r>
      <w:r w:rsidRPr="00CB35BE">
        <w:rPr>
          <w:szCs w:val="28"/>
        </w:rPr>
        <w:t xml:space="preserve">здійснюється </w:t>
      </w:r>
      <w:r>
        <w:rPr>
          <w:szCs w:val="28"/>
        </w:rPr>
        <w:t>таким чином:</w:t>
      </w:r>
    </w:p>
    <w:p w14:paraId="5D954922" w14:textId="77777777" w:rsidR="00C62C1F" w:rsidRPr="00422C0D" w:rsidRDefault="00C62C1F" w:rsidP="00C62C1F">
      <w:pPr>
        <w:pStyle w:val="af6"/>
        <w:ind w:firstLine="709"/>
        <w:rPr>
          <w:szCs w:val="28"/>
        </w:rPr>
      </w:pPr>
      <w:r w:rsidRPr="00422C0D">
        <w:rPr>
          <w:szCs w:val="28"/>
        </w:rPr>
        <w:t>ХХХХХХХХ_1</w:t>
      </w:r>
      <w:r>
        <w:rPr>
          <w:szCs w:val="28"/>
        </w:rPr>
        <w:t>1Т</w:t>
      </w:r>
      <w:r w:rsidRPr="0027283F">
        <w:rPr>
          <w:szCs w:val="28"/>
        </w:rPr>
        <w:t>_</w:t>
      </w:r>
      <w:r w:rsidRPr="00422C0D">
        <w:rPr>
          <w:szCs w:val="28"/>
          <w:lang w:val="en-US"/>
        </w:rPr>
        <w:t>YY</w:t>
      </w:r>
      <w:r w:rsidRPr="00422C0D">
        <w:rPr>
          <w:szCs w:val="28"/>
        </w:rPr>
        <w:t xml:space="preserve">, </w:t>
      </w:r>
    </w:p>
    <w:p w14:paraId="4323947D" w14:textId="77777777" w:rsidR="00C62C1F" w:rsidRPr="00CB59B1" w:rsidRDefault="00C62C1F" w:rsidP="00C62C1F">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470451E8" w14:textId="77777777" w:rsidR="00C62C1F" w:rsidRDefault="00C62C1F" w:rsidP="00C62C1F">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0BC70A99" w14:textId="77777777" w:rsidR="00C62C1F" w:rsidRDefault="00C62C1F" w:rsidP="00C62C1F">
      <w:pPr>
        <w:pStyle w:val="af6"/>
        <w:ind w:firstLine="709"/>
        <w:rPr>
          <w:szCs w:val="28"/>
        </w:rPr>
      </w:pPr>
    </w:p>
    <w:p w14:paraId="6DEE56D6" w14:textId="1428F295" w:rsidR="00C62C1F" w:rsidRPr="00581FDF" w:rsidRDefault="00C62C1F" w:rsidP="00C62C1F">
      <w:pPr>
        <w:pStyle w:val="af6"/>
        <w:ind w:firstLine="709"/>
        <w:rPr>
          <w:szCs w:val="28"/>
        </w:rPr>
      </w:pPr>
      <w:r w:rsidRPr="00FA6029">
        <w:rPr>
          <w:szCs w:val="28"/>
        </w:rPr>
        <w:t xml:space="preserve">4.3. </w:t>
      </w:r>
      <w:r w:rsidRPr="00581FDF">
        <w:rPr>
          <w:szCs w:val="28"/>
        </w:rPr>
        <w:t xml:space="preserve"> </w:t>
      </w:r>
      <w:bookmarkStart w:id="8" w:name="_Hlk150505380"/>
      <w:r w:rsidRPr="00581FDF">
        <w:rPr>
          <w:szCs w:val="28"/>
        </w:rPr>
        <w:t>У разі надсилання скоригованої форми звітності</w:t>
      </w:r>
      <w:r w:rsidRPr="00873FDC">
        <w:rPr>
          <w:szCs w:val="28"/>
        </w:rPr>
        <w:t xml:space="preserve"> </w:t>
      </w:r>
      <w:r>
        <w:rPr>
          <w:szCs w:val="28"/>
        </w:rPr>
        <w:t>№ 11</w:t>
      </w:r>
      <w:r w:rsidRPr="00FA6029">
        <w:rPr>
          <w:szCs w:val="28"/>
        </w:rPr>
        <w:t xml:space="preserve">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8"/>
    </w:p>
    <w:p w14:paraId="6B8645FA" w14:textId="77777777" w:rsidR="00C62C1F" w:rsidRPr="00121192" w:rsidRDefault="00C62C1F" w:rsidP="00C62C1F">
      <w:pPr>
        <w:spacing w:after="0" w:line="240" w:lineRule="auto"/>
        <w:ind w:firstLine="709"/>
        <w:jc w:val="both"/>
        <w:rPr>
          <w:rFonts w:ascii="Times New Roman" w:hAnsi="Times New Roman" w:cs="Times New Roman"/>
          <w:sz w:val="28"/>
          <w:szCs w:val="28"/>
          <w:lang w:val="uk-UA"/>
        </w:rPr>
      </w:pPr>
    </w:p>
    <w:p w14:paraId="193779F0" w14:textId="77777777" w:rsidR="00EE7401" w:rsidRDefault="00EE7401" w:rsidP="00EE7401">
      <w:pPr>
        <w:tabs>
          <w:tab w:val="left" w:pos="0"/>
        </w:tabs>
        <w:spacing w:after="0" w:line="276" w:lineRule="auto"/>
        <w:jc w:val="both"/>
        <w:rPr>
          <w:rFonts w:ascii="Times New Roman" w:hAnsi="Times New Roman" w:cs="Times New Roman"/>
          <w:sz w:val="28"/>
          <w:szCs w:val="28"/>
          <w:lang w:val="uk-UA"/>
        </w:rPr>
      </w:pPr>
    </w:p>
    <w:p w14:paraId="004DB83E" w14:textId="77777777" w:rsidR="00EE7401" w:rsidRPr="0084720A" w:rsidRDefault="00EE7401" w:rsidP="00EE7401">
      <w:pPr>
        <w:tabs>
          <w:tab w:val="left" w:pos="0"/>
        </w:tabs>
        <w:spacing w:after="0" w:line="276" w:lineRule="auto"/>
        <w:jc w:val="both"/>
        <w:rPr>
          <w:rFonts w:ascii="Times New Roman" w:hAnsi="Times New Roman" w:cs="Times New Roman"/>
          <w:sz w:val="18"/>
          <w:szCs w:val="28"/>
          <w:lang w:val="uk-UA"/>
        </w:rPr>
      </w:pPr>
    </w:p>
    <w:tbl>
      <w:tblPr>
        <w:tblW w:w="0" w:type="auto"/>
        <w:tblLook w:val="04A0" w:firstRow="1" w:lastRow="0" w:firstColumn="1" w:lastColumn="0" w:noHBand="0" w:noVBand="1"/>
      </w:tblPr>
      <w:tblGrid>
        <w:gridCol w:w="4818"/>
        <w:gridCol w:w="4821"/>
      </w:tblGrid>
      <w:tr w:rsidR="001166DD" w14:paraId="4DDAC1B5" w14:textId="77777777" w:rsidTr="001166DD">
        <w:tc>
          <w:tcPr>
            <w:tcW w:w="4927" w:type="dxa"/>
            <w:hideMark/>
          </w:tcPr>
          <w:p w14:paraId="40A1E403" w14:textId="77777777" w:rsidR="001166DD" w:rsidRDefault="001166DD">
            <w:pPr>
              <w:pStyle w:val="af6"/>
              <w:ind w:firstLine="0"/>
              <w:rPr>
                <w:szCs w:val="28"/>
              </w:rPr>
            </w:pPr>
            <w:r>
              <w:rPr>
                <w:szCs w:val="28"/>
              </w:rPr>
              <w:t>Директор Департаменту розслідувань зловживань на оптових енергетичних ринках та моніторингу звітності</w:t>
            </w:r>
          </w:p>
        </w:tc>
        <w:tc>
          <w:tcPr>
            <w:tcW w:w="4928" w:type="dxa"/>
          </w:tcPr>
          <w:p w14:paraId="1DB5177E" w14:textId="77777777" w:rsidR="001166DD" w:rsidRDefault="001166DD">
            <w:pPr>
              <w:pStyle w:val="af6"/>
              <w:ind w:firstLine="0"/>
              <w:jc w:val="right"/>
              <w:rPr>
                <w:szCs w:val="28"/>
              </w:rPr>
            </w:pPr>
          </w:p>
          <w:p w14:paraId="4752FAD0" w14:textId="77777777" w:rsidR="001166DD" w:rsidRDefault="001166DD">
            <w:pPr>
              <w:pStyle w:val="af6"/>
              <w:ind w:firstLine="0"/>
              <w:jc w:val="right"/>
              <w:rPr>
                <w:szCs w:val="28"/>
              </w:rPr>
            </w:pPr>
          </w:p>
          <w:p w14:paraId="556CE6B0" w14:textId="77777777" w:rsidR="001166DD" w:rsidRDefault="001166DD">
            <w:pPr>
              <w:pStyle w:val="af6"/>
              <w:ind w:firstLine="0"/>
              <w:jc w:val="right"/>
              <w:rPr>
                <w:szCs w:val="28"/>
              </w:rPr>
            </w:pPr>
            <w:r>
              <w:rPr>
                <w:szCs w:val="28"/>
              </w:rPr>
              <w:t>Тетяна МІЩЕНЕНКО</w:t>
            </w:r>
          </w:p>
        </w:tc>
      </w:tr>
    </w:tbl>
    <w:p w14:paraId="5C461970" w14:textId="77777777" w:rsidR="00EE7401" w:rsidRPr="000A6EC5" w:rsidRDefault="00EE7401" w:rsidP="00EE7401">
      <w:pPr>
        <w:spacing w:after="0" w:line="276" w:lineRule="auto"/>
        <w:jc w:val="both"/>
        <w:rPr>
          <w:lang w:val="uk-UA"/>
        </w:rPr>
      </w:pPr>
    </w:p>
    <w:p w14:paraId="084AD1FB" w14:textId="77777777" w:rsidR="00CB03F3" w:rsidRPr="00DE0BD9" w:rsidRDefault="00CB03F3" w:rsidP="00EE7401">
      <w:pPr>
        <w:spacing w:after="0" w:line="276" w:lineRule="auto"/>
        <w:ind w:firstLine="709"/>
        <w:jc w:val="both"/>
        <w:rPr>
          <w:lang w:val="uk-UA"/>
        </w:rPr>
      </w:pPr>
    </w:p>
    <w:sectPr w:rsidR="00CB03F3" w:rsidRPr="00DE0BD9" w:rsidSect="00F737E8">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CE204" w14:textId="77777777" w:rsidR="005F7B40" w:rsidRDefault="005F7B40" w:rsidP="00F737E8">
      <w:pPr>
        <w:spacing w:after="0" w:line="240" w:lineRule="auto"/>
      </w:pPr>
      <w:r>
        <w:separator/>
      </w:r>
    </w:p>
  </w:endnote>
  <w:endnote w:type="continuationSeparator" w:id="0">
    <w:p w14:paraId="357FE882" w14:textId="77777777" w:rsidR="005F7B40" w:rsidRDefault="005F7B40"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1E461" w14:textId="77777777" w:rsidR="005F7B40" w:rsidRDefault="005F7B40" w:rsidP="00F737E8">
      <w:pPr>
        <w:spacing w:after="0" w:line="240" w:lineRule="auto"/>
      </w:pPr>
      <w:r>
        <w:separator/>
      </w:r>
    </w:p>
  </w:footnote>
  <w:footnote w:type="continuationSeparator" w:id="0">
    <w:p w14:paraId="155CD438" w14:textId="77777777" w:rsidR="005F7B40" w:rsidRDefault="005F7B40"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180653"/>
      <w:docPartObj>
        <w:docPartGallery w:val="Page Numbers (Top of Page)"/>
        <w:docPartUnique/>
      </w:docPartObj>
    </w:sdtPr>
    <w:sdtEndPr>
      <w:rPr>
        <w:rFonts w:ascii="Times New Roman" w:hAnsi="Times New Roman" w:cs="Times New Roman"/>
        <w:sz w:val="28"/>
        <w:szCs w:val="28"/>
      </w:rPr>
    </w:sdtEndPr>
    <w:sdtContent>
      <w:p w14:paraId="12696D2D" w14:textId="5A197149" w:rsidR="00DC09B9" w:rsidRPr="00F737E8" w:rsidRDefault="004C7B58">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00DC09B9"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111017" w:rsidRPr="00111017">
          <w:rPr>
            <w:rFonts w:ascii="Times New Roman" w:hAnsi="Times New Roman" w:cs="Times New Roman"/>
            <w:noProof/>
            <w:sz w:val="28"/>
            <w:szCs w:val="28"/>
            <w:lang w:val="uk-UA"/>
          </w:rPr>
          <w:t>2</w:t>
        </w:r>
        <w:r w:rsidRPr="00F737E8">
          <w:rPr>
            <w:rFonts w:ascii="Times New Roman" w:hAnsi="Times New Roman" w:cs="Times New Roman"/>
            <w:sz w:val="28"/>
            <w:szCs w:val="28"/>
          </w:rPr>
          <w:fldChar w:fldCharType="end"/>
        </w:r>
      </w:p>
    </w:sdtContent>
  </w:sdt>
  <w:p w14:paraId="718E18AF" w14:textId="77777777" w:rsidR="00DC09B9" w:rsidRDefault="00DC09B9">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A5073F5"/>
    <w:multiLevelType w:val="hybridMultilevel"/>
    <w:tmpl w:val="F31059D0"/>
    <w:lvl w:ilvl="0" w:tplc="30521DB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2"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7"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49B6B6E"/>
    <w:multiLevelType w:val="hybridMultilevel"/>
    <w:tmpl w:val="3792596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4"/>
  </w:num>
  <w:num w:numId="2">
    <w:abstractNumId w:val="19"/>
  </w:num>
  <w:num w:numId="3">
    <w:abstractNumId w:val="14"/>
  </w:num>
  <w:num w:numId="4">
    <w:abstractNumId w:val="12"/>
  </w:num>
  <w:num w:numId="5">
    <w:abstractNumId w:val="3"/>
  </w:num>
  <w:num w:numId="6">
    <w:abstractNumId w:val="23"/>
  </w:num>
  <w:num w:numId="7">
    <w:abstractNumId w:val="2"/>
  </w:num>
  <w:num w:numId="8">
    <w:abstractNumId w:val="25"/>
  </w:num>
  <w:num w:numId="9">
    <w:abstractNumId w:val="9"/>
  </w:num>
  <w:num w:numId="10">
    <w:abstractNumId w:val="1"/>
  </w:num>
  <w:num w:numId="11">
    <w:abstractNumId w:val="4"/>
  </w:num>
  <w:num w:numId="12">
    <w:abstractNumId w:val="21"/>
  </w:num>
  <w:num w:numId="13">
    <w:abstractNumId w:val="22"/>
  </w:num>
  <w:num w:numId="14">
    <w:abstractNumId w:val="5"/>
  </w:num>
  <w:num w:numId="15">
    <w:abstractNumId w:val="7"/>
  </w:num>
  <w:num w:numId="16">
    <w:abstractNumId w:val="17"/>
  </w:num>
  <w:num w:numId="17">
    <w:abstractNumId w:val="15"/>
  </w:num>
  <w:num w:numId="18">
    <w:abstractNumId w:val="13"/>
  </w:num>
  <w:num w:numId="19">
    <w:abstractNumId w:val="10"/>
  </w:num>
  <w:num w:numId="20">
    <w:abstractNumId w:val="0"/>
  </w:num>
  <w:num w:numId="21">
    <w:abstractNumId w:val="18"/>
  </w:num>
  <w:num w:numId="22">
    <w:abstractNumId w:val="8"/>
  </w:num>
  <w:num w:numId="23">
    <w:abstractNumId w:val="26"/>
  </w:num>
  <w:num w:numId="24">
    <w:abstractNumId w:val="16"/>
  </w:num>
  <w:num w:numId="25">
    <w:abstractNumId w:val="11"/>
  </w:num>
  <w:num w:numId="26">
    <w:abstractNumId w:val="20"/>
  </w:num>
  <w:num w:numId="27">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C8B"/>
    <w:rsid w:val="000017E3"/>
    <w:rsid w:val="00012D3E"/>
    <w:rsid w:val="00016659"/>
    <w:rsid w:val="000337D6"/>
    <w:rsid w:val="00055A0D"/>
    <w:rsid w:val="00061FE3"/>
    <w:rsid w:val="00083D32"/>
    <w:rsid w:val="000921AE"/>
    <w:rsid w:val="000A4CCD"/>
    <w:rsid w:val="000A630A"/>
    <w:rsid w:val="000D0B77"/>
    <w:rsid w:val="000D16E9"/>
    <w:rsid w:val="000E676F"/>
    <w:rsid w:val="00111017"/>
    <w:rsid w:val="001142E0"/>
    <w:rsid w:val="001166DD"/>
    <w:rsid w:val="001175D8"/>
    <w:rsid w:val="00120BD6"/>
    <w:rsid w:val="00121192"/>
    <w:rsid w:val="00142BD9"/>
    <w:rsid w:val="00162DD5"/>
    <w:rsid w:val="00164775"/>
    <w:rsid w:val="00167F64"/>
    <w:rsid w:val="001748BC"/>
    <w:rsid w:val="0018315D"/>
    <w:rsid w:val="0018458B"/>
    <w:rsid w:val="001A5FA5"/>
    <w:rsid w:val="001B0836"/>
    <w:rsid w:val="001B31FF"/>
    <w:rsid w:val="001D722B"/>
    <w:rsid w:val="001F2511"/>
    <w:rsid w:val="00201764"/>
    <w:rsid w:val="00211E9D"/>
    <w:rsid w:val="002127C0"/>
    <w:rsid w:val="002210DF"/>
    <w:rsid w:val="00243EB7"/>
    <w:rsid w:val="00250E4A"/>
    <w:rsid w:val="002670C7"/>
    <w:rsid w:val="0027283F"/>
    <w:rsid w:val="0028473B"/>
    <w:rsid w:val="002A010B"/>
    <w:rsid w:val="002A34EF"/>
    <w:rsid w:val="002B0159"/>
    <w:rsid w:val="002B577E"/>
    <w:rsid w:val="002B6015"/>
    <w:rsid w:val="002C79D5"/>
    <w:rsid w:val="002D06C3"/>
    <w:rsid w:val="002E1060"/>
    <w:rsid w:val="002E3E34"/>
    <w:rsid w:val="00327BC7"/>
    <w:rsid w:val="00336388"/>
    <w:rsid w:val="003371B7"/>
    <w:rsid w:val="00375038"/>
    <w:rsid w:val="003823F6"/>
    <w:rsid w:val="003A1AC9"/>
    <w:rsid w:val="003B1ACB"/>
    <w:rsid w:val="003B2098"/>
    <w:rsid w:val="003F6084"/>
    <w:rsid w:val="00411E2A"/>
    <w:rsid w:val="004253F7"/>
    <w:rsid w:val="00427933"/>
    <w:rsid w:val="0043049E"/>
    <w:rsid w:val="00447F04"/>
    <w:rsid w:val="004702DD"/>
    <w:rsid w:val="00473B75"/>
    <w:rsid w:val="004A076D"/>
    <w:rsid w:val="004B4829"/>
    <w:rsid w:val="004C7B58"/>
    <w:rsid w:val="004D6441"/>
    <w:rsid w:val="004E19B0"/>
    <w:rsid w:val="004E28A0"/>
    <w:rsid w:val="004E52F5"/>
    <w:rsid w:val="004E55C9"/>
    <w:rsid w:val="00505620"/>
    <w:rsid w:val="005065CF"/>
    <w:rsid w:val="005113C3"/>
    <w:rsid w:val="00523958"/>
    <w:rsid w:val="0053535A"/>
    <w:rsid w:val="005374DD"/>
    <w:rsid w:val="0054282B"/>
    <w:rsid w:val="00544346"/>
    <w:rsid w:val="00553332"/>
    <w:rsid w:val="00554B57"/>
    <w:rsid w:val="0057682F"/>
    <w:rsid w:val="00584934"/>
    <w:rsid w:val="0058688B"/>
    <w:rsid w:val="005A7D7F"/>
    <w:rsid w:val="005B29E0"/>
    <w:rsid w:val="005B2B01"/>
    <w:rsid w:val="005C38DE"/>
    <w:rsid w:val="005C655F"/>
    <w:rsid w:val="005F7B40"/>
    <w:rsid w:val="00603196"/>
    <w:rsid w:val="00642FA3"/>
    <w:rsid w:val="006506C0"/>
    <w:rsid w:val="00651E47"/>
    <w:rsid w:val="00652AE7"/>
    <w:rsid w:val="00657C8B"/>
    <w:rsid w:val="006620A8"/>
    <w:rsid w:val="00680C50"/>
    <w:rsid w:val="006B1B62"/>
    <w:rsid w:val="006B7A0B"/>
    <w:rsid w:val="0070109B"/>
    <w:rsid w:val="007218EA"/>
    <w:rsid w:val="0072299A"/>
    <w:rsid w:val="007319CE"/>
    <w:rsid w:val="00734841"/>
    <w:rsid w:val="007671A8"/>
    <w:rsid w:val="00772C25"/>
    <w:rsid w:val="0077466D"/>
    <w:rsid w:val="00782666"/>
    <w:rsid w:val="00796ECA"/>
    <w:rsid w:val="007B539D"/>
    <w:rsid w:val="007C584B"/>
    <w:rsid w:val="007D1F89"/>
    <w:rsid w:val="007D2804"/>
    <w:rsid w:val="007D5746"/>
    <w:rsid w:val="007D6549"/>
    <w:rsid w:val="007F1B3E"/>
    <w:rsid w:val="008440B3"/>
    <w:rsid w:val="00854BDA"/>
    <w:rsid w:val="00873FDC"/>
    <w:rsid w:val="00874F13"/>
    <w:rsid w:val="00880858"/>
    <w:rsid w:val="008A12D8"/>
    <w:rsid w:val="008A46A7"/>
    <w:rsid w:val="008B2AE1"/>
    <w:rsid w:val="008C6393"/>
    <w:rsid w:val="008D04B3"/>
    <w:rsid w:val="008E4000"/>
    <w:rsid w:val="008E419F"/>
    <w:rsid w:val="008F4A53"/>
    <w:rsid w:val="008F5F61"/>
    <w:rsid w:val="008F7FEE"/>
    <w:rsid w:val="00903630"/>
    <w:rsid w:val="0091452D"/>
    <w:rsid w:val="009212A5"/>
    <w:rsid w:val="00936A84"/>
    <w:rsid w:val="00937330"/>
    <w:rsid w:val="009456AA"/>
    <w:rsid w:val="0095312C"/>
    <w:rsid w:val="0098094C"/>
    <w:rsid w:val="009865F1"/>
    <w:rsid w:val="009B4498"/>
    <w:rsid w:val="009B77D0"/>
    <w:rsid w:val="009C77B9"/>
    <w:rsid w:val="009D2FF6"/>
    <w:rsid w:val="009E4A86"/>
    <w:rsid w:val="009F1153"/>
    <w:rsid w:val="00A3458E"/>
    <w:rsid w:val="00A530F3"/>
    <w:rsid w:val="00A55862"/>
    <w:rsid w:val="00A668C1"/>
    <w:rsid w:val="00A7297D"/>
    <w:rsid w:val="00A85706"/>
    <w:rsid w:val="00A945D2"/>
    <w:rsid w:val="00AA70E5"/>
    <w:rsid w:val="00AA7E0A"/>
    <w:rsid w:val="00AB7F4F"/>
    <w:rsid w:val="00AD0E9B"/>
    <w:rsid w:val="00AE3968"/>
    <w:rsid w:val="00AE4F88"/>
    <w:rsid w:val="00B30AB8"/>
    <w:rsid w:val="00B339D5"/>
    <w:rsid w:val="00B45159"/>
    <w:rsid w:val="00B52B5D"/>
    <w:rsid w:val="00B621FF"/>
    <w:rsid w:val="00B6728D"/>
    <w:rsid w:val="00B70D8C"/>
    <w:rsid w:val="00B854E2"/>
    <w:rsid w:val="00B90991"/>
    <w:rsid w:val="00B93D4E"/>
    <w:rsid w:val="00BA534A"/>
    <w:rsid w:val="00BB6C0F"/>
    <w:rsid w:val="00BB7497"/>
    <w:rsid w:val="00BB7819"/>
    <w:rsid w:val="00BC327D"/>
    <w:rsid w:val="00BD4C68"/>
    <w:rsid w:val="00BD786C"/>
    <w:rsid w:val="00BE2E15"/>
    <w:rsid w:val="00BE3747"/>
    <w:rsid w:val="00BE6ADA"/>
    <w:rsid w:val="00BF1418"/>
    <w:rsid w:val="00BF40C6"/>
    <w:rsid w:val="00BF57DC"/>
    <w:rsid w:val="00C21107"/>
    <w:rsid w:val="00C344F9"/>
    <w:rsid w:val="00C50497"/>
    <w:rsid w:val="00C62C1F"/>
    <w:rsid w:val="00C67356"/>
    <w:rsid w:val="00C843D0"/>
    <w:rsid w:val="00CA0BAD"/>
    <w:rsid w:val="00CA0EE2"/>
    <w:rsid w:val="00CB03F3"/>
    <w:rsid w:val="00CB608D"/>
    <w:rsid w:val="00CE2247"/>
    <w:rsid w:val="00CF5CDC"/>
    <w:rsid w:val="00D114F3"/>
    <w:rsid w:val="00D14474"/>
    <w:rsid w:val="00D25DCF"/>
    <w:rsid w:val="00D31384"/>
    <w:rsid w:val="00D33A98"/>
    <w:rsid w:val="00D42CF8"/>
    <w:rsid w:val="00D57676"/>
    <w:rsid w:val="00D74BCD"/>
    <w:rsid w:val="00D95F0F"/>
    <w:rsid w:val="00DA4EFC"/>
    <w:rsid w:val="00DA5569"/>
    <w:rsid w:val="00DC09B9"/>
    <w:rsid w:val="00DD3283"/>
    <w:rsid w:val="00DD3441"/>
    <w:rsid w:val="00DD38E3"/>
    <w:rsid w:val="00DD68EE"/>
    <w:rsid w:val="00DE0BD9"/>
    <w:rsid w:val="00DF32C8"/>
    <w:rsid w:val="00E1018A"/>
    <w:rsid w:val="00E16A4D"/>
    <w:rsid w:val="00E30EFD"/>
    <w:rsid w:val="00E60736"/>
    <w:rsid w:val="00E76469"/>
    <w:rsid w:val="00E87922"/>
    <w:rsid w:val="00EC25F4"/>
    <w:rsid w:val="00EC2801"/>
    <w:rsid w:val="00ED084E"/>
    <w:rsid w:val="00EE710C"/>
    <w:rsid w:val="00EE7401"/>
    <w:rsid w:val="00EF3964"/>
    <w:rsid w:val="00EF61DB"/>
    <w:rsid w:val="00F048F3"/>
    <w:rsid w:val="00F320E3"/>
    <w:rsid w:val="00F33359"/>
    <w:rsid w:val="00F369A7"/>
    <w:rsid w:val="00F37E8A"/>
    <w:rsid w:val="00F54379"/>
    <w:rsid w:val="00F725DC"/>
    <w:rsid w:val="00F737E8"/>
    <w:rsid w:val="00F971F2"/>
    <w:rsid w:val="00FB5FF7"/>
    <w:rsid w:val="00FC5F03"/>
    <w:rsid w:val="00FD01AF"/>
    <w:rsid w:val="00FD2F0B"/>
    <w:rsid w:val="00FD60AD"/>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B20220"/>
  <w15:docId w15:val="{8E71B904-22B6-45BC-88D4-2D129E7FC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EE740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C62C1F"/>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C62C1F"/>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670134263">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 w:id="192271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E8A09-5A60-44FB-BF04-4263F4BA6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9198</Words>
  <Characters>5243</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Марина Мілова</cp:lastModifiedBy>
  <cp:revision>13</cp:revision>
  <cp:lastPrinted>2019-10-01T11:10:00Z</cp:lastPrinted>
  <dcterms:created xsi:type="dcterms:W3CDTF">2025-01-07T14:45:00Z</dcterms:created>
  <dcterms:modified xsi:type="dcterms:W3CDTF">2025-01-28T12:32:00Z</dcterms:modified>
</cp:coreProperties>
</file>