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E81" w:rsidRDefault="00586E81" w:rsidP="00586E81">
      <w:pPr>
        <w:pStyle w:val="a6"/>
        <w:spacing w:before="0" w:beforeAutospacing="0" w:after="0" w:afterAutospacing="0"/>
        <w:ind w:left="5670"/>
        <w:rPr>
          <w:sz w:val="28"/>
          <w:szCs w:val="28"/>
        </w:rPr>
      </w:pPr>
      <w:r>
        <w:rPr>
          <w:sz w:val="28"/>
          <w:szCs w:val="28"/>
        </w:rPr>
        <w:t>ЗАТВЕРДЖЕНО</w:t>
      </w:r>
      <w:r>
        <w:rPr>
          <w:sz w:val="28"/>
          <w:szCs w:val="28"/>
        </w:rPr>
        <w:br/>
        <w:t>Постанова Національної комісії, що здійснює державне регулювання у сферах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енергетики та комунальних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послуг</w:t>
      </w:r>
    </w:p>
    <w:p w:rsidR="00586E81" w:rsidRDefault="00995509" w:rsidP="00995509">
      <w:pPr>
        <w:pStyle w:val="rvps7"/>
        <w:shd w:val="clear" w:color="auto" w:fill="FFFFFF"/>
        <w:spacing w:before="0" w:beforeAutospacing="0" w:after="120" w:afterAutospacing="0" w:line="259" w:lineRule="auto"/>
        <w:ind w:left="5387" w:firstLine="0"/>
        <w:jc w:val="center"/>
        <w:rPr>
          <w:rStyle w:val="rvts15"/>
          <w:b/>
          <w:bCs/>
          <w:sz w:val="28"/>
          <w:szCs w:val="28"/>
        </w:rPr>
      </w:pPr>
      <w:r w:rsidRPr="00995509">
        <w:rPr>
          <w:sz w:val="28"/>
          <w:szCs w:val="28"/>
        </w:rPr>
        <w:t>від 15 травня 2024 року № 943</w:t>
      </w:r>
    </w:p>
    <w:p w:rsidR="00586E81" w:rsidRDefault="00586E81" w:rsidP="00586E81">
      <w:pPr>
        <w:pStyle w:val="rvps7"/>
        <w:shd w:val="clear" w:color="auto" w:fill="FFFFFF"/>
        <w:spacing w:before="0" w:beforeAutospacing="0" w:after="120" w:afterAutospacing="0" w:line="259" w:lineRule="auto"/>
        <w:ind w:firstLine="0"/>
        <w:rPr>
          <w:rStyle w:val="rvts15"/>
          <w:b/>
          <w:bCs/>
          <w:sz w:val="28"/>
          <w:szCs w:val="28"/>
        </w:rPr>
      </w:pPr>
    </w:p>
    <w:p w:rsidR="00724213" w:rsidRDefault="003D282E" w:rsidP="009639D6">
      <w:pPr>
        <w:pStyle w:val="rvps7"/>
        <w:shd w:val="clear" w:color="auto" w:fill="FFFFFF"/>
        <w:spacing w:before="0" w:beforeAutospacing="0" w:after="0" w:afterAutospacing="0"/>
        <w:ind w:firstLine="0"/>
        <w:jc w:val="center"/>
        <w:rPr>
          <w:rStyle w:val="rvts15"/>
          <w:b/>
          <w:bCs/>
          <w:sz w:val="28"/>
          <w:szCs w:val="28"/>
        </w:rPr>
      </w:pPr>
      <w:r w:rsidRPr="00992EB1">
        <w:rPr>
          <w:rStyle w:val="rvts15"/>
          <w:b/>
          <w:bCs/>
          <w:sz w:val="28"/>
          <w:szCs w:val="28"/>
        </w:rPr>
        <w:t>ІНСТРУКЦІЯ</w:t>
      </w:r>
      <w:r w:rsidR="00724213" w:rsidRPr="00992EB1">
        <w:rPr>
          <w:sz w:val="28"/>
          <w:szCs w:val="28"/>
        </w:rPr>
        <w:br/>
      </w:r>
      <w:r w:rsidR="00724213" w:rsidRPr="00992EB1">
        <w:rPr>
          <w:rStyle w:val="rvts15"/>
          <w:b/>
          <w:bCs/>
          <w:sz w:val="28"/>
          <w:szCs w:val="28"/>
        </w:rPr>
        <w:t>щодо заповнення форми звітності № 1-НКРЕКП-дох</w:t>
      </w:r>
      <w:r w:rsidR="00A44EDE">
        <w:rPr>
          <w:rStyle w:val="rvts15"/>
          <w:b/>
          <w:bCs/>
          <w:sz w:val="28"/>
          <w:szCs w:val="28"/>
        </w:rPr>
        <w:t>і</w:t>
      </w:r>
      <w:r w:rsidR="00724213" w:rsidRPr="00992EB1">
        <w:rPr>
          <w:rStyle w:val="rvts15"/>
          <w:b/>
          <w:bCs/>
          <w:sz w:val="28"/>
          <w:szCs w:val="28"/>
        </w:rPr>
        <w:t>д (квартал</w:t>
      </w:r>
      <w:r w:rsidR="00D1566C">
        <w:rPr>
          <w:rStyle w:val="rvts15"/>
          <w:b/>
          <w:bCs/>
          <w:sz w:val="28"/>
          <w:szCs w:val="28"/>
        </w:rPr>
        <w:t>ьна</w:t>
      </w:r>
      <w:r w:rsidR="00724213" w:rsidRPr="00992EB1">
        <w:rPr>
          <w:rStyle w:val="rvts15"/>
          <w:b/>
          <w:bCs/>
          <w:sz w:val="28"/>
          <w:szCs w:val="28"/>
        </w:rPr>
        <w:t>)</w:t>
      </w:r>
      <w:r w:rsidR="00724213" w:rsidRPr="00992EB1">
        <w:rPr>
          <w:rStyle w:val="rvts15"/>
          <w:b/>
          <w:bCs/>
          <w:sz w:val="28"/>
          <w:szCs w:val="28"/>
        </w:rPr>
        <w:br/>
        <w:t>«</w:t>
      </w:r>
      <w:r w:rsidR="00586E81" w:rsidRPr="00586E81">
        <w:rPr>
          <w:rStyle w:val="rvts15"/>
          <w:b/>
          <w:bCs/>
          <w:sz w:val="28"/>
          <w:szCs w:val="28"/>
        </w:rPr>
        <w:t>Звіт про обсяг чистого доходу</w:t>
      </w:r>
      <w:r w:rsidR="00724213" w:rsidRPr="00992EB1">
        <w:rPr>
          <w:rStyle w:val="rvts15"/>
          <w:b/>
          <w:bCs/>
          <w:sz w:val="28"/>
          <w:szCs w:val="28"/>
        </w:rPr>
        <w:t>»</w:t>
      </w:r>
    </w:p>
    <w:p w:rsidR="009639D6" w:rsidRDefault="009639D6" w:rsidP="009639D6">
      <w:pPr>
        <w:pStyle w:val="rvps7"/>
        <w:shd w:val="clear" w:color="auto" w:fill="FFFFFF"/>
        <w:spacing w:before="0" w:beforeAutospacing="0" w:after="0" w:afterAutospacing="0"/>
        <w:ind w:firstLine="0"/>
        <w:jc w:val="center"/>
        <w:rPr>
          <w:rStyle w:val="rvts15"/>
          <w:b/>
          <w:bCs/>
          <w:sz w:val="28"/>
          <w:szCs w:val="28"/>
        </w:rPr>
      </w:pPr>
    </w:p>
    <w:p w:rsidR="00586E81" w:rsidRDefault="00586E81" w:rsidP="009639D6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992EB1" w:rsidRPr="00992EB1" w:rsidRDefault="00992EB1" w:rsidP="009639D6">
      <w:pPr>
        <w:pStyle w:val="rvps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n48"/>
      <w:bookmarkEnd w:id="0"/>
      <w:r w:rsidRPr="005146CB">
        <w:rPr>
          <w:rFonts w:ascii="Times New Roman" w:hAnsi="Times New Roman" w:cs="Times New Roman"/>
          <w:sz w:val="28"/>
          <w:szCs w:val="28"/>
        </w:rPr>
        <w:t>1.1. Ця Інструкція поширюється на суб’єктів господарювання, що провадять діяльність у сферах енергетики та комунальних послуг, державне регулювання яких здійснюється Національною комісією, що здійснює державне регулювання у сферах енергетики та комунальних послуг (далі – ліцензіат), зокрема: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>1) ліцензіатів у сфері електроенергетики: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>суб’єкта господарювання, що має ліцензію на право провадження господарської діяльності з передачі електричної енергії;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 xml:space="preserve">суб’єкта господарювання, що має ліцензію на право провадження господарської діяльності зі здійснення функцій оператора ринку; 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 xml:space="preserve">суб’єкта господарювання, що має ліцензію на право провадження господарської діяльності зі здійснення функцій гарантованого покупця; 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>суб’єктів господарювання, які отримали ліцензію на право провадження господарської діяльності  з розподілу електричної енергії;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 xml:space="preserve">суб’єктів господарювання, що мають ліцензію на право провадження господарської діяльності з виробництва електричної енергії; 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>суб’єктів господарювання, що мають ліцензію на право провадження господарської діяльності з постачання електричної енергії споживачу;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>суб’єктів господарювання, що мають ліцензію на право провадження господарської діяльності з перепродажу електричної енергії (</w:t>
      </w:r>
      <w:proofErr w:type="spellStart"/>
      <w:r w:rsidRPr="005146CB">
        <w:rPr>
          <w:rFonts w:ascii="Times New Roman" w:hAnsi="Times New Roman" w:cs="Times New Roman"/>
          <w:sz w:val="28"/>
          <w:szCs w:val="28"/>
        </w:rPr>
        <w:t>трейдерська</w:t>
      </w:r>
      <w:proofErr w:type="spellEnd"/>
      <w:r w:rsidRPr="005146CB">
        <w:rPr>
          <w:rFonts w:ascii="Times New Roman" w:hAnsi="Times New Roman" w:cs="Times New Roman"/>
          <w:sz w:val="28"/>
          <w:szCs w:val="28"/>
        </w:rPr>
        <w:t xml:space="preserve"> діяльність); 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>суб’єктів господарювання, що мають ліцензію на право провадження господарської діяльності розподілу електричної енергії малими системами розподілу;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>суб’єктів господарювання, що мають ліцензію на право провадження господарської діяльності із зберігання енергії;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t>суб’єктів господарювання, що мають ліцензію на право провадження господарської діяльності з агрегації;</w:t>
      </w:r>
    </w:p>
    <w:p w:rsidR="005146CB" w:rsidRPr="005146CB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206A" w:rsidRDefault="005146CB" w:rsidP="00514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</w:rPr>
        <w:lastRenderedPageBreak/>
        <w:t xml:space="preserve">2) суб’єктів господарювання, що мають ліцензію на право провадження господарської діяльності з виробництва теплової енергії на теплоцентралях, теплоелектростанціях, атомних електростанціях і </w:t>
      </w:r>
      <w:proofErr w:type="spellStart"/>
      <w:r w:rsidRPr="005146CB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Pr="005146CB">
        <w:rPr>
          <w:rFonts w:ascii="Times New Roman" w:hAnsi="Times New Roman" w:cs="Times New Roman"/>
          <w:sz w:val="28"/>
          <w:szCs w:val="28"/>
        </w:rPr>
        <w:t xml:space="preserve"> установках.</w:t>
      </w:r>
    </w:p>
    <w:p w:rsidR="00262894" w:rsidRPr="00EF7FFA" w:rsidRDefault="00262894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C93" w:rsidRDefault="00EF7FFA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992EB1" w:rsidRPr="00EF7FFA">
        <w:rPr>
          <w:rFonts w:ascii="Times New Roman" w:hAnsi="Times New Roman" w:cs="Times New Roman"/>
          <w:sz w:val="28"/>
          <w:szCs w:val="28"/>
        </w:rPr>
        <w:t xml:space="preserve">Ця Інструкція визначає порядок заповнення форми звітності  </w:t>
      </w:r>
      <w:r w:rsidR="00992EB1" w:rsidRPr="00EF7FFA">
        <w:rPr>
          <w:rFonts w:ascii="Times New Roman" w:hAnsi="Times New Roman" w:cs="Times New Roman"/>
          <w:sz w:val="28"/>
          <w:szCs w:val="28"/>
        </w:rPr>
        <w:br/>
        <w:t>№ 1-НКРЕКП-дох</w:t>
      </w:r>
      <w:r w:rsidR="00586BAB">
        <w:rPr>
          <w:rFonts w:ascii="Times New Roman" w:hAnsi="Times New Roman" w:cs="Times New Roman"/>
          <w:sz w:val="28"/>
          <w:szCs w:val="28"/>
        </w:rPr>
        <w:t>і</w:t>
      </w:r>
      <w:r w:rsidR="00992EB1" w:rsidRPr="00EF7FFA">
        <w:rPr>
          <w:rFonts w:ascii="Times New Roman" w:hAnsi="Times New Roman" w:cs="Times New Roman"/>
          <w:sz w:val="28"/>
          <w:szCs w:val="28"/>
        </w:rPr>
        <w:t>д (квартал) «</w:t>
      </w:r>
      <w:r w:rsidRPr="00EF7FFA">
        <w:rPr>
          <w:rStyle w:val="rvts15"/>
          <w:rFonts w:ascii="Times New Roman" w:hAnsi="Times New Roman" w:cs="Times New Roman"/>
          <w:bCs/>
          <w:sz w:val="28"/>
          <w:szCs w:val="28"/>
        </w:rPr>
        <w:t>Звіт про обсяг чистого доходу</w:t>
      </w:r>
      <w:r w:rsidR="00992EB1" w:rsidRPr="00EF7FFA">
        <w:rPr>
          <w:rFonts w:ascii="Times New Roman" w:hAnsi="Times New Roman" w:cs="Times New Roman"/>
          <w:sz w:val="28"/>
          <w:szCs w:val="28"/>
        </w:rPr>
        <w:t xml:space="preserve">» (далі – форма звітності </w:t>
      </w:r>
      <w:r w:rsidR="00992EB1" w:rsidRPr="00EF7FFA">
        <w:rPr>
          <w:rStyle w:val="rvts15"/>
          <w:rFonts w:ascii="Times New Roman" w:hAnsi="Times New Roman" w:cs="Times New Roman"/>
          <w:bCs/>
          <w:sz w:val="28"/>
          <w:szCs w:val="28"/>
        </w:rPr>
        <w:t>№ 1</w:t>
      </w:r>
      <w:r w:rsidR="00992EB1" w:rsidRPr="00EF7FFA">
        <w:rPr>
          <w:rFonts w:ascii="Times New Roman" w:hAnsi="Times New Roman" w:cs="Times New Roman"/>
          <w:sz w:val="28"/>
          <w:szCs w:val="28"/>
        </w:rPr>
        <w:t xml:space="preserve">), та термін її подання до Національної комісії, що здійснює державне регулювання у сферах енергетики та комунальних послуг </w:t>
      </w:r>
      <w:r w:rsidR="00A44EDE">
        <w:rPr>
          <w:rFonts w:ascii="Times New Roman" w:hAnsi="Times New Roman" w:cs="Times New Roman"/>
          <w:sz w:val="28"/>
          <w:szCs w:val="28"/>
        </w:rPr>
        <w:br/>
      </w:r>
      <w:r w:rsidR="00992EB1" w:rsidRPr="00EF7FFA">
        <w:rPr>
          <w:rFonts w:ascii="Times New Roman" w:hAnsi="Times New Roman" w:cs="Times New Roman"/>
          <w:sz w:val="28"/>
          <w:szCs w:val="28"/>
        </w:rPr>
        <w:t>(далі – НКРЕКП).</w:t>
      </w:r>
    </w:p>
    <w:p w:rsidR="000A3447" w:rsidRPr="00EF7FFA" w:rsidRDefault="000A3447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A8" w:rsidRPr="00EF7FFA" w:rsidRDefault="00BA24A8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F7FFA">
        <w:rPr>
          <w:rFonts w:ascii="Times New Roman" w:hAnsi="Times New Roman" w:cs="Times New Roman"/>
          <w:sz w:val="28"/>
          <w:szCs w:val="28"/>
        </w:rPr>
        <w:t>1.</w:t>
      </w:r>
      <w:r w:rsidR="00EF7FFA">
        <w:rPr>
          <w:rFonts w:ascii="Times New Roman" w:hAnsi="Times New Roman" w:cs="Times New Roman"/>
          <w:sz w:val="28"/>
          <w:szCs w:val="28"/>
        </w:rPr>
        <w:t>3</w:t>
      </w:r>
      <w:r w:rsidRPr="00EF7FFA">
        <w:rPr>
          <w:rFonts w:ascii="Times New Roman" w:hAnsi="Times New Roman" w:cs="Times New Roman"/>
          <w:sz w:val="28"/>
          <w:szCs w:val="28"/>
        </w:rPr>
        <w:t>. Ц</w:t>
      </w:r>
      <w:r w:rsidR="009639D6">
        <w:rPr>
          <w:rFonts w:ascii="Times New Roman" w:hAnsi="Times New Roman" w:cs="Times New Roman"/>
          <w:sz w:val="28"/>
          <w:szCs w:val="28"/>
        </w:rPr>
        <w:t>ю</w:t>
      </w:r>
      <w:r w:rsidRPr="00EF7FFA">
        <w:rPr>
          <w:rFonts w:ascii="Times New Roman" w:hAnsi="Times New Roman" w:cs="Times New Roman"/>
          <w:sz w:val="28"/>
          <w:szCs w:val="28"/>
        </w:rPr>
        <w:t xml:space="preserve"> Інструкці</w:t>
      </w:r>
      <w:r w:rsidR="009639D6">
        <w:rPr>
          <w:rFonts w:ascii="Times New Roman" w:hAnsi="Times New Roman" w:cs="Times New Roman"/>
          <w:sz w:val="28"/>
          <w:szCs w:val="28"/>
        </w:rPr>
        <w:t>ю</w:t>
      </w:r>
      <w:r w:rsidRPr="00EF7FFA">
        <w:rPr>
          <w:rFonts w:ascii="Times New Roman" w:hAnsi="Times New Roman" w:cs="Times New Roman"/>
          <w:sz w:val="28"/>
          <w:szCs w:val="28"/>
        </w:rPr>
        <w:t xml:space="preserve"> розроблен</w:t>
      </w:r>
      <w:r w:rsidR="009639D6">
        <w:rPr>
          <w:rFonts w:ascii="Times New Roman" w:hAnsi="Times New Roman" w:cs="Times New Roman"/>
          <w:sz w:val="28"/>
          <w:szCs w:val="28"/>
        </w:rPr>
        <w:t>о</w:t>
      </w:r>
      <w:r w:rsidRPr="00EF7FFA">
        <w:rPr>
          <w:rFonts w:ascii="Times New Roman" w:hAnsi="Times New Roman" w:cs="Times New Roman"/>
          <w:sz w:val="28"/>
          <w:szCs w:val="28"/>
        </w:rPr>
        <w:t xml:space="preserve"> відповідно до: </w:t>
      </w:r>
    </w:p>
    <w:p w:rsidR="00DD52C1" w:rsidRDefault="00BA24A8" w:rsidP="007954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законів України «Про ринок електричної енергії», «Про Національну комісію, що здійснює державне регулювання у сферах енергетики та комунальних послуг», </w:t>
      </w:r>
      <w:r w:rsidR="00232142" w:rsidRPr="00EF7FFA">
        <w:rPr>
          <w:rStyle w:val="fontstyle01"/>
        </w:rPr>
        <w:t>«Про бухгалтерський облік та фінансову</w:t>
      </w:r>
      <w:r w:rsidR="00232142" w:rsidRPr="00EF7F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2142" w:rsidRPr="00EF7FFA">
        <w:rPr>
          <w:rStyle w:val="fontstyle01"/>
        </w:rPr>
        <w:t>звітність в Україні»</w:t>
      </w:r>
      <w:r w:rsidR="00232142">
        <w:rPr>
          <w:rStyle w:val="fontstyle01"/>
        </w:rPr>
        <w:t xml:space="preserve">, </w:t>
      </w:r>
      <w:hyperlink r:id="rId8" w:tgtFrame="_blank" w:history="1">
        <w:r w:rsidR="001F5D17" w:rsidRPr="001F5D1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«Про інформацію»</w:t>
        </w:r>
      </w:hyperlink>
      <w:r w:rsidR="001F5D17" w:rsidRPr="001F5D17">
        <w:rPr>
          <w:rFonts w:ascii="Times New Roman" w:hAnsi="Times New Roman" w:cs="Times New Roman"/>
          <w:sz w:val="28"/>
          <w:szCs w:val="28"/>
        </w:rPr>
        <w:t>,</w:t>
      </w:r>
      <w:r w:rsidR="0036286F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gtFrame="_blank" w:history="1">
        <w:r w:rsidR="001F5D17" w:rsidRPr="001F5D1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«Про доступ до публічної інформації»</w:t>
        </w:r>
      </w:hyperlink>
      <w:r w:rsidR="00DD52C1">
        <w:rPr>
          <w:rFonts w:ascii="Times New Roman" w:hAnsi="Times New Roman" w:cs="Times New Roman"/>
          <w:sz w:val="28"/>
          <w:szCs w:val="28"/>
        </w:rPr>
        <w:t>;</w:t>
      </w:r>
    </w:p>
    <w:p w:rsidR="0036286F" w:rsidRDefault="0036286F" w:rsidP="00DD5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9B6">
        <w:rPr>
          <w:rFonts w:ascii="Times New Roman" w:hAnsi="Times New Roman" w:cs="Times New Roman"/>
          <w:sz w:val="28"/>
          <w:szCs w:val="28"/>
        </w:rPr>
        <w:t xml:space="preserve">Правил ринку, затверджених постановою НКРЕКП від 14 березня </w:t>
      </w:r>
      <w:r w:rsidRPr="00F239B6">
        <w:rPr>
          <w:rFonts w:ascii="Times New Roman" w:hAnsi="Times New Roman" w:cs="Times New Roman"/>
          <w:sz w:val="28"/>
          <w:szCs w:val="28"/>
        </w:rPr>
        <w:br/>
        <w:t>2018 року № 307,</w:t>
      </w:r>
      <w:r w:rsidR="00F239B6" w:rsidRPr="00F239B6">
        <w:rPr>
          <w:rFonts w:ascii="Times New Roman" w:hAnsi="Times New Roman" w:cs="Times New Roman"/>
          <w:sz w:val="28"/>
          <w:szCs w:val="28"/>
        </w:rPr>
        <w:t xml:space="preserve"> </w:t>
      </w:r>
      <w:r w:rsidR="00F239B6" w:rsidRP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Правил ринку «на добу наперед» та внутрішньодобового ринку»</w:t>
      </w:r>
      <w:r w:rsid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F239B6" w:rsidRPr="00F239B6">
        <w:rPr>
          <w:rFonts w:ascii="Times New Roman" w:hAnsi="Times New Roman" w:cs="Times New Roman"/>
          <w:sz w:val="28"/>
          <w:szCs w:val="28"/>
        </w:rPr>
        <w:t xml:space="preserve">затверджених постановою НКРЕКП від </w:t>
      </w:r>
      <w:r w:rsidR="00F239B6" w:rsidRP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14</w:t>
      </w:r>
      <w:r w:rsid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березня </w:t>
      </w:r>
      <w:r w:rsidR="00F239B6" w:rsidRP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2018 </w:t>
      </w:r>
      <w:r w:rsid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року </w:t>
      </w:r>
      <w:r w:rsidR="00F239B6" w:rsidRP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№ 308</w:t>
      </w:r>
      <w:r w:rsid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F239B6" w:rsidRP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239B6">
        <w:rPr>
          <w:rFonts w:ascii="Times New Roman" w:hAnsi="Times New Roman" w:cs="Times New Roman"/>
          <w:sz w:val="28"/>
          <w:szCs w:val="28"/>
        </w:rPr>
        <w:t>Правил роздрібного ринку електричної енергії, затверджених постановою НКРЕКП від 14 березня 2018 року № 312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413F4" w:rsidRPr="00A413F4">
        <w:rPr>
          <w:rFonts w:ascii="Times New Roman" w:eastAsia="Calibri" w:hAnsi="Times New Roman" w:cs="Times New Roman"/>
          <w:sz w:val="28"/>
          <w:szCs w:val="28"/>
        </w:rPr>
        <w:t>Ліцензійних умов провадження господарської діяльності з передачі електричної енергії, затверджених постановою НКРЕКП від 09 листопада 2017 року № 1388</w:t>
      </w:r>
      <w:r w:rsidR="00795486">
        <w:rPr>
          <w:rFonts w:ascii="Times New Roman" w:eastAsia="Calibri" w:hAnsi="Times New Roman" w:cs="Times New Roman"/>
          <w:sz w:val="28"/>
          <w:szCs w:val="28"/>
        </w:rPr>
        <w:t>,</w:t>
      </w:r>
      <w:r w:rsidR="00795486">
        <w:rPr>
          <w:rFonts w:ascii="Times New Roman" w:hAnsi="Times New Roman" w:cs="Times New Roman"/>
          <w:sz w:val="28"/>
          <w:szCs w:val="28"/>
        </w:rPr>
        <w:t xml:space="preserve"> </w:t>
      </w:r>
      <w:r w:rsidR="004446FC" w:rsidRPr="00F372B6">
        <w:rPr>
          <w:rFonts w:ascii="Times New Roman" w:eastAsia="Calibri" w:hAnsi="Times New Roman" w:cs="Times New Roman"/>
          <w:sz w:val="28"/>
          <w:szCs w:val="28"/>
        </w:rPr>
        <w:t>Ліцензійних умов провадження господарської діяльності зі здійснення функцій оператора ринку, затверджених постановою НКРЕКП від 27 грудня 2017 року № 1466</w:t>
      </w:r>
      <w:r w:rsidR="00795486">
        <w:rPr>
          <w:rFonts w:ascii="Times New Roman" w:eastAsia="Calibri" w:hAnsi="Times New Roman" w:cs="Times New Roman"/>
          <w:sz w:val="28"/>
          <w:szCs w:val="28"/>
        </w:rPr>
        <w:t>,</w:t>
      </w:r>
      <w:r w:rsidR="00795486">
        <w:rPr>
          <w:rFonts w:ascii="Times New Roman" w:hAnsi="Times New Roman" w:cs="Times New Roman"/>
          <w:sz w:val="28"/>
          <w:szCs w:val="28"/>
        </w:rPr>
        <w:t xml:space="preserve"> </w:t>
      </w:r>
      <w:r w:rsidR="00F372B6" w:rsidRPr="00F372B6">
        <w:rPr>
          <w:rFonts w:ascii="Times New Roman" w:eastAsia="Calibri" w:hAnsi="Times New Roman" w:cs="Times New Roman"/>
          <w:sz w:val="28"/>
          <w:szCs w:val="28"/>
        </w:rPr>
        <w:t>Ліцензійних умов провадження господарської діяльності зі здійснення функцій гарантованого покупця, затверджених постановою НКРЕКП від</w:t>
      </w:r>
      <w:r w:rsidR="006E4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72B6" w:rsidRPr="00F372B6">
        <w:rPr>
          <w:rFonts w:ascii="Times New Roman" w:eastAsia="Calibri" w:hAnsi="Times New Roman" w:cs="Times New Roman"/>
          <w:sz w:val="28"/>
          <w:szCs w:val="28"/>
        </w:rPr>
        <w:t xml:space="preserve">27 грудня </w:t>
      </w:r>
      <w:r w:rsidR="009639D6">
        <w:rPr>
          <w:rFonts w:ascii="Times New Roman" w:eastAsia="Calibri" w:hAnsi="Times New Roman" w:cs="Times New Roman"/>
          <w:sz w:val="28"/>
          <w:szCs w:val="28"/>
        </w:rPr>
        <w:br/>
      </w:r>
      <w:r w:rsidR="00F372B6" w:rsidRPr="00F372B6">
        <w:rPr>
          <w:rFonts w:ascii="Times New Roman" w:eastAsia="Calibri" w:hAnsi="Times New Roman" w:cs="Times New Roman"/>
          <w:sz w:val="28"/>
          <w:szCs w:val="28"/>
        </w:rPr>
        <w:t>2017 року № 1471,</w:t>
      </w:r>
      <w:r w:rsidR="0079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Ліцензійних умов провадження господарської діяльності з розподілу електричної енергії, затверджених постановою НКРЕКП від 27 грудня 2017</w:t>
      </w:r>
      <w:r w:rsidR="00A413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року № 1470</w:t>
      </w:r>
      <w:r w:rsidR="00795486">
        <w:rPr>
          <w:rFonts w:ascii="Times New Roman" w:hAnsi="Times New Roman" w:cs="Times New Roman"/>
          <w:sz w:val="28"/>
          <w:szCs w:val="28"/>
        </w:rPr>
        <w:t xml:space="preserve">, </w:t>
      </w:r>
      <w:r w:rsidR="00F372B6" w:rsidRPr="00F372B6">
        <w:rPr>
          <w:rFonts w:ascii="Times New Roman" w:eastAsia="Calibri" w:hAnsi="Times New Roman" w:cs="Times New Roman"/>
          <w:sz w:val="28"/>
          <w:szCs w:val="28"/>
        </w:rPr>
        <w:t xml:space="preserve">Ліцензійних умов провадження господарської діяльності з виробництва електричної енергії, затверджених постановою НКРЕКП </w:t>
      </w:r>
      <w:r w:rsidR="009639D6">
        <w:rPr>
          <w:rFonts w:ascii="Times New Roman" w:eastAsia="Calibri" w:hAnsi="Times New Roman" w:cs="Times New Roman"/>
          <w:sz w:val="28"/>
          <w:szCs w:val="28"/>
        </w:rPr>
        <w:br/>
      </w:r>
      <w:r w:rsidR="00F372B6" w:rsidRPr="00F372B6">
        <w:rPr>
          <w:rFonts w:ascii="Times New Roman" w:eastAsia="Calibri" w:hAnsi="Times New Roman" w:cs="Times New Roman"/>
          <w:sz w:val="28"/>
          <w:szCs w:val="28"/>
        </w:rPr>
        <w:t>від 27 грудня 2017 року № 1467</w:t>
      </w:r>
      <w:r w:rsidR="00795486">
        <w:rPr>
          <w:rFonts w:ascii="Times New Roman" w:eastAsia="Calibri" w:hAnsi="Times New Roman" w:cs="Times New Roman"/>
          <w:sz w:val="28"/>
          <w:szCs w:val="28"/>
        </w:rPr>
        <w:t>,</w:t>
      </w:r>
      <w:r w:rsidR="00795486">
        <w:rPr>
          <w:rFonts w:ascii="Times New Roman" w:hAnsi="Times New Roman" w:cs="Times New Roman"/>
          <w:sz w:val="28"/>
          <w:szCs w:val="28"/>
        </w:rPr>
        <w:t xml:space="preserve"> </w:t>
      </w:r>
      <w:r w:rsidR="00F372B6" w:rsidRPr="009138A3">
        <w:rPr>
          <w:rFonts w:ascii="Times New Roman" w:hAnsi="Times New Roman" w:cs="Times New Roman"/>
          <w:sz w:val="28"/>
          <w:szCs w:val="28"/>
        </w:rPr>
        <w:t>Ліцензійних умов провадження господарської діяльності з постачання електричної енергії споживачу, затверджених постановою НКРЕКП від 27 грудня 2017 року № 1469</w:t>
      </w:r>
      <w:r w:rsidR="00795486">
        <w:rPr>
          <w:rFonts w:ascii="Times New Roman" w:hAnsi="Times New Roman" w:cs="Times New Roman"/>
          <w:sz w:val="28"/>
          <w:szCs w:val="28"/>
        </w:rPr>
        <w:t xml:space="preserve">, </w:t>
      </w:r>
      <w:r w:rsidR="004446FC" w:rsidRPr="004446FC">
        <w:rPr>
          <w:rFonts w:ascii="Times New Roman" w:eastAsia="Calibri" w:hAnsi="Times New Roman" w:cs="Times New Roman"/>
          <w:sz w:val="28"/>
          <w:szCs w:val="28"/>
        </w:rPr>
        <w:t>Ліцензійних умов провадження господарської діяльності з перепродажу електричної енергії (трейдерської діяльності),</w:t>
      </w:r>
      <w:r w:rsidR="00795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46FC" w:rsidRPr="004446FC">
        <w:rPr>
          <w:rFonts w:ascii="Times New Roman" w:eastAsia="Calibri" w:hAnsi="Times New Roman" w:cs="Times New Roman"/>
          <w:sz w:val="28"/>
          <w:szCs w:val="28"/>
        </w:rPr>
        <w:t>затверджених постановою НКРЕКП від 27 грудня 2017 року № 1468</w:t>
      </w:r>
      <w:r w:rsidR="00795486">
        <w:rPr>
          <w:rFonts w:ascii="Times New Roman" w:eastAsia="Calibri" w:hAnsi="Times New Roman" w:cs="Times New Roman"/>
          <w:sz w:val="28"/>
          <w:szCs w:val="28"/>
        </w:rPr>
        <w:t>,</w:t>
      </w:r>
      <w:r w:rsidR="00795486">
        <w:rPr>
          <w:rFonts w:ascii="Times New Roman" w:hAnsi="Times New Roman" w:cs="Times New Roman"/>
          <w:sz w:val="28"/>
          <w:szCs w:val="28"/>
        </w:rPr>
        <w:t xml:space="preserve"> </w:t>
      </w:r>
      <w:r w:rsidR="004446FC" w:rsidRPr="0036062E">
        <w:rPr>
          <w:rFonts w:ascii="Times New Roman" w:hAnsi="Times New Roman"/>
          <w:sz w:val="28"/>
          <w:szCs w:val="28"/>
        </w:rPr>
        <w:t>Ліцензійних умов провадження господарської діяльності зі зберігання енергії, затверджених постановою НКРЕКП від 22 липня 2022 року № 798</w:t>
      </w:r>
      <w:r w:rsidR="00795486">
        <w:rPr>
          <w:rFonts w:ascii="Times New Roman" w:hAnsi="Times New Roman"/>
          <w:sz w:val="28"/>
          <w:szCs w:val="28"/>
        </w:rPr>
        <w:t>,</w:t>
      </w:r>
      <w:r w:rsidR="00795486">
        <w:rPr>
          <w:rFonts w:ascii="Times New Roman" w:hAnsi="Times New Roman" w:cs="Times New Roman"/>
          <w:sz w:val="28"/>
          <w:szCs w:val="28"/>
        </w:rPr>
        <w:t xml:space="preserve"> Ліцензійних умов провадження господарської діяльності з розподілу електричної енергії малою системою розподілу, затверджених постановою НКРЕКП від 04 жовтня 2023 року № 1813, </w:t>
      </w:r>
      <w:r w:rsidR="004446FC" w:rsidRPr="004446FC">
        <w:rPr>
          <w:rFonts w:ascii="Times New Roman" w:eastAsia="Calibri" w:hAnsi="Times New Roman" w:cs="Times New Roman"/>
          <w:sz w:val="28"/>
          <w:szCs w:val="28"/>
        </w:rPr>
        <w:t>Ліцензійних умов провадження господарської діяльності з агрегації на ринку електричної енергії, затверджених постановою НКРЕКП від 18 жовтня 2023 року № 1909;</w:t>
      </w:r>
    </w:p>
    <w:p w:rsidR="00BA24A8" w:rsidRPr="00DD52C1" w:rsidRDefault="00BA24A8" w:rsidP="00DD52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>Міжнародних стандартів бухгалтерського обліку та Міжнародних стандартів фінансової звітності;</w:t>
      </w:r>
    </w:p>
    <w:p w:rsidR="00BA24A8" w:rsidRPr="005F05E3" w:rsidRDefault="00BA24A8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lastRenderedPageBreak/>
        <w:t xml:space="preserve">інших нормативно-правових актів, якими регулюється ліцензована </w:t>
      </w:r>
      <w:r w:rsidRPr="000A3447">
        <w:rPr>
          <w:rFonts w:ascii="Times New Roman" w:hAnsi="Times New Roman" w:cs="Times New Roman"/>
          <w:sz w:val="28"/>
          <w:szCs w:val="28"/>
        </w:rPr>
        <w:t xml:space="preserve">діяльність </w:t>
      </w:r>
      <w:r w:rsidR="006E4653" w:rsidRPr="000A3447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суб’єктів господарювання</w:t>
      </w:r>
      <w:r w:rsidR="000A3447" w:rsidRPr="000A344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A3447" w:rsidRPr="000A3447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0A3447" w:rsidRPr="005F05E3">
        <w:rPr>
          <w:rFonts w:ascii="Times New Roman" w:hAnsi="Times New Roman" w:cs="Times New Roman"/>
          <w:sz w:val="28"/>
          <w:szCs w:val="28"/>
          <w:shd w:val="clear" w:color="auto" w:fill="FFFFFF"/>
        </w:rPr>
        <w:t>що провадять діяльність у сферах енергетики та комунальних послуг</w:t>
      </w:r>
      <w:r w:rsidRPr="005F05E3">
        <w:rPr>
          <w:rFonts w:ascii="Times New Roman" w:hAnsi="Times New Roman" w:cs="Times New Roman"/>
          <w:sz w:val="28"/>
          <w:szCs w:val="28"/>
        </w:rPr>
        <w:t>.</w:t>
      </w:r>
    </w:p>
    <w:p w:rsidR="00DD52C1" w:rsidRDefault="00DD52C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C1D" w:rsidRPr="00EF7FFA" w:rsidRDefault="00804C1D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A8" w:rsidRDefault="00BA24A8" w:rsidP="00EF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 Порядок та термін надання інформації</w:t>
      </w:r>
    </w:p>
    <w:p w:rsidR="001F5D17" w:rsidRPr="00EF7FFA" w:rsidRDefault="001F5D17" w:rsidP="00EF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A24A8" w:rsidRDefault="003C3326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 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Звітним періодом є квартал.</w:t>
      </w:r>
    </w:p>
    <w:p w:rsidR="00DD52C1" w:rsidRPr="00EF7FFA" w:rsidRDefault="00DD52C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52C1" w:rsidRDefault="003C3326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2.2. 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Форма звітності </w:t>
      </w:r>
      <w:r w:rsidR="00BA24A8" w:rsidRPr="00EF7FFA">
        <w:rPr>
          <w:rFonts w:ascii="Times New Roman" w:hAnsi="Times New Roman" w:cs="Times New Roman"/>
          <w:sz w:val="28"/>
          <w:szCs w:val="28"/>
        </w:rPr>
        <w:t>№ 1</w:t>
      </w:r>
      <w:r w:rsidR="003D12D3">
        <w:rPr>
          <w:rFonts w:ascii="Times New Roman" w:hAnsi="Times New Roman" w:cs="Times New Roman"/>
          <w:sz w:val="28"/>
          <w:szCs w:val="28"/>
        </w:rPr>
        <w:t xml:space="preserve"> </w:t>
      </w:r>
      <w:r w:rsidR="009639D6" w:rsidRP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>подається</w:t>
      </w:r>
      <w:r w:rsidR="00BA24A8" w:rsidRP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D0912" w:rsidRP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r w:rsidR="00BA24A8" w:rsidRP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908D9" w:rsidRP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>28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числа місяця, наступного за звітним періодом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C3326" w:rsidRPr="00EF7FFA" w:rsidRDefault="003C3326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2.3.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№ 1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подається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НКРЕКП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виключно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в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електронній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файл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у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форматі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xls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»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«xlsx»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згідно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формою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розробленою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НКРЕКП):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1)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ліцензіатами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у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сфері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електроенергетики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через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автоматизований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модуль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збору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посиланням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hyperlink r:id="rId10" w:history="1">
        <w:r w:rsidRPr="00AC0C6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https://rpt.nerc.gov.ua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накладенням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кваліфікованого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підпису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керівника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власника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іншої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уповноваженої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особи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кваліфікованої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печатки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дотриманням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вимог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законів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України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документи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документообіг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»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довірчі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послуги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» у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форматі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підтримується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Центральним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засвідчувальним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органом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останній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день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припадає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неробочий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вихідний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святковий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день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останнім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днем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її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є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наступний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вихідним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святковим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робочий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день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вважається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поданою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вона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міститься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у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категорії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Отримані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»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автоматизованого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модуля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збору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дата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її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відображається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у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графі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Дата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».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У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випадку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містить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дані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конфіденційного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характеру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становлять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комерційну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таємницю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урахуванням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положень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законів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України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»,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доступ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публічної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»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інших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актів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законодавства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визначає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перелік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такої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умови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порядок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її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поширення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НКРЕКП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подає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його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супровідним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листом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адресу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hyperlink r:id="rId11" w:history="1">
        <w:r w:rsidRPr="00AC0C6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box@nerc.gov.ua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накладенням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кваліфікованого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підпису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керівника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власника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іншої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уповноваженої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особи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кваліфікованої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печатки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дотриманням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вимог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законів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України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документи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документообіг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»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довірчі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послуги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» у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форматі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підтримується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Центральним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засвідчувальним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органом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Обмеженню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доступу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підлягає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визначена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конфіденційна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а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не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у</w:t>
      </w:r>
      <w:proofErr w:type="gram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цілому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НКРЕКП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не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зобов’язана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вважати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дані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надані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ліцензіатом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такими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мають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конфіденційний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характер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становлять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комерційну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таємницю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не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зазначив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цього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 xml:space="preserve">2)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суб’єктами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господарювання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мають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право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провадження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господарської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діяльності 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виробництва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теплової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енергії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теплоцентралях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теплоелектростанціях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атомних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електростанціях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і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когенераційних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установках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адресу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: </w:t>
      </w:r>
      <w:hyperlink r:id="rId12" w:history="1">
        <w:r w:rsidRPr="00AC0C6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dohid@nerc.gov.ua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накладенням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кваліфікованого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підпису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керівника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власника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іншої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уповноваженої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особи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кваліфікованої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печатки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дотриманням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вимог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законів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України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документи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документообіг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»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довірчі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послуги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».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Датою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вважається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день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надходження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НКРЕКП.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останній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день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припадає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неробочий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вихідний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святковий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день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останнім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днем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її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є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наступний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вихідним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святковим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робочий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день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НКРЕКП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протягом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10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робочих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днів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надходження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№ 1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направляє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електронною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поштою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підтвердження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факту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надходження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із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зазначенням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дати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надходження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електронну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адресу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було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надіслано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зазначену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). У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разі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ненадходження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такого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підтвердження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вважається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не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одержана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НКРЕКП.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У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випадку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№ 1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містить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конфіденційну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становить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комерційну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таємницю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метою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забезпечення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НКРЕКП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захисту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такої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з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урахуванням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положень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законів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України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», «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доступ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публічної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інформації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»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інших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актів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законодавства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визначає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перелік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відомостей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становлять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конфіденційну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комерційну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таємницю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умови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порядок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їх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поширення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НКРЕКП і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подає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його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разом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із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формою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№ 1 (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супровідним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листом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).</w:t>
      </w:r>
    </w:p>
    <w:p w:rsidR="005146CB" w:rsidRPr="005146CB" w:rsidRDefault="005146CB" w:rsidP="005146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Обмеженню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доступу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підлягає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визначена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конфіденційна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інформація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становить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комерційну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таємницю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а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не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</w:p>
    <w:p w:rsidR="00D43E98" w:rsidRPr="00D43E98" w:rsidRDefault="005146CB" w:rsidP="005146CB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№ 1 у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цілому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НКРЕКП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не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зобов’язана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вважати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інформацію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надану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ліцензіатом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конфіденційною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або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комерційною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таємницею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якщо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ліцензіат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не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зазначив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цього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при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поданні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форми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звітності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№ 1 </w:t>
      </w:r>
      <w:proofErr w:type="spellStart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до</w:t>
      </w:r>
      <w:proofErr w:type="spellEnd"/>
      <w:r w:rsidRPr="005146C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НКРЕКП.</w:t>
      </w:r>
    </w:p>
    <w:p w:rsidR="00A704B5" w:rsidRPr="00D43E98" w:rsidRDefault="00A704B5" w:rsidP="00F7628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C0CC2" w:rsidRDefault="003C3326" w:rsidP="0001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>2.</w:t>
      </w:r>
      <w:r w:rsidR="00DD52C1">
        <w:rPr>
          <w:rFonts w:ascii="Times New Roman" w:hAnsi="Times New Roman" w:cs="Times New Roman"/>
          <w:sz w:val="28"/>
          <w:szCs w:val="28"/>
        </w:rPr>
        <w:t>4</w:t>
      </w:r>
      <w:r w:rsidRPr="00EF7FFA">
        <w:rPr>
          <w:rFonts w:ascii="Times New Roman" w:hAnsi="Times New Roman" w:cs="Times New Roman"/>
          <w:sz w:val="28"/>
          <w:szCs w:val="28"/>
        </w:rPr>
        <w:t>. Ліцензіат забезпечує достовірність інформації, зазначеної ним у формі звітності № 1.</w:t>
      </w:r>
    </w:p>
    <w:p w:rsidR="005F05E3" w:rsidRDefault="005F05E3" w:rsidP="0001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CC2" w:rsidRDefault="00FC0CC2" w:rsidP="005F05E3">
      <w:pPr>
        <w:pStyle w:val="rvps2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2.5. Показники форми звітності </w:t>
      </w:r>
      <w:r w:rsidRPr="00EF7FFA">
        <w:rPr>
          <w:sz w:val="28"/>
          <w:szCs w:val="28"/>
        </w:rPr>
        <w:t>№ 1</w:t>
      </w:r>
      <w:r>
        <w:rPr>
          <w:sz w:val="28"/>
          <w:szCs w:val="28"/>
        </w:rPr>
        <w:t xml:space="preserve"> мають ґрунтуватися на даних первинних документів</w:t>
      </w:r>
      <w:r w:rsidR="0057343E" w:rsidRPr="005F05E3">
        <w:rPr>
          <w:sz w:val="28"/>
          <w:szCs w:val="28"/>
        </w:rPr>
        <w:t>, що забезпечує можливість порівняння і контролю даних.</w:t>
      </w:r>
    </w:p>
    <w:p w:rsidR="005F05E3" w:rsidRPr="005F05E3" w:rsidRDefault="005F05E3" w:rsidP="005F05E3">
      <w:pPr>
        <w:pStyle w:val="rvps2"/>
        <w:spacing w:before="0" w:beforeAutospacing="0" w:after="0" w:afterAutospacing="0"/>
        <w:rPr>
          <w:sz w:val="28"/>
          <w:szCs w:val="28"/>
        </w:rPr>
      </w:pPr>
    </w:p>
    <w:p w:rsidR="00FC0CC2" w:rsidRDefault="00FC0CC2" w:rsidP="00FC0CC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Ліцензіат не має права вносити зміни до затвердженого бланка форми звітності.</w:t>
      </w:r>
    </w:p>
    <w:p w:rsidR="00FC0CC2" w:rsidRDefault="00FC0CC2" w:rsidP="00FC0CC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DBC" w:rsidRDefault="00FC0CC2" w:rsidP="00351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E63">
        <w:rPr>
          <w:rFonts w:ascii="Times New Roman" w:hAnsi="Times New Roman" w:cs="Times New Roman"/>
          <w:sz w:val="28"/>
          <w:szCs w:val="28"/>
        </w:rPr>
        <w:t xml:space="preserve">2.7. </w:t>
      </w:r>
      <w:r w:rsidR="004C4E63" w:rsidRPr="004C4E63">
        <w:rPr>
          <w:rFonts w:ascii="Times New Roman" w:hAnsi="Times New Roman" w:cs="Times New Roman"/>
          <w:sz w:val="28"/>
          <w:szCs w:val="28"/>
        </w:rPr>
        <w:t>Усі дані форми звітності № 1 мають бути наведені в тих одиницях виміру (три знаки після коми), які вказані в затвердженій формі звітності.</w:t>
      </w:r>
      <w:r w:rsidR="004C4E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E63" w:rsidRDefault="004C4E63" w:rsidP="00351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DBC" w:rsidRPr="00EF7FFA" w:rsidRDefault="00352DBC" w:rsidP="00352DB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разі наявності у суб’єкта господарювання декількох ліцензій на право провадження господарської діяльності на ринку електричної енергії,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ліцензіат заповн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ює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6062E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у</w:t>
      </w:r>
      <w:r w:rsidRPr="0036062E">
        <w:rPr>
          <w:rFonts w:ascii="Times New Roman" w:hAnsi="Times New Roman"/>
          <w:sz w:val="28"/>
          <w:szCs w:val="28"/>
        </w:rPr>
        <w:t xml:space="preserve"> звітності </w:t>
      </w:r>
      <w:r w:rsidRPr="00FC0CC2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EF7FFA">
        <w:rPr>
          <w:rFonts w:ascii="Times New Roman" w:hAnsi="Times New Roman" w:cs="Times New Roman"/>
          <w:sz w:val="28"/>
          <w:szCs w:val="28"/>
        </w:rPr>
        <w:t>1</w:t>
      </w:r>
      <w:r w:rsidRPr="003606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окремо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кожному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302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ліцензованої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діяльності.</w:t>
      </w:r>
    </w:p>
    <w:p w:rsidR="00FC0CC2" w:rsidRDefault="00FC0CC2" w:rsidP="003908D9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C0CC2" w:rsidRPr="00FC0CC2" w:rsidRDefault="00FC0CC2" w:rsidP="00FC0CC2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0CC2">
        <w:rPr>
          <w:rFonts w:ascii="Times New Roman" w:eastAsia="Calibri" w:hAnsi="Times New Roman" w:cs="Times New Roman"/>
          <w:sz w:val="28"/>
          <w:szCs w:val="28"/>
          <w:lang w:val="ru-RU"/>
        </w:rPr>
        <w:t>2.</w:t>
      </w:r>
      <w:r w:rsidR="003908D9">
        <w:rPr>
          <w:rFonts w:ascii="Times New Roman" w:eastAsia="Calibri" w:hAnsi="Times New Roman" w:cs="Times New Roman"/>
          <w:sz w:val="28"/>
          <w:szCs w:val="28"/>
        </w:rPr>
        <w:t>9</w:t>
      </w:r>
      <w:r w:rsidRPr="00FC0CC2">
        <w:rPr>
          <w:rFonts w:ascii="Times New Roman" w:eastAsia="Calibri" w:hAnsi="Times New Roman" w:cs="Times New Roman"/>
          <w:sz w:val="28"/>
          <w:szCs w:val="28"/>
        </w:rPr>
        <w:t xml:space="preserve">. У разі відсутності ліцензованої діяльності у звітному періоді ліцензіат надає форму звітності № </w:t>
      </w:r>
      <w:r w:rsidRPr="00EF7FFA">
        <w:rPr>
          <w:rFonts w:ascii="Times New Roman" w:hAnsi="Times New Roman" w:cs="Times New Roman"/>
          <w:sz w:val="28"/>
          <w:szCs w:val="28"/>
        </w:rPr>
        <w:t>1</w:t>
      </w:r>
      <w:r w:rsidRPr="00FC0CC2">
        <w:rPr>
          <w:rFonts w:ascii="Times New Roman" w:eastAsia="Calibri" w:hAnsi="Times New Roman" w:cs="Times New Roman"/>
          <w:sz w:val="28"/>
          <w:szCs w:val="28"/>
        </w:rPr>
        <w:t xml:space="preserve"> за встановленою формою, при цьому проставляє значення «0» у відповідних графах.</w:t>
      </w:r>
    </w:p>
    <w:p w:rsidR="00FC0CC2" w:rsidRDefault="00FC0CC2" w:rsidP="00FC0CC2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0CC2">
        <w:rPr>
          <w:rFonts w:ascii="Times New Roman" w:eastAsia="Calibri" w:hAnsi="Times New Roman" w:cs="Times New Roman"/>
          <w:sz w:val="28"/>
          <w:szCs w:val="28"/>
        </w:rPr>
        <w:t>У разі прийняття НКРЕКП рішення про зупинення дії ліцензії ліцензіат звільняється від обов’язку надавати звітність з наступного звітного періоду.</w:t>
      </w:r>
    </w:p>
    <w:p w:rsidR="003512F4" w:rsidRPr="00FC0CC2" w:rsidRDefault="003512F4" w:rsidP="00FC0CC2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46CB" w:rsidRPr="005146CB" w:rsidRDefault="005146CB" w:rsidP="005146CB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2.10.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разі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необхідності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коригування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даних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зазначених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поданій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ліцензіат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зобов'язаний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терміново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відкоригувати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її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направити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НКРЕКП.</w:t>
      </w:r>
    </w:p>
    <w:p w:rsidR="005146CB" w:rsidRPr="005146CB" w:rsidRDefault="005146CB" w:rsidP="005146CB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Ліцензіатами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сфері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електроенергетики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відкоригована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форма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направляється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електронній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(файл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форматі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xlsx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») через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автоматизований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модуль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збору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посиланням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hyperlink r:id="rId13" w:history="1">
        <w:r w:rsidRPr="00AC0C64">
          <w:rPr>
            <w:rStyle w:val="a3"/>
            <w:rFonts w:ascii="Times New Roman" w:eastAsia="Calibri" w:hAnsi="Times New Roman" w:cs="Times New Roman"/>
            <w:sz w:val="28"/>
            <w:szCs w:val="28"/>
            <w:lang w:val="ru-RU"/>
          </w:rPr>
          <w:t>https://rpt.nerc.gov.ua</w:t>
        </w:r>
      </w:hyperlink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bookmarkStart w:id="1" w:name="_GoBack"/>
      <w:bookmarkEnd w:id="1"/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згідно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формою,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була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чинною на момент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подання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першої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версії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полі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Текстовий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коментар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ліцензіата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картки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документа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ліцензіат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зазначає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причини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коригування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даних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5146CB" w:rsidRPr="005146CB" w:rsidRDefault="005146CB" w:rsidP="005146CB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разі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необхідності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коригування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даних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зазначених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поданій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періоди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запровадження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автоматизованого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модулю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збору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така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форма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подається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згідно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формою та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спосіб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був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визначений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момент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подання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першої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версії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даної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5146CB" w:rsidRPr="005146CB" w:rsidRDefault="005146CB" w:rsidP="005146CB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Суб’єктами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господарювання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мають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ліцензію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право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провадження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господарської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діяльності з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виробництва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теплової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енергії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теплоцентралях,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теплоелектростанціях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атомних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електростанціях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когенераційних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установках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відкоригована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форма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направляється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електронній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(файл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форматі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xlsx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») через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автоматизований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модуль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збору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згідно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формою,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була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чинною на момент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подання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першої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версії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5146CB" w:rsidRPr="005146CB" w:rsidRDefault="005146CB" w:rsidP="005146CB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разі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необхідності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коригування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даних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зазначених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поданій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періоди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запровадження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автоматизованого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модулю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збору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така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форма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подається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згідно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формою та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спосіб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був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визначений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момент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подання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першої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версії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даної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форми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3512F4" w:rsidRPr="003512F4" w:rsidRDefault="005146CB" w:rsidP="005146CB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Ліцензіат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листом з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накладенням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кваліфікованого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електронного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підпису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керівника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власника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ліцензіата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або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іншої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уповноваженої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особи) та/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або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кваліфікованої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електронної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печатки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надає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НКРЕКП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пояснення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зазначає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причини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коригування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даних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зазначених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поданій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формі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звітності</w:t>
      </w:r>
      <w:proofErr w:type="spellEnd"/>
      <w:r w:rsidRPr="005146CB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DD52C1" w:rsidRPr="00EF7FFA" w:rsidRDefault="00DD52C1" w:rsidP="003512F4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345BF" w:rsidRDefault="00E345BF" w:rsidP="00EF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3. </w:t>
      </w:r>
      <w:r w:rsidR="005645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Порядок</w:t>
      </w:r>
      <w:r w:rsidRPr="00EF7FF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заповнення форми звітності № 1</w:t>
      </w:r>
    </w:p>
    <w:p w:rsidR="003512F4" w:rsidRPr="00EF7FFA" w:rsidRDefault="003512F4" w:rsidP="00EF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474A1" w:rsidRDefault="00E345BF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3.1. </w:t>
      </w:r>
      <w:r w:rsidR="00A307EC" w:rsidRPr="0036062E">
        <w:rPr>
          <w:rFonts w:ascii="Times New Roman" w:hAnsi="Times New Roman"/>
          <w:sz w:val="28"/>
          <w:szCs w:val="28"/>
        </w:rPr>
        <w:t xml:space="preserve">У формі звітності </w:t>
      </w:r>
      <w:r w:rsidR="006E5F33" w:rsidRPr="00FC0CC2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6E5F33" w:rsidRPr="00EF7FFA">
        <w:rPr>
          <w:rFonts w:ascii="Times New Roman" w:hAnsi="Times New Roman" w:cs="Times New Roman"/>
          <w:sz w:val="28"/>
          <w:szCs w:val="28"/>
        </w:rPr>
        <w:t>1</w:t>
      </w:r>
      <w:r w:rsidR="00A307EC" w:rsidRPr="0036062E">
        <w:rPr>
          <w:rFonts w:ascii="Times New Roman" w:hAnsi="Times New Roman"/>
          <w:sz w:val="28"/>
          <w:szCs w:val="28"/>
        </w:rPr>
        <w:t xml:space="preserve"> </w:t>
      </w:r>
      <w:r w:rsidR="006E5F33" w:rsidRPr="006E5F33">
        <w:rPr>
          <w:rFonts w:ascii="Times New Roman" w:hAnsi="Times New Roman" w:cs="Times New Roman"/>
          <w:sz w:val="28"/>
          <w:szCs w:val="28"/>
        </w:rPr>
        <w:t xml:space="preserve">зазначається інформація </w:t>
      </w:r>
      <w:r w:rsidR="006E5F33">
        <w:rPr>
          <w:rFonts w:ascii="Times New Roman" w:hAnsi="Times New Roman" w:cs="Times New Roman"/>
          <w:sz w:val="28"/>
          <w:szCs w:val="28"/>
        </w:rPr>
        <w:t>про обсяг</w:t>
      </w:r>
      <w:r w:rsidR="006E5F33" w:rsidRPr="006E5F33">
        <w:rPr>
          <w:rFonts w:ascii="Times New Roman" w:hAnsi="Times New Roman" w:cs="Times New Roman"/>
          <w:sz w:val="28"/>
          <w:szCs w:val="28"/>
        </w:rPr>
        <w:t xml:space="preserve"> чистого доходу </w:t>
      </w:r>
      <w:r w:rsidR="0056457D">
        <w:rPr>
          <w:rFonts w:ascii="Times New Roman" w:hAnsi="Times New Roman" w:cs="Times New Roman"/>
          <w:sz w:val="28"/>
          <w:szCs w:val="28"/>
        </w:rPr>
        <w:t xml:space="preserve">ліцензіата </w:t>
      </w:r>
      <w:r w:rsidR="00B30226">
        <w:rPr>
          <w:rFonts w:ascii="Times New Roman" w:hAnsi="Times New Roman" w:cs="Times New Roman"/>
          <w:sz w:val="28"/>
          <w:szCs w:val="28"/>
        </w:rPr>
        <w:t>від</w:t>
      </w:r>
      <w:r w:rsidR="00CB1F3A">
        <w:rPr>
          <w:rFonts w:ascii="Times New Roman" w:hAnsi="Times New Roman" w:cs="Times New Roman"/>
          <w:sz w:val="28"/>
          <w:szCs w:val="28"/>
        </w:rPr>
        <w:t xml:space="preserve"> ліцензованої діяльності, що регулюється НКРЕКП</w:t>
      </w:r>
      <w:r w:rsidR="00B10F3D">
        <w:rPr>
          <w:rFonts w:ascii="Times New Roman" w:hAnsi="Times New Roman" w:cs="Times New Roman"/>
          <w:sz w:val="28"/>
          <w:szCs w:val="28"/>
        </w:rPr>
        <w:t>,</w:t>
      </w:r>
      <w:r w:rsidR="003B033E">
        <w:rPr>
          <w:rFonts w:ascii="Times New Roman" w:hAnsi="Times New Roman" w:cs="Times New Roman"/>
          <w:sz w:val="28"/>
          <w:szCs w:val="28"/>
        </w:rPr>
        <w:t xml:space="preserve"> за з</w:t>
      </w:r>
      <w:r w:rsidR="00B10F3D">
        <w:rPr>
          <w:rFonts w:ascii="Times New Roman" w:hAnsi="Times New Roman" w:cs="Times New Roman"/>
          <w:sz w:val="28"/>
          <w:szCs w:val="28"/>
        </w:rPr>
        <w:t>вітний період (графа 1) та з початку звітного року</w:t>
      </w:r>
      <w:r w:rsidR="002474A1">
        <w:rPr>
          <w:rFonts w:ascii="Times New Roman" w:hAnsi="Times New Roman" w:cs="Times New Roman"/>
          <w:sz w:val="28"/>
          <w:szCs w:val="28"/>
        </w:rPr>
        <w:t xml:space="preserve"> </w:t>
      </w:r>
      <w:r w:rsidR="00B10F3D">
        <w:rPr>
          <w:rFonts w:ascii="Times New Roman" w:hAnsi="Times New Roman" w:cs="Times New Roman"/>
          <w:sz w:val="28"/>
          <w:szCs w:val="28"/>
        </w:rPr>
        <w:t>(графа 2).</w:t>
      </w:r>
    </w:p>
    <w:p w:rsidR="00016583" w:rsidRDefault="00016583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E63">
        <w:rPr>
          <w:rFonts w:ascii="Times New Roman" w:hAnsi="Times New Roman" w:cs="Times New Roman"/>
          <w:sz w:val="28"/>
          <w:szCs w:val="28"/>
        </w:rPr>
        <w:t>Чистий дохід від ліцензованої</w:t>
      </w:r>
      <w:r w:rsidR="00C9692B" w:rsidRPr="004C4E63">
        <w:rPr>
          <w:rFonts w:ascii="Times New Roman" w:hAnsi="Times New Roman" w:cs="Times New Roman"/>
          <w:sz w:val="28"/>
          <w:szCs w:val="28"/>
        </w:rPr>
        <w:t xml:space="preserve"> діяльності</w:t>
      </w:r>
      <w:r w:rsidRPr="004C4E63">
        <w:rPr>
          <w:rFonts w:ascii="Times New Roman" w:hAnsi="Times New Roman" w:cs="Times New Roman"/>
          <w:sz w:val="28"/>
          <w:szCs w:val="28"/>
        </w:rPr>
        <w:t xml:space="preserve"> визначається шляхом вирахування з доходу від реалізації продукції, товарів, робіт, послуг (у тому числі платежів від оренди об’єктів інвестиційної нерухомості) наданих знижок, </w:t>
      </w:r>
      <w:r w:rsidRPr="004C4E63">
        <w:rPr>
          <w:rFonts w:ascii="Times New Roman" w:hAnsi="Times New Roman" w:cs="Times New Roman"/>
          <w:sz w:val="28"/>
          <w:szCs w:val="28"/>
        </w:rPr>
        <w:lastRenderedPageBreak/>
        <w:t>вартості повернутих раніше проданих товарів, доходів, що за договорами належать комітентам (принципалам тощо), та податків і зборів.</w:t>
      </w:r>
    </w:p>
    <w:p w:rsidR="004E745E" w:rsidRDefault="00FC2C94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У графах 1 та 2 відображається д</w:t>
      </w:r>
      <w:r w:rsidR="004E745E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ох</w:t>
      </w:r>
      <w:r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4E745E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0D71EA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</w:t>
      </w:r>
      <w:r w:rsidR="004E745E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реалізації товарів, виконаних робіт, наданих послуг</w:t>
      </w:r>
      <w:r w:rsidR="00682658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E745E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2658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у розрізі джерел такого доходу</w:t>
      </w:r>
      <w:r w:rsidR="00D348DE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5D78D9" w:rsidRDefault="005D78D9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48DE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з передачі електричної енергії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48DE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зі здійснення функцій оператора ринку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48DE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зі здійснення функцій гарантованого покупця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48DE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з розподілу електричної енергії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3DB7" w:rsidRPr="00352DBC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суб’єкта господарювання, що має ліцензію на право провадження господарської діяльності </w:t>
      </w:r>
      <w:r w:rsidRPr="00352DBC">
        <w:rPr>
          <w:rFonts w:ascii="Times New Roman" w:hAnsi="Times New Roman" w:cs="Times New Roman"/>
          <w:sz w:val="28"/>
          <w:szCs w:val="28"/>
        </w:rPr>
        <w:t>з постачання електричної енергії споживачу</w:t>
      </w:r>
      <w:r w:rsidR="00AC465F" w:rsidRPr="00352DBC">
        <w:rPr>
          <w:rFonts w:ascii="Times New Roman" w:hAnsi="Times New Roman" w:cs="Times New Roman"/>
          <w:sz w:val="28"/>
          <w:szCs w:val="28"/>
        </w:rPr>
        <w:t>.</w:t>
      </w:r>
    </w:p>
    <w:p w:rsidR="00114081" w:rsidRPr="00114081" w:rsidRDefault="00114081" w:rsidP="001140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Дохід </w:t>
      </w:r>
      <w:r w:rsidRPr="00B03DB7">
        <w:rPr>
          <w:rFonts w:ascii="Times New Roman" w:hAnsi="Times New Roman" w:cs="Times New Roman"/>
          <w:sz w:val="28"/>
          <w:szCs w:val="28"/>
        </w:rPr>
        <w:t>постачальник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3DB7">
        <w:rPr>
          <w:rFonts w:ascii="Times New Roman" w:hAnsi="Times New Roman" w:cs="Times New Roman"/>
          <w:sz w:val="28"/>
          <w:szCs w:val="28"/>
        </w:rPr>
        <w:t xml:space="preserve"> електричної енергії за вільними цінами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03DB7">
        <w:rPr>
          <w:rFonts w:ascii="Times New Roman" w:hAnsi="Times New Roman" w:cs="Times New Roman"/>
          <w:sz w:val="28"/>
          <w:szCs w:val="28"/>
        </w:rPr>
        <w:t>а ринку електричної енергії</w:t>
      </w:r>
      <w:r w:rsidR="005F05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включає, зокрема</w:t>
      </w:r>
      <w:r w:rsidR="0076319D">
        <w:rPr>
          <w:rFonts w:ascii="Times New Roman" w:hAnsi="Times New Roman" w:cs="Times New Roman"/>
          <w:sz w:val="28"/>
          <w:szCs w:val="28"/>
        </w:rPr>
        <w:t>,</w:t>
      </w:r>
      <w:r w:rsidR="00F65B0A">
        <w:rPr>
          <w:rFonts w:ascii="Times New Roman" w:hAnsi="Times New Roman" w:cs="Times New Roman"/>
          <w:sz w:val="28"/>
          <w:szCs w:val="28"/>
        </w:rPr>
        <w:t xml:space="preserve"> дохід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за договором постачання споживачу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на ринку «на добу наперед»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на  внутрішньодобовому ринку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за двосторонніми договорами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EAD">
        <w:rPr>
          <w:rFonts w:ascii="Times New Roman" w:hAnsi="Times New Roman" w:cs="Times New Roman"/>
          <w:sz w:val="28"/>
          <w:szCs w:val="28"/>
        </w:rPr>
        <w:br/>
      </w:r>
      <w:r w:rsidRPr="00B03DB7">
        <w:rPr>
          <w:rFonts w:ascii="Times New Roman" w:eastAsia="Times New Roman" w:hAnsi="Times New Roman" w:cs="Times New Roman"/>
          <w:sz w:val="28"/>
          <w:szCs w:val="28"/>
        </w:rPr>
        <w:t xml:space="preserve">від продажу небалансів на </w:t>
      </w:r>
      <w:r w:rsidRPr="004C4E63">
        <w:rPr>
          <w:rFonts w:ascii="Times New Roman" w:eastAsia="Times New Roman" w:hAnsi="Times New Roman" w:cs="Times New Roman"/>
          <w:sz w:val="28"/>
          <w:szCs w:val="28"/>
        </w:rPr>
        <w:t>балансуючому ринку,</w:t>
      </w:r>
      <w:r w:rsidRPr="004C4E63">
        <w:rPr>
          <w:rFonts w:ascii="Times New Roman" w:hAnsi="Times New Roman" w:cs="Times New Roman"/>
          <w:sz w:val="28"/>
          <w:szCs w:val="28"/>
        </w:rPr>
        <w:t xml:space="preserve"> </w:t>
      </w:r>
      <w:r w:rsidRPr="004C4E63">
        <w:rPr>
          <w:rFonts w:ascii="Times New Roman" w:eastAsia="Times New Roman" w:hAnsi="Times New Roman" w:cs="Times New Roman"/>
          <w:sz w:val="28"/>
          <w:szCs w:val="28"/>
        </w:rPr>
        <w:t>від продажу за договором зі стороною, відповідальною за баланс,</w:t>
      </w:r>
      <w:r w:rsidRPr="004C4E63">
        <w:rPr>
          <w:rFonts w:ascii="Times New Roman" w:hAnsi="Times New Roman" w:cs="Times New Roman"/>
          <w:sz w:val="28"/>
          <w:szCs w:val="28"/>
        </w:rPr>
        <w:t xml:space="preserve"> </w:t>
      </w:r>
      <w:r w:rsidRPr="004C4E63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470EAD" w:rsidRPr="004C4E63">
        <w:rPr>
          <w:rFonts w:ascii="Times New Roman" w:eastAsia="Times New Roman" w:hAnsi="Times New Roman" w:cs="Times New Roman"/>
          <w:sz w:val="28"/>
          <w:szCs w:val="28"/>
        </w:rPr>
        <w:t>адміністрування</w:t>
      </w:r>
      <w:r w:rsidRPr="004C4E63">
        <w:rPr>
          <w:rFonts w:ascii="Times New Roman" w:eastAsia="Times New Roman" w:hAnsi="Times New Roman" w:cs="Times New Roman"/>
          <w:sz w:val="28"/>
          <w:szCs w:val="28"/>
        </w:rPr>
        <w:t xml:space="preserve"> балансуючої групи</w:t>
      </w:r>
      <w:r w:rsidR="00C9692B" w:rsidRPr="004C4E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16583" w:rsidRPr="004C4E63">
        <w:rPr>
          <w:rFonts w:ascii="Times New Roman" w:eastAsia="Times New Roman" w:hAnsi="Times New Roman" w:cs="Times New Roman"/>
          <w:sz w:val="28"/>
          <w:szCs w:val="28"/>
        </w:rPr>
        <w:t xml:space="preserve"> від</w:t>
      </w:r>
      <w:r w:rsidR="00C9692B" w:rsidRPr="004C4E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6583" w:rsidRPr="004C4E63">
        <w:rPr>
          <w:rFonts w:ascii="Times New Roman" w:eastAsia="Times New Roman" w:hAnsi="Times New Roman" w:cs="Times New Roman"/>
          <w:sz w:val="28"/>
          <w:szCs w:val="28"/>
        </w:rPr>
        <w:t>продажу за договором з учасниками балансуючої групи</w:t>
      </w:r>
      <w:r w:rsidRPr="004C4E6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4E63">
        <w:rPr>
          <w:rFonts w:ascii="Times New Roman" w:hAnsi="Times New Roman" w:cs="Times New Roman"/>
          <w:sz w:val="28"/>
          <w:szCs w:val="28"/>
        </w:rPr>
        <w:t xml:space="preserve"> </w:t>
      </w:r>
      <w:r w:rsidRPr="004C4E63">
        <w:rPr>
          <w:rFonts w:ascii="Times New Roman" w:eastAsia="Times New Roman" w:hAnsi="Times New Roman" w:cs="Times New Roman"/>
          <w:sz w:val="28"/>
          <w:szCs w:val="28"/>
        </w:rPr>
        <w:t>від експорту електричної енергії,</w:t>
      </w:r>
      <w:r w:rsidRPr="004C4E63">
        <w:rPr>
          <w:rFonts w:ascii="Times New Roman" w:hAnsi="Times New Roman" w:cs="Times New Roman"/>
          <w:sz w:val="28"/>
          <w:szCs w:val="28"/>
        </w:rPr>
        <w:t xml:space="preserve"> </w:t>
      </w:r>
      <w:r w:rsidRPr="004C4E63">
        <w:rPr>
          <w:rFonts w:ascii="Times New Roman" w:eastAsia="Times New Roman" w:hAnsi="Times New Roman" w:cs="Times New Roman"/>
          <w:sz w:val="28"/>
          <w:szCs w:val="28"/>
        </w:rPr>
        <w:t>від продажу гарантій походження електричної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 xml:space="preserve"> енергії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тощо.</w:t>
      </w:r>
    </w:p>
    <w:p w:rsidR="00F65B0A" w:rsidRPr="00352DBC" w:rsidRDefault="00F65B0A" w:rsidP="00F65B0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Постачальники електричної енергії споживачу, які відповідно до вимог нормативно-правових актів виконують функції постачальника універсальних послуг та/або постачальника «останньої надії», </w:t>
      </w:r>
      <w:r w:rsidR="00F36CF9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зазначають у </w:t>
      </w: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форм</w:t>
      </w:r>
      <w:r w:rsidR="00F36CF9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звітності </w:t>
      </w: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№ 1 </w:t>
      </w:r>
      <w:r w:rsidR="00F36CF9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загальний обсяг чистого доходу </w:t>
      </w: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здійснення діяльності з постачання електричної енергії за вільними цінами </w:t>
      </w:r>
      <w:r w:rsidR="00F36CF9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</w:t>
      </w: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від здійснення діяльності з постачання універсальних послуг або діяльності з постачання електричної енергії постачальником «останньої надії»</w:t>
      </w:r>
      <w:r w:rsidR="00EA2563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A67308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</w:pPr>
    </w:p>
    <w:p w:rsidR="00EA2563" w:rsidRDefault="00D348DE" w:rsidP="00EA2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</w:t>
      </w:r>
      <w:r w:rsidRPr="00EF7FFA">
        <w:rPr>
          <w:rFonts w:ascii="Times New Roman" w:hAnsi="Times New Roman" w:cs="Times New Roman"/>
          <w:sz w:val="28"/>
          <w:szCs w:val="28"/>
        </w:rPr>
        <w:t>з перепродажу електричної енергії (трейдерська діяльність)</w:t>
      </w:r>
      <w:r w:rsidR="00E6216D">
        <w:rPr>
          <w:rFonts w:ascii="Times New Roman" w:hAnsi="Times New Roman" w:cs="Times New Roman"/>
          <w:sz w:val="28"/>
          <w:szCs w:val="28"/>
        </w:rPr>
        <w:t>.</w:t>
      </w:r>
    </w:p>
    <w:p w:rsidR="00EA2563" w:rsidRPr="00114081" w:rsidRDefault="00E6216D" w:rsidP="00EA2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Дохід </w:t>
      </w:r>
      <w:r w:rsidR="00316264">
        <w:rPr>
          <w:rFonts w:ascii="Times New Roman" w:hAnsi="Times New Roman" w:cs="Times New Roman"/>
          <w:sz w:val="28"/>
          <w:szCs w:val="28"/>
        </w:rPr>
        <w:t>трейдера</w:t>
      </w:r>
      <w:r w:rsidRPr="00B03D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03DB7">
        <w:rPr>
          <w:rFonts w:ascii="Times New Roman" w:hAnsi="Times New Roman" w:cs="Times New Roman"/>
          <w:sz w:val="28"/>
          <w:szCs w:val="28"/>
        </w:rPr>
        <w:t>а ринку електричної енергії</w:t>
      </w:r>
      <w:r>
        <w:rPr>
          <w:rFonts w:ascii="Times New Roman" w:hAnsi="Times New Roman" w:cs="Times New Roman"/>
          <w:sz w:val="28"/>
          <w:szCs w:val="28"/>
        </w:rPr>
        <w:t xml:space="preserve"> включає, зокрема дохід:</w:t>
      </w:r>
      <w:r w:rsidR="00316264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на ринку «на добу наперед»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на  внутрішньодобовому ринку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за двосторонніми договорами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небалансів на балансуючому ринку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за договором зі стороною, відповідальною за баланс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C9692B" w:rsidRPr="00C9692B">
        <w:rPr>
          <w:rFonts w:ascii="Times New Roman" w:eastAsia="Times New Roman" w:hAnsi="Times New Roman" w:cs="Times New Roman"/>
          <w:sz w:val="28"/>
          <w:szCs w:val="28"/>
        </w:rPr>
        <w:t xml:space="preserve">від адміністрування балансуючої групи, від продажу за договором з учасниками балансуючої групи,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експорту електричної енергії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гарантій походження електричної енергії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 xml:space="preserve"> тощо;</w:t>
      </w:r>
    </w:p>
    <w:p w:rsidR="00D348DE" w:rsidRDefault="00D348DE" w:rsidP="00D348DE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2563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</w:t>
      </w:r>
      <w:r w:rsidRPr="00EF7FFA">
        <w:rPr>
          <w:rFonts w:ascii="Times New Roman" w:hAnsi="Times New Roman" w:cs="Times New Roman"/>
          <w:sz w:val="28"/>
          <w:szCs w:val="28"/>
        </w:rPr>
        <w:t>з виробництва електричної енергії</w:t>
      </w:r>
      <w:r w:rsidR="00EA2563">
        <w:rPr>
          <w:rFonts w:ascii="Times New Roman" w:hAnsi="Times New Roman" w:cs="Times New Roman"/>
          <w:sz w:val="28"/>
          <w:szCs w:val="28"/>
        </w:rPr>
        <w:t>.</w:t>
      </w:r>
    </w:p>
    <w:p w:rsidR="00D348DE" w:rsidRDefault="00EA2563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Дохід виробника електричної енергії н</w:t>
      </w:r>
      <w:r w:rsidRPr="00B03DB7">
        <w:rPr>
          <w:rFonts w:ascii="Times New Roman" w:hAnsi="Times New Roman" w:cs="Times New Roman"/>
          <w:sz w:val="28"/>
          <w:szCs w:val="28"/>
        </w:rPr>
        <w:t>а ринку електричної енергії</w:t>
      </w:r>
      <w:r>
        <w:rPr>
          <w:rFonts w:ascii="Times New Roman" w:hAnsi="Times New Roman" w:cs="Times New Roman"/>
          <w:sz w:val="28"/>
          <w:szCs w:val="28"/>
        </w:rPr>
        <w:t xml:space="preserve"> включає, зокрема</w:t>
      </w:r>
      <w:r w:rsidR="003407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дохід: </w:t>
      </w:r>
      <w:r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на ринку «на добу наперед»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на  внутрішньодобовому ринку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за двосторонніми договорами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продажу Гарантованому покупцю за 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зеленим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тарифом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Гарантованому покупцю за аукціонною ціною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небалансів на балансуючому ринку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балансуючої енергії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електричної енергії за договором зі стороною, відповідальною за баланс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9692B" w:rsidRPr="00C9692B">
        <w:rPr>
          <w:rFonts w:ascii="Times New Roman" w:eastAsia="Times New Roman" w:hAnsi="Times New Roman" w:cs="Times New Roman"/>
          <w:sz w:val="28"/>
          <w:szCs w:val="28"/>
        </w:rPr>
        <w:t xml:space="preserve">від адміністрування балансуючої групи, від продажу за договором з учасниками балансуючої групи,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експорту електричної енергії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надання послуг із зменшення навантаження ВДЕ з підтримкою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надання допоміжних послуг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гарантій походження електричної енергії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за механізмом ринкової премії</w:t>
      </w:r>
      <w:r w:rsidR="00804C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1D48">
        <w:rPr>
          <w:rFonts w:ascii="Times New Roman" w:hAnsi="Times New Roman" w:cs="Times New Roman"/>
          <w:sz w:val="28"/>
          <w:szCs w:val="28"/>
          <w:shd w:val="clear" w:color="auto" w:fill="FFFFFF"/>
        </w:rPr>
        <w:t>тощо;</w:t>
      </w:r>
    </w:p>
    <w:p w:rsidR="00EA2563" w:rsidRDefault="00EA2563" w:rsidP="00D348DE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61D48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</w:t>
      </w:r>
      <w:r w:rsidRPr="00EF7FFA">
        <w:rPr>
          <w:rFonts w:ascii="Times New Roman" w:hAnsi="Times New Roman" w:cs="Times New Roman"/>
          <w:sz w:val="28"/>
          <w:szCs w:val="28"/>
        </w:rPr>
        <w:t>із зберігання енергії</w:t>
      </w:r>
      <w:r w:rsidR="00F61D48">
        <w:rPr>
          <w:rFonts w:ascii="Times New Roman" w:hAnsi="Times New Roman" w:cs="Times New Roman"/>
          <w:sz w:val="28"/>
          <w:szCs w:val="28"/>
        </w:rPr>
        <w:t>.</w:t>
      </w:r>
    </w:p>
    <w:p w:rsidR="00D348DE" w:rsidRPr="00F61D48" w:rsidRDefault="00F61D48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1D48">
        <w:rPr>
          <w:rFonts w:ascii="Times New Roman" w:hAnsi="Times New Roman" w:cs="Times New Roman"/>
          <w:sz w:val="28"/>
          <w:szCs w:val="28"/>
        </w:rPr>
        <w:t>Дохід оператора установок зберігання енергії на ринку електричної енергії включає, зокрема дохід: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продажу на ринку «на добу наперед», від продажу на  внутрішньодобовому ринку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продажу за двосторонніми договорами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79C">
        <w:rPr>
          <w:rFonts w:ascii="Times New Roman" w:eastAsia="Times New Roman" w:hAnsi="Times New Roman" w:cs="Times New Roman"/>
          <w:sz w:val="28"/>
          <w:szCs w:val="28"/>
        </w:rPr>
        <w:br/>
      </w:r>
      <w:r w:rsidRPr="00F61D48">
        <w:rPr>
          <w:rFonts w:ascii="Times New Roman" w:eastAsia="Times New Roman" w:hAnsi="Times New Roman" w:cs="Times New Roman"/>
          <w:sz w:val="28"/>
          <w:szCs w:val="28"/>
        </w:rPr>
        <w:t>від продажу небалансів на балансуючому ринку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продажу балансуючої енергії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продажу за договором зі стороною, відповідальною за баланс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79C">
        <w:rPr>
          <w:rFonts w:ascii="Times New Roman" w:eastAsia="Times New Roman" w:hAnsi="Times New Roman" w:cs="Times New Roman"/>
          <w:sz w:val="28"/>
          <w:szCs w:val="28"/>
        </w:rPr>
        <w:br/>
      </w:r>
      <w:r w:rsidR="00C9692B" w:rsidRPr="00C9692B">
        <w:rPr>
          <w:rFonts w:ascii="Times New Roman" w:eastAsia="Times New Roman" w:hAnsi="Times New Roman" w:cs="Times New Roman"/>
          <w:sz w:val="28"/>
          <w:szCs w:val="28"/>
        </w:rPr>
        <w:t xml:space="preserve">від адміністрування балансуючої групи, від продажу за договором з учасниками балансуючої групи, 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>від експорту електричної енергії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надання допоміжних послуг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продажу гарантій походження електричної енергії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за механізмом ринкової премії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тощо;</w:t>
      </w:r>
    </w:p>
    <w:p w:rsidR="00F61D48" w:rsidRDefault="00F61D48" w:rsidP="00F61D48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26EC0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з </w:t>
      </w:r>
      <w:r w:rsidRPr="00EF7FFA">
        <w:rPr>
          <w:rFonts w:ascii="Times New Roman" w:hAnsi="Times New Roman" w:cs="Times New Roman"/>
          <w:sz w:val="28"/>
          <w:szCs w:val="28"/>
        </w:rPr>
        <w:t>розподілу електричної енергії малими системами розподілу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4F04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</w:t>
      </w:r>
      <w:r w:rsidRPr="00EF7FFA">
        <w:rPr>
          <w:rFonts w:ascii="Times New Roman" w:hAnsi="Times New Roman" w:cs="Times New Roman"/>
          <w:sz w:val="28"/>
          <w:szCs w:val="28"/>
        </w:rPr>
        <w:t>з агрегації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348DE" w:rsidRDefault="00F61D48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1D48">
        <w:rPr>
          <w:rFonts w:ascii="Times New Roman" w:hAnsi="Times New Roman" w:cs="Times New Roman"/>
          <w:sz w:val="28"/>
          <w:szCs w:val="28"/>
        </w:rPr>
        <w:t xml:space="preserve">Дохід </w:t>
      </w:r>
      <w:r>
        <w:rPr>
          <w:rFonts w:ascii="Times New Roman" w:hAnsi="Times New Roman" w:cs="Times New Roman"/>
          <w:sz w:val="28"/>
          <w:szCs w:val="28"/>
        </w:rPr>
        <w:t>агрегатора</w:t>
      </w:r>
      <w:r w:rsidRPr="00F61D48">
        <w:rPr>
          <w:rFonts w:ascii="Times New Roman" w:hAnsi="Times New Roman" w:cs="Times New Roman"/>
          <w:sz w:val="28"/>
          <w:szCs w:val="28"/>
        </w:rPr>
        <w:t xml:space="preserve"> на ринку електричної енергії включає, зокрема дохід: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на ринку «на добу наперед»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на  внутрішньодобовому ринку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за двосторонніми договорами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небалансів на балансуючому ринку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балансуючої енергії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за договором зі стороною, відповідальною за баланс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692B" w:rsidRPr="00C9692B">
        <w:rPr>
          <w:rFonts w:ascii="Times New Roman" w:eastAsia="Times New Roman" w:hAnsi="Times New Roman" w:cs="Times New Roman"/>
          <w:sz w:val="28"/>
          <w:szCs w:val="28"/>
        </w:rPr>
        <w:t xml:space="preserve">від адміністрування балансуючої групи, від продажу за договором з учасниками балансуючої групи, 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від експорту електричної енергії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надання допоміжних послуг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гарантій походження електричної енергії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тощо;</w:t>
      </w:r>
    </w:p>
    <w:p w:rsidR="00084F04" w:rsidRDefault="00084F04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4F04" w:rsidRDefault="00084F04" w:rsidP="00084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11) </w:t>
      </w:r>
      <w:r w:rsidRPr="00084F04">
        <w:rPr>
          <w:rFonts w:ascii="Times New Roman" w:hAnsi="Times New Roman" w:cs="Times New Roman"/>
          <w:sz w:val="28"/>
          <w:szCs w:val="28"/>
        </w:rPr>
        <w:t>суб’єкта господарювання, що має ліцензію на право провадження господарської діяльності  з виробництва теплової енергії на теплоцентралях, теплоелектростанціях, атомних електростанціях і когенераційних установках.</w:t>
      </w:r>
    </w:p>
    <w:p w:rsidR="00164C6B" w:rsidRPr="005F05E3" w:rsidRDefault="00164C6B" w:rsidP="00A2680E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47122B" w:rsidRPr="0047122B" w:rsidRDefault="0047122B" w:rsidP="0047122B">
      <w:pPr>
        <w:spacing w:after="0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122B">
        <w:rPr>
          <w:rFonts w:ascii="Times New Roman" w:eastAsia="Calibri" w:hAnsi="Times New Roman" w:cs="Times New Roman"/>
          <w:b/>
          <w:sz w:val="28"/>
          <w:szCs w:val="28"/>
        </w:rPr>
        <w:t>4. Порядок формування назв</w:t>
      </w:r>
      <w:r w:rsidRPr="004712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</w:t>
      </w:r>
      <w:r w:rsidRPr="0047122B">
        <w:rPr>
          <w:rFonts w:ascii="Times New Roman" w:eastAsia="Calibri" w:hAnsi="Times New Roman" w:cs="Times New Roman"/>
          <w:b/>
          <w:sz w:val="28"/>
          <w:szCs w:val="28"/>
        </w:rPr>
        <w:t xml:space="preserve"> файлів </w:t>
      </w:r>
      <w:r w:rsidRPr="00262147">
        <w:rPr>
          <w:rFonts w:ascii="Times New Roman" w:eastAsia="Calibri" w:hAnsi="Times New Roman" w:cs="Times New Roman"/>
          <w:b/>
          <w:sz w:val="28"/>
          <w:szCs w:val="28"/>
        </w:rPr>
        <w:t>електрон</w:t>
      </w:r>
      <w:r w:rsidR="00262147" w:rsidRPr="00262147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Pr="00262147">
        <w:rPr>
          <w:rFonts w:ascii="Times New Roman" w:eastAsia="Calibri" w:hAnsi="Times New Roman" w:cs="Times New Roman"/>
          <w:b/>
          <w:sz w:val="28"/>
          <w:szCs w:val="28"/>
        </w:rPr>
        <w:t>их</w:t>
      </w:r>
      <w:r w:rsidRPr="0047122B">
        <w:rPr>
          <w:rFonts w:ascii="Times New Roman" w:eastAsia="Calibri" w:hAnsi="Times New Roman" w:cs="Times New Roman"/>
          <w:b/>
          <w:sz w:val="28"/>
          <w:szCs w:val="28"/>
        </w:rPr>
        <w:t xml:space="preserve"> форм звітності </w:t>
      </w:r>
    </w:p>
    <w:p w:rsidR="00FB5790" w:rsidRDefault="00FB5790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Електронний бланк форми звітності </w:t>
      </w:r>
      <w:r w:rsidR="005B3C96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№ 1-НКРЕКП-</w:t>
      </w:r>
      <w:r w:rsidR="009C2DF5" w:rsidRPr="00EF7FFA">
        <w:rPr>
          <w:rFonts w:ascii="Times New Roman" w:hAnsi="Times New Roman" w:cs="Times New Roman"/>
          <w:sz w:val="28"/>
          <w:szCs w:val="28"/>
        </w:rPr>
        <w:t>дох</w:t>
      </w:r>
      <w:r w:rsidR="009C2DF5">
        <w:rPr>
          <w:rFonts w:ascii="Times New Roman" w:hAnsi="Times New Roman" w:cs="Times New Roman"/>
          <w:sz w:val="28"/>
          <w:szCs w:val="28"/>
        </w:rPr>
        <w:t>і</w:t>
      </w:r>
      <w:r w:rsidR="009C2DF5" w:rsidRPr="00EF7FFA">
        <w:rPr>
          <w:rFonts w:ascii="Times New Roman" w:hAnsi="Times New Roman" w:cs="Times New Roman"/>
          <w:sz w:val="28"/>
          <w:szCs w:val="28"/>
        </w:rPr>
        <w:t>д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захищеним файлом у форматі «</w:t>
      </w:r>
      <w:proofErr w:type="spellStart"/>
      <w:r w:rsidRPr="0047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xls</w:t>
      </w:r>
      <w:proofErr w:type="spellEnd"/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або «</w:t>
      </w:r>
      <w:r w:rsidRPr="0047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xlsx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який розміщено на офіційному вебсайті НКРЕКП. </w:t>
      </w:r>
    </w:p>
    <w:p w:rsidR="004C4E63" w:rsidRPr="0047122B" w:rsidRDefault="004C4E63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22B" w:rsidRP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Формування назви файлу з формою звітності </w:t>
      </w:r>
      <w:r w:rsidR="00D30130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№ 1-НКРЕКП-</w:t>
      </w:r>
      <w:r w:rsidR="009C2DF5" w:rsidRPr="00EF7FFA">
        <w:rPr>
          <w:rFonts w:ascii="Times New Roman" w:hAnsi="Times New Roman" w:cs="Times New Roman"/>
          <w:sz w:val="28"/>
          <w:szCs w:val="28"/>
        </w:rPr>
        <w:t>дох</w:t>
      </w:r>
      <w:r w:rsidR="009C2DF5">
        <w:rPr>
          <w:rFonts w:ascii="Times New Roman" w:hAnsi="Times New Roman" w:cs="Times New Roman"/>
          <w:sz w:val="28"/>
          <w:szCs w:val="28"/>
        </w:rPr>
        <w:t>і</w:t>
      </w:r>
      <w:r w:rsidR="009C2DF5" w:rsidRPr="00EF7FFA">
        <w:rPr>
          <w:rFonts w:ascii="Times New Roman" w:hAnsi="Times New Roman" w:cs="Times New Roman"/>
          <w:sz w:val="28"/>
          <w:szCs w:val="28"/>
        </w:rPr>
        <w:t>д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здійснюється таким чином:</w:t>
      </w:r>
    </w:p>
    <w:p w:rsidR="0047122B" w:rsidRP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ХХХХХХХХ_</w:t>
      </w:r>
      <w:r w:rsidR="005D78D9" w:rsidRP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64C6B" w:rsidRP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bookmarkStart w:id="2" w:name="_Hlk158888799"/>
      <w:r w:rsidR="00820F7D" w:rsidRP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bookmarkEnd w:id="2"/>
      <w:r w:rsidR="00820F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r w:rsidR="00D3013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47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YY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«ХХХХХХХХ» – код ЄДРПОУ ліцензіата або «ХХХХХХХХХХ» – </w:t>
      </w:r>
      <w:r w:rsidRPr="004712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реєстраційний номер облікової картки платника податків 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фізичної особи – ліцензіата;</w:t>
      </w:r>
    </w:p>
    <w:p w:rsidR="00820F7D" w:rsidRPr="00BD632A" w:rsidRDefault="00820F7D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вид </w:t>
      </w:r>
      <w:r w:rsidR="009D547D" w:rsidRPr="00BD632A">
        <w:rPr>
          <w:rFonts w:ascii="Times New Roman" w:hAnsi="Times New Roman" w:cs="Times New Roman"/>
          <w:sz w:val="28"/>
          <w:szCs w:val="28"/>
          <w:shd w:val="clear" w:color="auto" w:fill="FFFFFF"/>
        </w:rPr>
        <w:t>ліцензованої діяльності</w:t>
      </w:r>
      <w:r w:rsidR="00BD632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D547D" w:rsidRPr="00BD63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r w:rsidRPr="00BD632A">
        <w:rPr>
          <w:rFonts w:ascii="Times New Roman" w:hAnsi="Times New Roman" w:cs="Times New Roman"/>
          <w:sz w:val="28"/>
          <w:szCs w:val="28"/>
          <w:shd w:val="clear" w:color="auto" w:fill="FFFFFF"/>
        </w:rPr>
        <w:t>разі наявності у суб’єкта господарювання декількох ліцензій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54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047D8" w:rsidRPr="00396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2A"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1BC" w:rsidRPr="003961B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виробництво електричної енергії,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2A"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постачання електричної енергії споживачу,</w:t>
      </w:r>
      <w:r w:rsid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 </w:t>
      </w:r>
      <w:r w:rsidR="00BD632A"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трейдерська діяльність, 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AG </w:t>
      </w:r>
      <w:r w:rsidR="00BD632A"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діяльність з агрегації, </w:t>
      </w:r>
      <w:r w:rsid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2A"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2A" w:rsidRPr="0036062E">
        <w:rPr>
          <w:rFonts w:ascii="Times New Roman" w:hAnsi="Times New Roman"/>
          <w:sz w:val="28"/>
          <w:szCs w:val="28"/>
        </w:rPr>
        <w:t>діяльн</w:t>
      </w:r>
      <w:r w:rsidR="00BD632A">
        <w:rPr>
          <w:rFonts w:ascii="Times New Roman" w:hAnsi="Times New Roman"/>
          <w:sz w:val="28"/>
          <w:szCs w:val="28"/>
        </w:rPr>
        <w:t>і</w:t>
      </w:r>
      <w:r w:rsidR="00BD632A" w:rsidRPr="0036062E">
        <w:rPr>
          <w:rFonts w:ascii="Times New Roman" w:hAnsi="Times New Roman"/>
          <w:sz w:val="28"/>
          <w:szCs w:val="28"/>
        </w:rPr>
        <w:t>ст</w:t>
      </w:r>
      <w:r w:rsidR="00BD632A">
        <w:rPr>
          <w:rFonts w:ascii="Times New Roman" w:hAnsi="Times New Roman"/>
          <w:sz w:val="28"/>
          <w:szCs w:val="28"/>
        </w:rPr>
        <w:t>ь</w:t>
      </w:r>
      <w:r w:rsidR="00BD632A" w:rsidRPr="0036062E">
        <w:rPr>
          <w:rFonts w:ascii="Times New Roman" w:hAnsi="Times New Roman"/>
          <w:sz w:val="28"/>
          <w:szCs w:val="28"/>
        </w:rPr>
        <w:t xml:space="preserve"> зі зберігання енергії</w:t>
      </w:r>
      <w:r w:rsidR="00BD632A">
        <w:rPr>
          <w:rFonts w:ascii="Times New Roman" w:hAnsi="Times New Roman"/>
          <w:sz w:val="28"/>
          <w:szCs w:val="28"/>
        </w:rPr>
        <w:t>);</w:t>
      </w:r>
    </w:p>
    <w:p w:rsidR="0047122B" w:rsidRP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013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звітний </w:t>
      </w:r>
      <w:r w:rsidR="00D30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який подається звіт;</w:t>
      </w:r>
    </w:p>
    <w:p w:rsidR="0047122B" w:rsidRP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7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YY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останні дві цифри звітного року.</w:t>
      </w:r>
    </w:p>
    <w:p w:rsidR="00804C1D" w:rsidRPr="0047122B" w:rsidRDefault="00804C1D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22B" w:rsidRPr="0047122B" w:rsidRDefault="0047122B" w:rsidP="004712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122B">
        <w:rPr>
          <w:rFonts w:ascii="Times New Roman" w:eastAsia="Calibri" w:hAnsi="Times New Roman" w:cs="Times New Roman"/>
          <w:sz w:val="28"/>
          <w:szCs w:val="28"/>
        </w:rPr>
        <w:t xml:space="preserve">4.3. У разі направлення скоригованої форми звітності, до назви файлу з формою звітності </w:t>
      </w:r>
      <w:r w:rsidR="00D30130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№ 1</w:t>
      </w:r>
      <w:r w:rsidRPr="0047122B">
        <w:rPr>
          <w:rFonts w:ascii="Times New Roman" w:eastAsia="Calibri" w:hAnsi="Times New Roman" w:cs="Times New Roman"/>
          <w:sz w:val="28"/>
          <w:szCs w:val="28"/>
        </w:rPr>
        <w:t xml:space="preserve"> додаються знаки та символи«_</w:t>
      </w:r>
      <w:proofErr w:type="spellStart"/>
      <w:r w:rsidRPr="0047122B">
        <w:rPr>
          <w:rFonts w:ascii="Times New Roman" w:eastAsia="Calibri" w:hAnsi="Times New Roman" w:cs="Times New Roman"/>
          <w:sz w:val="28"/>
          <w:szCs w:val="28"/>
        </w:rPr>
        <w:t>cor</w:t>
      </w:r>
      <w:proofErr w:type="spellEnd"/>
      <w:r w:rsidRPr="0047122B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47122B">
        <w:rPr>
          <w:rFonts w:ascii="Times New Roman" w:eastAsia="Calibri" w:hAnsi="Times New Roman" w:cs="Times New Roman"/>
          <w:sz w:val="28"/>
          <w:szCs w:val="28"/>
        </w:rPr>
        <w:t xml:space="preserve">», де </w:t>
      </w:r>
      <w:r w:rsidRPr="0047122B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47122B">
        <w:rPr>
          <w:rFonts w:ascii="Times New Roman" w:eastAsia="Calibri" w:hAnsi="Times New Roman" w:cs="Times New Roman"/>
          <w:sz w:val="28"/>
          <w:szCs w:val="28"/>
        </w:rPr>
        <w:t xml:space="preserve"> – порядковий номер подання відкоригованої</w:t>
      </w:r>
      <w:r w:rsidRPr="0047122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7122B">
        <w:rPr>
          <w:rFonts w:ascii="Times New Roman" w:eastAsia="Calibri" w:hAnsi="Times New Roman" w:cs="Times New Roman"/>
          <w:sz w:val="28"/>
          <w:szCs w:val="28"/>
        </w:rPr>
        <w:t xml:space="preserve">форми звітності до НКРЕКП. </w:t>
      </w:r>
    </w:p>
    <w:p w:rsidR="00FB5790" w:rsidRDefault="00FB5790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05E3" w:rsidRPr="00EF7FFA" w:rsidRDefault="005F05E3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05E3" w:rsidRPr="005F05E3" w:rsidRDefault="005F05E3" w:rsidP="005F05E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Департаменту </w:t>
      </w:r>
    </w:p>
    <w:p w:rsidR="005F05E3" w:rsidRPr="005F05E3" w:rsidRDefault="005F05E3" w:rsidP="005F05E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5E3">
        <w:rPr>
          <w:rFonts w:ascii="Times New Roman" w:eastAsia="Times New Roman" w:hAnsi="Times New Roman" w:cs="Times New Roman"/>
          <w:sz w:val="28"/>
          <w:szCs w:val="28"/>
          <w:lang w:eastAsia="ru-RU"/>
        </w:rPr>
        <w:t>ліцензійного контролю                                                                  Ярослав ЗЕЛЕНЮК</w:t>
      </w:r>
    </w:p>
    <w:p w:rsidR="00B47934" w:rsidRPr="00EF7FFA" w:rsidRDefault="00B47934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B47934" w:rsidRPr="00EF7FFA" w:rsidSect="00586E81">
      <w:headerReference w:type="default" r:id="rId14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E61" w:rsidRDefault="008F4E61" w:rsidP="00586E81">
      <w:pPr>
        <w:spacing w:after="0" w:line="240" w:lineRule="auto"/>
      </w:pPr>
      <w:r>
        <w:separator/>
      </w:r>
    </w:p>
  </w:endnote>
  <w:endnote w:type="continuationSeparator" w:id="0">
    <w:p w:rsidR="008F4E61" w:rsidRDefault="008F4E61" w:rsidP="00586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E61" w:rsidRDefault="008F4E61" w:rsidP="00586E81">
      <w:pPr>
        <w:spacing w:after="0" w:line="240" w:lineRule="auto"/>
      </w:pPr>
      <w:r>
        <w:separator/>
      </w:r>
    </w:p>
  </w:footnote>
  <w:footnote w:type="continuationSeparator" w:id="0">
    <w:p w:rsidR="008F4E61" w:rsidRDefault="008F4E61" w:rsidP="00586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114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86E81" w:rsidRPr="00586E81" w:rsidRDefault="00586E8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86E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6E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86E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55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86E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86E81" w:rsidRDefault="00586E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A1DC3"/>
    <w:multiLevelType w:val="multilevel"/>
    <w:tmpl w:val="D304B8A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FA0BCD"/>
    <w:multiLevelType w:val="multilevel"/>
    <w:tmpl w:val="B33A28E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CEE32B8"/>
    <w:multiLevelType w:val="multilevel"/>
    <w:tmpl w:val="FF9E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E834FC"/>
    <w:multiLevelType w:val="multilevel"/>
    <w:tmpl w:val="B276D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B124DB"/>
    <w:multiLevelType w:val="multilevel"/>
    <w:tmpl w:val="55D2DC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F2090F"/>
    <w:multiLevelType w:val="multilevel"/>
    <w:tmpl w:val="E826AE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5C7"/>
    <w:rsid w:val="0001166C"/>
    <w:rsid w:val="00016583"/>
    <w:rsid w:val="00026EC0"/>
    <w:rsid w:val="00084F04"/>
    <w:rsid w:val="000A3447"/>
    <w:rsid w:val="000B0659"/>
    <w:rsid w:val="000D71EA"/>
    <w:rsid w:val="000F5571"/>
    <w:rsid w:val="00113EDD"/>
    <w:rsid w:val="00114081"/>
    <w:rsid w:val="00164C6B"/>
    <w:rsid w:val="001B4E35"/>
    <w:rsid w:val="001F5D17"/>
    <w:rsid w:val="00232142"/>
    <w:rsid w:val="002474A1"/>
    <w:rsid w:val="00262147"/>
    <w:rsid w:val="00262894"/>
    <w:rsid w:val="002C2E1A"/>
    <w:rsid w:val="00316264"/>
    <w:rsid w:val="0034079C"/>
    <w:rsid w:val="003512F4"/>
    <w:rsid w:val="00352DBC"/>
    <w:rsid w:val="0036286F"/>
    <w:rsid w:val="00364C93"/>
    <w:rsid w:val="003908D9"/>
    <w:rsid w:val="003961BC"/>
    <w:rsid w:val="003B033E"/>
    <w:rsid w:val="003C3326"/>
    <w:rsid w:val="003C7299"/>
    <w:rsid w:val="003D12D3"/>
    <w:rsid w:val="003D282E"/>
    <w:rsid w:val="003D650A"/>
    <w:rsid w:val="0040045A"/>
    <w:rsid w:val="00401C74"/>
    <w:rsid w:val="004446FC"/>
    <w:rsid w:val="004515C7"/>
    <w:rsid w:val="00470EAD"/>
    <w:rsid w:val="0047122B"/>
    <w:rsid w:val="00486B18"/>
    <w:rsid w:val="00494A7F"/>
    <w:rsid w:val="004C4E63"/>
    <w:rsid w:val="004E745E"/>
    <w:rsid w:val="005146CB"/>
    <w:rsid w:val="0056457D"/>
    <w:rsid w:val="005647B2"/>
    <w:rsid w:val="0057343E"/>
    <w:rsid w:val="00586BAB"/>
    <w:rsid w:val="00586E81"/>
    <w:rsid w:val="00593209"/>
    <w:rsid w:val="005B3C96"/>
    <w:rsid w:val="005B4D5D"/>
    <w:rsid w:val="005D07A3"/>
    <w:rsid w:val="005D78D9"/>
    <w:rsid w:val="005F05E3"/>
    <w:rsid w:val="00660733"/>
    <w:rsid w:val="00682658"/>
    <w:rsid w:val="006D1160"/>
    <w:rsid w:val="006E4653"/>
    <w:rsid w:val="006E5F33"/>
    <w:rsid w:val="00724213"/>
    <w:rsid w:val="00732978"/>
    <w:rsid w:val="007371CD"/>
    <w:rsid w:val="0074055C"/>
    <w:rsid w:val="00753A31"/>
    <w:rsid w:val="0076319D"/>
    <w:rsid w:val="007804F8"/>
    <w:rsid w:val="007932EB"/>
    <w:rsid w:val="00795486"/>
    <w:rsid w:val="007A75ED"/>
    <w:rsid w:val="00804C1D"/>
    <w:rsid w:val="008102BF"/>
    <w:rsid w:val="00820F7D"/>
    <w:rsid w:val="00857D6A"/>
    <w:rsid w:val="00864B58"/>
    <w:rsid w:val="00893B22"/>
    <w:rsid w:val="008B79BD"/>
    <w:rsid w:val="008D0912"/>
    <w:rsid w:val="008F4E61"/>
    <w:rsid w:val="009300A4"/>
    <w:rsid w:val="009639D6"/>
    <w:rsid w:val="00963ACC"/>
    <w:rsid w:val="00964F1E"/>
    <w:rsid w:val="00971BFB"/>
    <w:rsid w:val="00992EB1"/>
    <w:rsid w:val="00995509"/>
    <w:rsid w:val="009C206A"/>
    <w:rsid w:val="009C2DF5"/>
    <w:rsid w:val="009D547D"/>
    <w:rsid w:val="009F1630"/>
    <w:rsid w:val="00A2680E"/>
    <w:rsid w:val="00A307EC"/>
    <w:rsid w:val="00A413F4"/>
    <w:rsid w:val="00A44EDE"/>
    <w:rsid w:val="00A64F0B"/>
    <w:rsid w:val="00A67308"/>
    <w:rsid w:val="00A704B5"/>
    <w:rsid w:val="00A9381A"/>
    <w:rsid w:val="00AC465F"/>
    <w:rsid w:val="00B03DB7"/>
    <w:rsid w:val="00B10F3D"/>
    <w:rsid w:val="00B30226"/>
    <w:rsid w:val="00B47934"/>
    <w:rsid w:val="00B85252"/>
    <w:rsid w:val="00B852EA"/>
    <w:rsid w:val="00BA16D7"/>
    <w:rsid w:val="00BA24A8"/>
    <w:rsid w:val="00BA4D80"/>
    <w:rsid w:val="00BD632A"/>
    <w:rsid w:val="00C64783"/>
    <w:rsid w:val="00C9692B"/>
    <w:rsid w:val="00CB1A91"/>
    <w:rsid w:val="00CB1F3A"/>
    <w:rsid w:val="00D1566C"/>
    <w:rsid w:val="00D30130"/>
    <w:rsid w:val="00D348DE"/>
    <w:rsid w:val="00D43E98"/>
    <w:rsid w:val="00D650E1"/>
    <w:rsid w:val="00DD52C1"/>
    <w:rsid w:val="00DD5DE1"/>
    <w:rsid w:val="00E1063D"/>
    <w:rsid w:val="00E13702"/>
    <w:rsid w:val="00E345BF"/>
    <w:rsid w:val="00E6216D"/>
    <w:rsid w:val="00E817A2"/>
    <w:rsid w:val="00E9561D"/>
    <w:rsid w:val="00EA2563"/>
    <w:rsid w:val="00EF7FFA"/>
    <w:rsid w:val="00F047D8"/>
    <w:rsid w:val="00F131CC"/>
    <w:rsid w:val="00F15620"/>
    <w:rsid w:val="00F1773C"/>
    <w:rsid w:val="00F239B6"/>
    <w:rsid w:val="00F36B1C"/>
    <w:rsid w:val="00F36CF9"/>
    <w:rsid w:val="00F372B6"/>
    <w:rsid w:val="00F46C28"/>
    <w:rsid w:val="00F61D48"/>
    <w:rsid w:val="00F65B0A"/>
    <w:rsid w:val="00F76280"/>
    <w:rsid w:val="00F828EE"/>
    <w:rsid w:val="00FB5790"/>
    <w:rsid w:val="00FC0CC2"/>
    <w:rsid w:val="00F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05EE6A"/>
  <w15:chartTrackingRefBased/>
  <w15:docId w15:val="{342A43D3-1235-477D-B94B-BCFA8949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24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24213"/>
  </w:style>
  <w:style w:type="character" w:styleId="a3">
    <w:name w:val="Hyperlink"/>
    <w:basedOn w:val="a0"/>
    <w:uiPriority w:val="99"/>
    <w:unhideWhenUsed/>
    <w:rsid w:val="00724213"/>
    <w:rPr>
      <w:color w:val="0000FF"/>
      <w:u w:val="single"/>
    </w:rPr>
  </w:style>
  <w:style w:type="paragraph" w:customStyle="1" w:styleId="rvps2">
    <w:name w:val="rvps2"/>
    <w:basedOn w:val="a"/>
    <w:uiPriority w:val="99"/>
    <w:rsid w:val="00724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724213"/>
  </w:style>
  <w:style w:type="character" w:customStyle="1" w:styleId="rvts23">
    <w:name w:val="rvts23"/>
    <w:rsid w:val="00BA24A8"/>
  </w:style>
  <w:style w:type="character" w:customStyle="1" w:styleId="fontstyle01">
    <w:name w:val="fontstyle01"/>
    <w:rsid w:val="00BA24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List Paragraph"/>
    <w:basedOn w:val="a"/>
    <w:link w:val="a5"/>
    <w:uiPriority w:val="34"/>
    <w:qFormat/>
    <w:rsid w:val="003C332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link w:val="a4"/>
    <w:uiPriority w:val="34"/>
    <w:locked/>
    <w:rsid w:val="003C33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E345BF"/>
  </w:style>
  <w:style w:type="paragraph" w:styleId="a6">
    <w:name w:val="Normal (Web)"/>
    <w:basedOn w:val="a"/>
    <w:semiHidden/>
    <w:unhideWhenUsed/>
    <w:rsid w:val="00586E8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586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86E81"/>
  </w:style>
  <w:style w:type="paragraph" w:styleId="a9">
    <w:name w:val="footer"/>
    <w:basedOn w:val="a"/>
    <w:link w:val="aa"/>
    <w:uiPriority w:val="99"/>
    <w:unhideWhenUsed/>
    <w:rsid w:val="00586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86E81"/>
  </w:style>
  <w:style w:type="table" w:styleId="ab">
    <w:name w:val="Table Grid"/>
    <w:basedOn w:val="a1"/>
    <w:uiPriority w:val="39"/>
    <w:rsid w:val="00364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32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232142"/>
    <w:rPr>
      <w:rFonts w:ascii="Segoe UI" w:hAnsi="Segoe UI" w:cs="Segoe UI"/>
      <w:sz w:val="18"/>
      <w:szCs w:val="18"/>
    </w:rPr>
  </w:style>
  <w:style w:type="character" w:customStyle="1" w:styleId="rvts9">
    <w:name w:val="rvts9"/>
    <w:rsid w:val="00D43E98"/>
  </w:style>
  <w:style w:type="character" w:styleId="ae">
    <w:name w:val="Unresolved Mention"/>
    <w:basedOn w:val="a0"/>
    <w:uiPriority w:val="99"/>
    <w:semiHidden/>
    <w:unhideWhenUsed/>
    <w:rsid w:val="00514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57-12" TargetMode="External"/><Relationship Id="rId13" Type="http://schemas.openxmlformats.org/officeDocument/2006/relationships/hyperlink" Target="https://rpt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ohid@nerc.gov.u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ox@nerc.gov.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pt.nerc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939-1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5510D-AF4E-4C2A-A161-5FA04BA10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8</Pages>
  <Words>12215</Words>
  <Characters>6964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Марина Мілова</cp:lastModifiedBy>
  <cp:revision>32</cp:revision>
  <cp:lastPrinted>2024-01-16T09:55:00Z</cp:lastPrinted>
  <dcterms:created xsi:type="dcterms:W3CDTF">2024-01-15T11:58:00Z</dcterms:created>
  <dcterms:modified xsi:type="dcterms:W3CDTF">2025-07-07T09:17:00Z</dcterms:modified>
</cp:coreProperties>
</file>