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B8FF2" w14:textId="77777777" w:rsidR="00E25E66" w:rsidRPr="00EA3697" w:rsidRDefault="00E25E66" w:rsidP="00D9663F">
      <w:pPr>
        <w:tabs>
          <w:tab w:val="left" w:pos="1134"/>
        </w:tabs>
        <w:jc w:val="center"/>
        <w:rPr>
          <w:rFonts w:asciiTheme="minorHAnsi" w:hAnsiTheme="minorHAnsi" w:cstheme="minorHAnsi"/>
          <w:b/>
          <w:szCs w:val="28"/>
          <w:lang w:val="uk-UA"/>
        </w:rPr>
      </w:pPr>
      <w:r w:rsidRPr="00EA3697">
        <w:rPr>
          <w:rFonts w:asciiTheme="minorHAnsi" w:hAnsiTheme="minorHAnsi" w:cstheme="minorHAnsi"/>
          <w:b/>
          <w:szCs w:val="28"/>
          <w:lang w:val="uk-UA"/>
        </w:rPr>
        <w:t>Ринок природного газу</w:t>
      </w:r>
    </w:p>
    <w:p w14:paraId="636E19BE" w14:textId="77777777" w:rsidR="00E25E66" w:rsidRPr="00EA3697" w:rsidRDefault="00E25E66" w:rsidP="005C14E7">
      <w:pPr>
        <w:tabs>
          <w:tab w:val="left" w:pos="1134"/>
        </w:tabs>
        <w:jc w:val="both"/>
        <w:rPr>
          <w:rFonts w:asciiTheme="minorHAnsi" w:hAnsiTheme="minorHAnsi" w:cstheme="minorHAnsi"/>
          <w:szCs w:val="28"/>
          <w:lang w:val="uk-UA"/>
        </w:rPr>
      </w:pPr>
    </w:p>
    <w:p w14:paraId="11DE7E45" w14:textId="77777777" w:rsidR="00E25E66" w:rsidRPr="00EA3697" w:rsidRDefault="00E25E66" w:rsidP="005C14E7">
      <w:pPr>
        <w:tabs>
          <w:tab w:val="left" w:pos="1134"/>
        </w:tabs>
        <w:jc w:val="both"/>
        <w:rPr>
          <w:rFonts w:asciiTheme="minorHAnsi" w:hAnsiTheme="minorHAnsi" w:cstheme="minorHAnsi"/>
          <w:szCs w:val="28"/>
          <w:lang w:val="uk-UA"/>
        </w:rPr>
      </w:pPr>
    </w:p>
    <w:p w14:paraId="1F9ED44A" w14:textId="460F9ECE" w:rsidR="00E41345" w:rsidRPr="00EA3697" w:rsidRDefault="00E41345" w:rsidP="00D9663F">
      <w:pPr>
        <w:tabs>
          <w:tab w:val="left" w:pos="1134"/>
        </w:tabs>
        <w:jc w:val="center"/>
        <w:rPr>
          <w:rFonts w:asciiTheme="minorHAnsi" w:hAnsiTheme="minorHAnsi" w:cstheme="minorHAnsi"/>
          <w:szCs w:val="28"/>
          <w:lang w:val="uk-UA"/>
        </w:rPr>
      </w:pPr>
      <w:r w:rsidRPr="00EA3697">
        <w:rPr>
          <w:rFonts w:asciiTheme="minorHAnsi" w:hAnsiTheme="minorHAnsi" w:cstheme="minorHAnsi"/>
          <w:szCs w:val="28"/>
          <w:lang w:val="uk-UA"/>
        </w:rPr>
        <w:t xml:space="preserve">Період агрегації за </w:t>
      </w:r>
      <w:r w:rsidRPr="00D9663F">
        <w:rPr>
          <w:rFonts w:asciiTheme="minorHAnsi" w:hAnsiTheme="minorHAnsi" w:cstheme="minorHAnsi"/>
          <w:szCs w:val="28"/>
          <w:lang w:val="uk-UA"/>
        </w:rPr>
        <w:t>____</w:t>
      </w:r>
      <w:r w:rsidR="0001212F" w:rsidRPr="00D9663F">
        <w:rPr>
          <w:rFonts w:asciiTheme="minorHAnsi" w:hAnsiTheme="minorHAnsi" w:cstheme="minorHAnsi"/>
          <w:szCs w:val="28"/>
          <w:u w:val="single"/>
          <w:lang w:val="uk-UA"/>
        </w:rPr>
        <w:t>І</w:t>
      </w:r>
      <w:r w:rsidR="009900DD">
        <w:rPr>
          <w:rFonts w:asciiTheme="minorHAnsi" w:hAnsiTheme="minorHAnsi" w:cstheme="minorHAnsi"/>
          <w:szCs w:val="28"/>
          <w:u w:val="single"/>
          <w:lang w:val="uk-UA"/>
        </w:rPr>
        <w:t>І</w:t>
      </w:r>
      <w:r w:rsidRPr="00D9663F">
        <w:rPr>
          <w:rFonts w:asciiTheme="minorHAnsi" w:hAnsiTheme="minorHAnsi" w:cstheme="minorHAnsi"/>
          <w:szCs w:val="28"/>
          <w:lang w:val="uk-UA"/>
        </w:rPr>
        <w:t>____</w:t>
      </w:r>
      <w:r w:rsidRPr="00EA3697">
        <w:rPr>
          <w:rFonts w:asciiTheme="minorHAnsi" w:hAnsiTheme="minorHAnsi" w:cstheme="minorHAnsi"/>
          <w:szCs w:val="28"/>
          <w:lang w:val="uk-UA"/>
        </w:rPr>
        <w:t xml:space="preserve"> декаду </w:t>
      </w:r>
      <w:r w:rsidR="00B6660D">
        <w:rPr>
          <w:rFonts w:asciiTheme="minorHAnsi" w:hAnsiTheme="minorHAnsi" w:cstheme="minorHAnsi"/>
          <w:szCs w:val="28"/>
          <w:u w:val="single"/>
          <w:lang w:val="uk-UA"/>
        </w:rPr>
        <w:t>листопада</w:t>
      </w:r>
      <w:r w:rsidR="00D605A0">
        <w:rPr>
          <w:rFonts w:asciiTheme="minorHAnsi" w:hAnsiTheme="minorHAnsi" w:cstheme="minorHAnsi"/>
          <w:szCs w:val="28"/>
          <w:u w:val="single"/>
          <w:lang w:val="uk-UA"/>
        </w:rPr>
        <w:t xml:space="preserve"> </w:t>
      </w:r>
      <w:r w:rsidRPr="00EA3697">
        <w:rPr>
          <w:rFonts w:asciiTheme="minorHAnsi" w:hAnsiTheme="minorHAnsi" w:cstheme="minorHAnsi"/>
          <w:szCs w:val="28"/>
          <w:lang w:val="uk-UA"/>
        </w:rPr>
        <w:t>202</w:t>
      </w:r>
      <w:r w:rsidR="00351C72">
        <w:rPr>
          <w:rFonts w:asciiTheme="minorHAnsi" w:hAnsiTheme="minorHAnsi" w:cstheme="minorHAnsi"/>
          <w:szCs w:val="28"/>
          <w:lang w:val="uk-UA"/>
        </w:rPr>
        <w:t>5</w:t>
      </w:r>
      <w:r w:rsidR="00B65504">
        <w:rPr>
          <w:rFonts w:asciiTheme="minorHAnsi" w:hAnsiTheme="minorHAnsi" w:cstheme="minorHAnsi"/>
          <w:szCs w:val="28"/>
          <w:lang w:val="uk-UA"/>
        </w:rPr>
        <w:t xml:space="preserve"> </w:t>
      </w:r>
      <w:r w:rsidRPr="00EA3697">
        <w:rPr>
          <w:rFonts w:asciiTheme="minorHAnsi" w:hAnsiTheme="minorHAnsi" w:cstheme="minorHAnsi"/>
          <w:szCs w:val="28"/>
          <w:lang w:val="uk-UA"/>
        </w:rPr>
        <w:t>року</w:t>
      </w:r>
      <w:r w:rsidR="004A16D7">
        <w:rPr>
          <w:rFonts w:asciiTheme="minorHAnsi" w:hAnsiTheme="minorHAnsi" w:cstheme="minorHAnsi"/>
          <w:szCs w:val="28"/>
          <w:lang w:val="uk-UA"/>
        </w:rPr>
        <w:t>*</w:t>
      </w:r>
    </w:p>
    <w:p w14:paraId="2B42EFB4" w14:textId="77777777" w:rsidR="00E41345" w:rsidRPr="00D9663F" w:rsidRDefault="00D9663F" w:rsidP="00D9663F">
      <w:pPr>
        <w:tabs>
          <w:tab w:val="left" w:pos="1134"/>
        </w:tabs>
        <w:jc w:val="center"/>
        <w:rPr>
          <w:rFonts w:asciiTheme="minorHAnsi" w:hAnsiTheme="minorHAnsi" w:cstheme="minorHAnsi"/>
          <w:sz w:val="24"/>
          <w:szCs w:val="24"/>
          <w:vertAlign w:val="superscript"/>
          <w:lang w:val="uk-UA"/>
        </w:rPr>
      </w:pPr>
      <w:r>
        <w:rPr>
          <w:rFonts w:asciiTheme="minorHAnsi" w:hAnsiTheme="minorHAnsi" w:cstheme="minorHAnsi"/>
          <w:sz w:val="24"/>
          <w:szCs w:val="24"/>
          <w:vertAlign w:val="superscript"/>
          <w:lang w:val="uk-UA"/>
        </w:rPr>
        <w:t xml:space="preserve">                                      </w:t>
      </w:r>
      <w:r w:rsidR="00E41345" w:rsidRPr="00EA3697">
        <w:rPr>
          <w:rFonts w:asciiTheme="minorHAnsi" w:hAnsiTheme="minorHAnsi" w:cstheme="minorHAnsi"/>
          <w:sz w:val="24"/>
          <w:szCs w:val="24"/>
          <w:vertAlign w:val="superscript"/>
          <w:lang w:val="uk-UA"/>
        </w:rPr>
        <w:t>(номер декади)</w:t>
      </w:r>
      <w:r w:rsidR="00E41345" w:rsidRPr="00EA3697">
        <w:rPr>
          <w:rFonts w:asciiTheme="minorHAnsi" w:hAnsiTheme="minorHAnsi" w:cstheme="minorHAnsi"/>
          <w:sz w:val="24"/>
          <w:szCs w:val="24"/>
          <w:vertAlign w:val="superscript"/>
          <w:lang w:val="uk-UA"/>
        </w:rPr>
        <w:tab/>
        <w:t xml:space="preserve">       (місяць декади)</w:t>
      </w:r>
    </w:p>
    <w:p w14:paraId="41F2978B" w14:textId="03209DDB" w:rsidR="00E41345" w:rsidRPr="00FA0556" w:rsidRDefault="00E41345" w:rsidP="00D9663F">
      <w:pPr>
        <w:tabs>
          <w:tab w:val="left" w:pos="1134"/>
        </w:tabs>
        <w:jc w:val="center"/>
        <w:rPr>
          <w:rFonts w:asciiTheme="minorHAnsi" w:hAnsiTheme="minorHAnsi" w:cstheme="minorHAnsi"/>
          <w:szCs w:val="28"/>
          <w:lang w:val="en-US"/>
        </w:rPr>
      </w:pPr>
      <w:r w:rsidRPr="00EA3697">
        <w:rPr>
          <w:rFonts w:asciiTheme="minorHAnsi" w:hAnsiTheme="minorHAnsi" w:cstheme="minorHAnsi"/>
          <w:szCs w:val="28"/>
          <w:lang w:val="uk-UA"/>
        </w:rPr>
        <w:t xml:space="preserve">Кількість </w:t>
      </w:r>
      <w:r w:rsidR="003740DB" w:rsidRPr="00EA3697">
        <w:rPr>
          <w:rFonts w:asciiTheme="minorHAnsi" w:hAnsiTheme="minorHAnsi" w:cstheme="minorHAnsi"/>
          <w:szCs w:val="28"/>
          <w:lang w:val="uk-UA"/>
        </w:rPr>
        <w:t>розміщених</w:t>
      </w:r>
      <w:r w:rsidRPr="00EA3697">
        <w:rPr>
          <w:rFonts w:asciiTheme="minorHAnsi" w:hAnsiTheme="minorHAnsi" w:cstheme="minorHAnsi"/>
          <w:szCs w:val="28"/>
          <w:lang w:val="uk-UA"/>
        </w:rPr>
        <w:t xml:space="preserve"> термінових ринкових повідомлень</w:t>
      </w:r>
      <w:r w:rsidR="00E744B1">
        <w:rPr>
          <w:rFonts w:asciiTheme="minorHAnsi" w:hAnsiTheme="minorHAnsi" w:cstheme="minorHAnsi"/>
          <w:szCs w:val="28"/>
          <w:lang w:val="uk-UA"/>
        </w:rPr>
        <w:t>:</w:t>
      </w:r>
      <w:r w:rsidRPr="00EA3697">
        <w:rPr>
          <w:rFonts w:asciiTheme="minorHAnsi" w:hAnsiTheme="minorHAnsi" w:cstheme="minorHAnsi"/>
          <w:szCs w:val="28"/>
          <w:lang w:val="uk-UA"/>
        </w:rPr>
        <w:t xml:space="preserve"> </w:t>
      </w:r>
      <w:r w:rsidR="009900DD">
        <w:rPr>
          <w:rFonts w:asciiTheme="minorHAnsi" w:hAnsiTheme="minorHAnsi" w:cstheme="minorHAnsi"/>
          <w:szCs w:val="28"/>
          <w:u w:val="single"/>
          <w:lang w:val="uk-UA"/>
        </w:rPr>
        <w:t>2</w:t>
      </w:r>
      <w:r w:rsidR="008E5425">
        <w:rPr>
          <w:rFonts w:asciiTheme="minorHAnsi" w:hAnsiTheme="minorHAnsi" w:cstheme="minorHAnsi"/>
          <w:szCs w:val="28"/>
          <w:u w:val="single"/>
          <w:lang w:val="uk-UA"/>
        </w:rPr>
        <w:t>5</w:t>
      </w:r>
      <w:r w:rsidR="000500E5">
        <w:rPr>
          <w:rFonts w:asciiTheme="minorHAnsi" w:hAnsiTheme="minorHAnsi" w:cstheme="minorHAnsi"/>
          <w:szCs w:val="28"/>
          <w:lang w:val="uk-UA"/>
        </w:rPr>
        <w:t xml:space="preserve"> </w:t>
      </w:r>
      <w:r w:rsidRPr="00EA3697">
        <w:rPr>
          <w:rFonts w:asciiTheme="minorHAnsi" w:hAnsiTheme="minorHAnsi" w:cstheme="minorHAnsi"/>
          <w:szCs w:val="28"/>
          <w:lang w:val="uk-UA"/>
        </w:rPr>
        <w:t>од</w:t>
      </w:r>
      <w:r w:rsidR="00B10769">
        <w:rPr>
          <w:rFonts w:asciiTheme="minorHAnsi" w:hAnsiTheme="minorHAnsi" w:cstheme="minorHAnsi"/>
          <w:szCs w:val="28"/>
          <w:lang w:val="uk-UA"/>
        </w:rPr>
        <w:t>.</w:t>
      </w:r>
      <w:r w:rsidR="00FA0556">
        <w:rPr>
          <w:rFonts w:asciiTheme="minorHAnsi" w:hAnsiTheme="minorHAnsi" w:cstheme="minorHAnsi"/>
          <w:szCs w:val="28"/>
          <w:lang w:val="en-US"/>
        </w:rPr>
        <w:t>*</w:t>
      </w:r>
    </w:p>
    <w:p w14:paraId="12AC9075" w14:textId="77777777" w:rsidR="00E41345" w:rsidRPr="00EA3697" w:rsidRDefault="00E41345" w:rsidP="00D9663F">
      <w:pPr>
        <w:tabs>
          <w:tab w:val="left" w:pos="1134"/>
        </w:tabs>
        <w:rPr>
          <w:rFonts w:asciiTheme="minorHAnsi" w:hAnsiTheme="minorHAnsi" w:cstheme="minorHAnsi"/>
          <w:szCs w:val="28"/>
          <w:lang w:val="uk-UA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629"/>
        <w:gridCol w:w="2273"/>
        <w:gridCol w:w="2726"/>
      </w:tblGrid>
      <w:tr w:rsidR="00E41345" w:rsidRPr="00EA3697" w14:paraId="720ADD8B" w14:textId="77777777" w:rsidTr="00F52467">
        <w:tc>
          <w:tcPr>
            <w:tcW w:w="4629" w:type="dxa"/>
            <w:vMerge w:val="restart"/>
            <w:vAlign w:val="center"/>
          </w:tcPr>
          <w:p w14:paraId="012E8DA2" w14:textId="77777777" w:rsidR="00E41345" w:rsidRPr="00EA3697" w:rsidRDefault="00E41345" w:rsidP="00980964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Cs w:val="28"/>
                <w:lang w:val="uk-UA"/>
              </w:rPr>
            </w:pPr>
            <w:r w:rsidRPr="00EA3697">
              <w:rPr>
                <w:rFonts w:asciiTheme="minorHAnsi" w:hAnsiTheme="minorHAnsi" w:cstheme="minorHAnsi"/>
                <w:b/>
                <w:szCs w:val="28"/>
                <w:lang w:val="uk-UA"/>
              </w:rPr>
              <w:t>Тип події</w:t>
            </w:r>
          </w:p>
        </w:tc>
        <w:tc>
          <w:tcPr>
            <w:tcW w:w="4999" w:type="dxa"/>
            <w:gridSpan w:val="2"/>
          </w:tcPr>
          <w:p w14:paraId="71FC2B02" w14:textId="77777777" w:rsidR="00E41345" w:rsidRPr="00EA3697" w:rsidRDefault="00E41345" w:rsidP="00980964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Cs w:val="28"/>
                <w:lang w:val="uk-UA"/>
              </w:rPr>
            </w:pPr>
            <w:r w:rsidRPr="00EA3697">
              <w:rPr>
                <w:rFonts w:asciiTheme="minorHAnsi" w:hAnsiTheme="minorHAnsi" w:cstheme="minorHAnsi"/>
                <w:b/>
                <w:szCs w:val="28"/>
                <w:lang w:val="uk-UA"/>
              </w:rPr>
              <w:t>Загальна недоступна потужність (</w:t>
            </w:r>
            <w:proofErr w:type="spellStart"/>
            <w:r w:rsidR="00996838">
              <w:rPr>
                <w:rFonts w:asciiTheme="minorHAnsi" w:hAnsiTheme="minorHAnsi" w:cstheme="minorHAnsi"/>
                <w:b/>
                <w:szCs w:val="28"/>
                <w:lang w:val="uk-UA"/>
              </w:rPr>
              <w:t>тис.куб.м</w:t>
            </w:r>
            <w:proofErr w:type="spellEnd"/>
            <w:r w:rsidR="00996838">
              <w:rPr>
                <w:rFonts w:asciiTheme="minorHAnsi" w:hAnsiTheme="minorHAnsi" w:cstheme="minorHAnsi"/>
                <w:b/>
                <w:szCs w:val="28"/>
                <w:lang w:val="uk-UA"/>
              </w:rPr>
              <w:t xml:space="preserve"> /добу</w:t>
            </w:r>
            <w:r w:rsidRPr="00EA3697">
              <w:rPr>
                <w:rFonts w:asciiTheme="minorHAnsi" w:hAnsiTheme="minorHAnsi" w:cstheme="minorHAnsi"/>
                <w:b/>
                <w:szCs w:val="28"/>
                <w:lang w:val="uk-UA"/>
              </w:rPr>
              <w:t>)</w:t>
            </w:r>
          </w:p>
        </w:tc>
      </w:tr>
      <w:tr w:rsidR="00E41345" w:rsidRPr="00EA3697" w14:paraId="59C52079" w14:textId="77777777" w:rsidTr="00F52467">
        <w:tc>
          <w:tcPr>
            <w:tcW w:w="4629" w:type="dxa"/>
            <w:vMerge/>
          </w:tcPr>
          <w:p w14:paraId="25E1FF94" w14:textId="77777777" w:rsidR="00E41345" w:rsidRPr="00EA3697" w:rsidRDefault="00E41345" w:rsidP="00980964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Cs w:val="28"/>
                <w:lang w:val="uk-UA"/>
              </w:rPr>
            </w:pPr>
          </w:p>
        </w:tc>
        <w:tc>
          <w:tcPr>
            <w:tcW w:w="2273" w:type="dxa"/>
          </w:tcPr>
          <w:p w14:paraId="6A16A1C3" w14:textId="77777777" w:rsidR="00E41345" w:rsidRPr="00EA3697" w:rsidRDefault="00E41345" w:rsidP="00980964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i/>
                <w:szCs w:val="28"/>
                <w:lang w:val="uk-UA"/>
              </w:rPr>
            </w:pPr>
            <w:r w:rsidRPr="00EA3697">
              <w:rPr>
                <w:rFonts w:asciiTheme="minorHAnsi" w:hAnsiTheme="minorHAnsi" w:cstheme="minorHAnsi"/>
                <w:i/>
                <w:szCs w:val="28"/>
                <w:lang w:val="uk-UA"/>
              </w:rPr>
              <w:t>планова</w:t>
            </w:r>
          </w:p>
        </w:tc>
        <w:tc>
          <w:tcPr>
            <w:tcW w:w="2726" w:type="dxa"/>
          </w:tcPr>
          <w:p w14:paraId="01489D3F" w14:textId="77777777" w:rsidR="00E41345" w:rsidRPr="00EA3697" w:rsidRDefault="00E41345" w:rsidP="00980964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i/>
                <w:szCs w:val="28"/>
                <w:lang w:val="uk-UA"/>
              </w:rPr>
            </w:pPr>
            <w:r w:rsidRPr="00EA3697">
              <w:rPr>
                <w:rFonts w:asciiTheme="minorHAnsi" w:hAnsiTheme="minorHAnsi" w:cstheme="minorHAnsi"/>
                <w:i/>
                <w:szCs w:val="28"/>
                <w:lang w:val="uk-UA"/>
              </w:rPr>
              <w:t>позапланова</w:t>
            </w:r>
          </w:p>
        </w:tc>
      </w:tr>
      <w:tr w:rsidR="00E41345" w:rsidRPr="00EA3697" w14:paraId="0B4FAD84" w14:textId="77777777" w:rsidTr="00F52467">
        <w:tc>
          <w:tcPr>
            <w:tcW w:w="4629" w:type="dxa"/>
          </w:tcPr>
          <w:p w14:paraId="7A7BB0B3" w14:textId="77777777" w:rsidR="00E41345" w:rsidRPr="00EA3697" w:rsidRDefault="00E41345" w:rsidP="00536A60">
            <w:pPr>
              <w:tabs>
                <w:tab w:val="left" w:pos="1134"/>
              </w:tabs>
              <w:rPr>
                <w:rFonts w:asciiTheme="minorHAnsi" w:hAnsiTheme="minorHAnsi" w:cstheme="minorHAnsi"/>
                <w:szCs w:val="28"/>
                <w:lang w:val="uk-UA"/>
              </w:rPr>
            </w:pPr>
            <w:r w:rsidRPr="00F52467">
              <w:rPr>
                <w:rFonts w:asciiTheme="minorHAnsi" w:hAnsiTheme="minorHAnsi" w:cstheme="minorHAnsi"/>
                <w:szCs w:val="28"/>
                <w:lang w:val="uk-UA"/>
              </w:rPr>
              <w:t xml:space="preserve">Недоступність </w:t>
            </w:r>
            <w:r w:rsidR="00536A60" w:rsidRPr="00F52467">
              <w:rPr>
                <w:rFonts w:asciiTheme="minorHAnsi" w:hAnsiTheme="minorHAnsi" w:cstheme="minorHAnsi"/>
                <w:szCs w:val="28"/>
                <w:lang w:val="uk-UA"/>
              </w:rPr>
              <w:t xml:space="preserve">об’єктів </w:t>
            </w:r>
            <w:r w:rsidRPr="00F52467">
              <w:rPr>
                <w:rFonts w:asciiTheme="minorHAnsi" w:hAnsiTheme="minorHAnsi" w:cstheme="minorHAnsi"/>
                <w:szCs w:val="28"/>
                <w:lang w:val="uk-UA"/>
              </w:rPr>
              <w:t>видобутку або виробництва</w:t>
            </w:r>
          </w:p>
        </w:tc>
        <w:tc>
          <w:tcPr>
            <w:tcW w:w="2273" w:type="dxa"/>
          </w:tcPr>
          <w:p w14:paraId="7636BA29" w14:textId="03842815" w:rsidR="00D75CFF" w:rsidRPr="0085610B" w:rsidRDefault="0085610B" w:rsidP="00D75CFF">
            <w:pPr>
              <w:jc w:val="center"/>
              <w:rPr>
                <w:rFonts w:asciiTheme="majorHAnsi" w:hAnsiTheme="majorHAnsi" w:cstheme="majorHAnsi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Cs w:val="28"/>
                <w:lang w:val="en-US"/>
              </w:rPr>
              <w:t>-</w:t>
            </w:r>
          </w:p>
          <w:p w14:paraId="2C90AFE8" w14:textId="77777777" w:rsidR="00D75CFF" w:rsidRPr="00D326F6" w:rsidRDefault="00D75CFF" w:rsidP="00D75CFF">
            <w:pPr>
              <w:jc w:val="center"/>
              <w:rPr>
                <w:rFonts w:asciiTheme="majorHAnsi" w:hAnsiTheme="majorHAnsi" w:cstheme="majorHAnsi"/>
                <w:szCs w:val="28"/>
                <w:lang w:val="uk-UA" w:eastAsia="uk-UA"/>
              </w:rPr>
            </w:pPr>
          </w:p>
          <w:p w14:paraId="45B9183E" w14:textId="77777777" w:rsidR="00E41345" w:rsidRPr="00D326F6" w:rsidRDefault="00E41345" w:rsidP="00980964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szCs w:val="28"/>
                <w:lang w:val="uk-UA"/>
              </w:rPr>
            </w:pPr>
          </w:p>
        </w:tc>
        <w:tc>
          <w:tcPr>
            <w:tcW w:w="2726" w:type="dxa"/>
          </w:tcPr>
          <w:p w14:paraId="68E3EEDE" w14:textId="292F83B8" w:rsidR="00E41345" w:rsidRPr="00BB40D2" w:rsidRDefault="009900DD" w:rsidP="00980964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szCs w:val="28"/>
                <w:lang w:val="uk-UA"/>
              </w:rPr>
            </w:pPr>
            <w:r>
              <w:rPr>
                <w:rFonts w:asciiTheme="minorHAnsi" w:hAnsiTheme="minorHAnsi" w:cstheme="minorHAnsi"/>
                <w:szCs w:val="28"/>
                <w:lang w:val="uk-UA"/>
              </w:rPr>
              <w:t>5 959**</w:t>
            </w:r>
          </w:p>
        </w:tc>
      </w:tr>
      <w:tr w:rsidR="00E41345" w:rsidRPr="00EA3697" w14:paraId="0D03D0FF" w14:textId="77777777" w:rsidTr="00F52467">
        <w:tc>
          <w:tcPr>
            <w:tcW w:w="4629" w:type="dxa"/>
          </w:tcPr>
          <w:p w14:paraId="0AC065E4" w14:textId="77777777" w:rsidR="00E41345" w:rsidRPr="00EA3697" w:rsidRDefault="00E41345" w:rsidP="00536A60">
            <w:pPr>
              <w:tabs>
                <w:tab w:val="left" w:pos="1134"/>
              </w:tabs>
              <w:rPr>
                <w:rFonts w:asciiTheme="minorHAnsi" w:hAnsiTheme="minorHAnsi" w:cstheme="minorHAnsi"/>
                <w:szCs w:val="28"/>
                <w:lang w:val="uk-UA"/>
              </w:rPr>
            </w:pPr>
            <w:r w:rsidRPr="00EA3697">
              <w:rPr>
                <w:rFonts w:asciiTheme="minorHAnsi" w:hAnsiTheme="minorHAnsi" w:cstheme="minorHAnsi"/>
                <w:szCs w:val="28"/>
                <w:lang w:val="uk-UA"/>
              </w:rPr>
              <w:t xml:space="preserve">Недоступність </w:t>
            </w:r>
            <w:r w:rsidR="00536A60" w:rsidRPr="00EA3697">
              <w:rPr>
                <w:rFonts w:asciiTheme="minorHAnsi" w:hAnsiTheme="minorHAnsi" w:cstheme="minorHAnsi"/>
                <w:szCs w:val="28"/>
                <w:lang w:val="uk-UA"/>
              </w:rPr>
              <w:t>об’єктів</w:t>
            </w:r>
            <w:r w:rsidRPr="00EA3697">
              <w:rPr>
                <w:rFonts w:asciiTheme="minorHAnsi" w:hAnsiTheme="minorHAnsi" w:cstheme="minorHAnsi"/>
                <w:szCs w:val="28"/>
                <w:lang w:val="uk-UA"/>
              </w:rPr>
              <w:t xml:space="preserve"> зберігання</w:t>
            </w:r>
          </w:p>
        </w:tc>
        <w:tc>
          <w:tcPr>
            <w:tcW w:w="2273" w:type="dxa"/>
          </w:tcPr>
          <w:p w14:paraId="12119381" w14:textId="77777777" w:rsidR="00E41345" w:rsidRPr="00D326F6" w:rsidRDefault="00F7017F" w:rsidP="00980964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szCs w:val="28"/>
                <w:lang w:val="en-US"/>
              </w:rPr>
            </w:pPr>
            <w:r w:rsidRPr="00D326F6">
              <w:rPr>
                <w:rFonts w:asciiTheme="minorHAnsi" w:hAnsiTheme="minorHAnsi" w:cstheme="minorHAnsi"/>
                <w:szCs w:val="28"/>
                <w:lang w:val="en-US"/>
              </w:rPr>
              <w:t>-</w:t>
            </w:r>
          </w:p>
        </w:tc>
        <w:tc>
          <w:tcPr>
            <w:tcW w:w="2726" w:type="dxa"/>
          </w:tcPr>
          <w:p w14:paraId="47546DC4" w14:textId="77777777" w:rsidR="00E41345" w:rsidRPr="00D326F6" w:rsidRDefault="00F7017F" w:rsidP="00980964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szCs w:val="28"/>
                <w:lang w:val="en-US"/>
              </w:rPr>
            </w:pPr>
            <w:r w:rsidRPr="00D326F6">
              <w:rPr>
                <w:rFonts w:asciiTheme="minorHAnsi" w:hAnsiTheme="minorHAnsi" w:cstheme="minorHAnsi"/>
                <w:szCs w:val="28"/>
                <w:lang w:val="en-US"/>
              </w:rPr>
              <w:t>-</w:t>
            </w:r>
          </w:p>
        </w:tc>
      </w:tr>
      <w:tr w:rsidR="00E41345" w:rsidRPr="00EA3697" w14:paraId="3C096F83" w14:textId="77777777" w:rsidTr="00F52467">
        <w:tc>
          <w:tcPr>
            <w:tcW w:w="4629" w:type="dxa"/>
          </w:tcPr>
          <w:p w14:paraId="6675837A" w14:textId="77777777" w:rsidR="00E41345" w:rsidRPr="00EA3697" w:rsidRDefault="00E41345" w:rsidP="00536A60">
            <w:pPr>
              <w:tabs>
                <w:tab w:val="left" w:pos="1134"/>
              </w:tabs>
              <w:rPr>
                <w:rFonts w:asciiTheme="minorHAnsi" w:hAnsiTheme="minorHAnsi" w:cstheme="minorHAnsi"/>
                <w:szCs w:val="28"/>
                <w:lang w:val="uk-UA"/>
              </w:rPr>
            </w:pPr>
            <w:r w:rsidRPr="00EA3697">
              <w:rPr>
                <w:rFonts w:asciiTheme="minorHAnsi" w:hAnsiTheme="minorHAnsi" w:cstheme="minorHAnsi"/>
                <w:szCs w:val="28"/>
                <w:lang w:val="uk-UA"/>
              </w:rPr>
              <w:t xml:space="preserve">Недоступність </w:t>
            </w:r>
            <w:r w:rsidR="00536A60" w:rsidRPr="00EA3697">
              <w:rPr>
                <w:rFonts w:asciiTheme="minorHAnsi" w:hAnsiTheme="minorHAnsi" w:cstheme="minorHAnsi"/>
                <w:szCs w:val="28"/>
                <w:lang w:val="uk-UA"/>
              </w:rPr>
              <w:t xml:space="preserve">об’єктів </w:t>
            </w:r>
            <w:r w:rsidRPr="00EA3697">
              <w:rPr>
                <w:rFonts w:asciiTheme="minorHAnsi" w:hAnsiTheme="minorHAnsi" w:cstheme="minorHAnsi"/>
                <w:szCs w:val="28"/>
                <w:lang w:val="uk-UA"/>
              </w:rPr>
              <w:t>закачування</w:t>
            </w:r>
          </w:p>
        </w:tc>
        <w:tc>
          <w:tcPr>
            <w:tcW w:w="2273" w:type="dxa"/>
          </w:tcPr>
          <w:p w14:paraId="4541CC0B" w14:textId="08A205A3" w:rsidR="00E41345" w:rsidRPr="00BB40D2" w:rsidRDefault="00B6660D" w:rsidP="00980964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szCs w:val="28"/>
                <w:lang w:val="uk-UA"/>
              </w:rPr>
            </w:pPr>
            <w:r>
              <w:rPr>
                <w:rFonts w:asciiTheme="minorHAnsi" w:hAnsiTheme="minorHAnsi" w:cstheme="minorHAnsi"/>
                <w:szCs w:val="28"/>
                <w:lang w:val="uk-UA"/>
              </w:rPr>
              <w:t>-</w:t>
            </w:r>
          </w:p>
        </w:tc>
        <w:tc>
          <w:tcPr>
            <w:tcW w:w="2726" w:type="dxa"/>
          </w:tcPr>
          <w:p w14:paraId="083D8AFB" w14:textId="42757BA1" w:rsidR="00E41345" w:rsidRPr="0085610B" w:rsidRDefault="0085610B" w:rsidP="00980964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szCs w:val="28"/>
                <w:lang w:val="en-US"/>
              </w:rPr>
              <w:t>-</w:t>
            </w:r>
          </w:p>
        </w:tc>
      </w:tr>
      <w:tr w:rsidR="00E41345" w:rsidRPr="00EA3697" w14:paraId="5C69942C" w14:textId="77777777" w:rsidTr="00F52467">
        <w:tc>
          <w:tcPr>
            <w:tcW w:w="4629" w:type="dxa"/>
          </w:tcPr>
          <w:p w14:paraId="5107D47F" w14:textId="77777777" w:rsidR="00E41345" w:rsidRPr="00EA3697" w:rsidRDefault="00E41345" w:rsidP="00536A60">
            <w:pPr>
              <w:tabs>
                <w:tab w:val="left" w:pos="1134"/>
              </w:tabs>
              <w:rPr>
                <w:rFonts w:asciiTheme="minorHAnsi" w:hAnsiTheme="minorHAnsi" w:cstheme="minorHAnsi"/>
                <w:szCs w:val="28"/>
                <w:lang w:val="uk-UA"/>
              </w:rPr>
            </w:pPr>
            <w:r w:rsidRPr="00EA3697">
              <w:rPr>
                <w:rFonts w:asciiTheme="minorHAnsi" w:hAnsiTheme="minorHAnsi" w:cstheme="minorHAnsi"/>
                <w:szCs w:val="28"/>
                <w:lang w:val="uk-UA"/>
              </w:rPr>
              <w:t xml:space="preserve">Недоступність </w:t>
            </w:r>
            <w:r w:rsidR="00536A60" w:rsidRPr="00EA3697">
              <w:rPr>
                <w:rFonts w:asciiTheme="minorHAnsi" w:hAnsiTheme="minorHAnsi" w:cstheme="minorHAnsi"/>
                <w:szCs w:val="28"/>
                <w:lang w:val="uk-UA"/>
              </w:rPr>
              <w:t xml:space="preserve">об’єктів </w:t>
            </w:r>
            <w:r w:rsidRPr="00EA3697">
              <w:rPr>
                <w:rFonts w:asciiTheme="minorHAnsi" w:hAnsiTheme="minorHAnsi" w:cstheme="minorHAnsi"/>
                <w:szCs w:val="28"/>
                <w:lang w:val="uk-UA"/>
              </w:rPr>
              <w:t>відбору</w:t>
            </w:r>
          </w:p>
        </w:tc>
        <w:tc>
          <w:tcPr>
            <w:tcW w:w="2273" w:type="dxa"/>
          </w:tcPr>
          <w:p w14:paraId="346FF929" w14:textId="77777777" w:rsidR="00E41345" w:rsidRPr="00D326F6" w:rsidRDefault="00F7017F" w:rsidP="00980964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szCs w:val="28"/>
                <w:lang w:val="en-US"/>
              </w:rPr>
            </w:pPr>
            <w:r w:rsidRPr="00D326F6">
              <w:rPr>
                <w:rFonts w:asciiTheme="minorHAnsi" w:hAnsiTheme="minorHAnsi" w:cstheme="minorHAnsi"/>
                <w:szCs w:val="28"/>
                <w:lang w:val="en-US"/>
              </w:rPr>
              <w:t>-</w:t>
            </w:r>
          </w:p>
        </w:tc>
        <w:tc>
          <w:tcPr>
            <w:tcW w:w="2726" w:type="dxa"/>
          </w:tcPr>
          <w:p w14:paraId="46B65862" w14:textId="77777777" w:rsidR="00E41345" w:rsidRPr="00D326F6" w:rsidRDefault="00F7017F" w:rsidP="00980964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szCs w:val="28"/>
                <w:lang w:val="en-US"/>
              </w:rPr>
            </w:pPr>
            <w:r w:rsidRPr="00D326F6">
              <w:rPr>
                <w:rFonts w:asciiTheme="minorHAnsi" w:hAnsiTheme="minorHAnsi" w:cstheme="minorHAnsi"/>
                <w:szCs w:val="28"/>
                <w:lang w:val="en-US"/>
              </w:rPr>
              <w:t>-</w:t>
            </w:r>
          </w:p>
        </w:tc>
      </w:tr>
      <w:tr w:rsidR="00E41345" w:rsidRPr="00EA3697" w14:paraId="45C31D3A" w14:textId="77777777" w:rsidTr="00243326">
        <w:trPr>
          <w:trHeight w:val="1038"/>
        </w:trPr>
        <w:tc>
          <w:tcPr>
            <w:tcW w:w="4629" w:type="dxa"/>
          </w:tcPr>
          <w:p w14:paraId="59663D64" w14:textId="77777777" w:rsidR="00E41345" w:rsidRPr="00F52467" w:rsidRDefault="00E41345" w:rsidP="00536A60">
            <w:pPr>
              <w:tabs>
                <w:tab w:val="left" w:pos="1134"/>
              </w:tabs>
              <w:rPr>
                <w:rFonts w:asciiTheme="minorHAnsi" w:hAnsiTheme="minorHAnsi" w:cstheme="minorHAnsi"/>
                <w:szCs w:val="28"/>
                <w:lang w:val="uk-UA"/>
              </w:rPr>
            </w:pPr>
            <w:r w:rsidRPr="00F52467">
              <w:rPr>
                <w:rFonts w:asciiTheme="minorHAnsi" w:hAnsiTheme="minorHAnsi" w:cstheme="minorHAnsi"/>
                <w:szCs w:val="28"/>
                <w:lang w:val="uk-UA"/>
              </w:rPr>
              <w:t xml:space="preserve">Недоступність </w:t>
            </w:r>
            <w:r w:rsidR="00536A60" w:rsidRPr="00F52467">
              <w:rPr>
                <w:rFonts w:asciiTheme="minorHAnsi" w:hAnsiTheme="minorHAnsi" w:cstheme="minorHAnsi"/>
                <w:szCs w:val="28"/>
                <w:lang w:val="uk-UA"/>
              </w:rPr>
              <w:t xml:space="preserve">об’єктів </w:t>
            </w:r>
            <w:r w:rsidRPr="00F52467">
              <w:rPr>
                <w:rFonts w:asciiTheme="minorHAnsi" w:hAnsiTheme="minorHAnsi" w:cstheme="minorHAnsi"/>
                <w:szCs w:val="28"/>
                <w:lang w:val="uk-UA"/>
              </w:rPr>
              <w:t>транспортування</w:t>
            </w:r>
          </w:p>
        </w:tc>
        <w:tc>
          <w:tcPr>
            <w:tcW w:w="2273" w:type="dxa"/>
          </w:tcPr>
          <w:p w14:paraId="424E0443" w14:textId="49B0C2FF" w:rsidR="00D75CFF" w:rsidRPr="00D326F6" w:rsidRDefault="00D605A0" w:rsidP="00D75CFF">
            <w:pPr>
              <w:jc w:val="center"/>
              <w:rPr>
                <w:rFonts w:asciiTheme="majorHAnsi" w:hAnsiTheme="majorHAnsi" w:cstheme="majorHAnsi"/>
                <w:color w:val="000000"/>
                <w:szCs w:val="28"/>
                <w:lang w:val="uk-UA" w:eastAsia="uk-UA"/>
              </w:rPr>
            </w:pPr>
            <w:r w:rsidRPr="00D326F6">
              <w:rPr>
                <w:rFonts w:asciiTheme="majorHAnsi" w:hAnsiTheme="majorHAnsi" w:cstheme="majorHAnsi"/>
                <w:color w:val="000000"/>
                <w:szCs w:val="28"/>
                <w:lang w:val="uk-UA"/>
              </w:rPr>
              <w:t>-</w:t>
            </w:r>
          </w:p>
          <w:p w14:paraId="46065D80" w14:textId="77777777" w:rsidR="00E41345" w:rsidRPr="00D326F6" w:rsidRDefault="00E41345" w:rsidP="00980964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szCs w:val="28"/>
                <w:lang w:val="uk-UA"/>
              </w:rPr>
            </w:pPr>
          </w:p>
        </w:tc>
        <w:tc>
          <w:tcPr>
            <w:tcW w:w="2726" w:type="dxa"/>
          </w:tcPr>
          <w:p w14:paraId="7D3DC532" w14:textId="14B3E52C" w:rsidR="00E41345" w:rsidRPr="00A55162" w:rsidRDefault="00A55162" w:rsidP="00980964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szCs w:val="28"/>
                <w:lang w:val="uk-UA"/>
              </w:rPr>
            </w:pPr>
            <w:r>
              <w:rPr>
                <w:rFonts w:asciiTheme="minorHAnsi" w:hAnsiTheme="minorHAnsi" w:cstheme="minorHAnsi"/>
                <w:szCs w:val="28"/>
                <w:lang w:val="uk-UA"/>
              </w:rPr>
              <w:t>67**</w:t>
            </w:r>
          </w:p>
        </w:tc>
      </w:tr>
      <w:tr w:rsidR="00E41345" w:rsidRPr="00EA3697" w14:paraId="4E30C500" w14:textId="77777777" w:rsidTr="00F52467">
        <w:tc>
          <w:tcPr>
            <w:tcW w:w="4629" w:type="dxa"/>
          </w:tcPr>
          <w:p w14:paraId="694522E5" w14:textId="77777777" w:rsidR="00E41345" w:rsidRPr="00F52467" w:rsidRDefault="00E41345" w:rsidP="00536A60">
            <w:pPr>
              <w:tabs>
                <w:tab w:val="left" w:pos="1134"/>
              </w:tabs>
              <w:rPr>
                <w:rFonts w:asciiTheme="minorHAnsi" w:hAnsiTheme="minorHAnsi" w:cstheme="minorHAnsi"/>
                <w:szCs w:val="28"/>
                <w:lang w:val="uk-UA"/>
              </w:rPr>
            </w:pPr>
            <w:r w:rsidRPr="00F52467">
              <w:rPr>
                <w:rFonts w:asciiTheme="minorHAnsi" w:hAnsiTheme="minorHAnsi" w:cstheme="minorHAnsi"/>
                <w:szCs w:val="28"/>
                <w:lang w:val="uk-UA"/>
              </w:rPr>
              <w:t xml:space="preserve">Недоступність </w:t>
            </w:r>
            <w:r w:rsidR="00536A60" w:rsidRPr="00F52467">
              <w:rPr>
                <w:rFonts w:asciiTheme="minorHAnsi" w:hAnsiTheme="minorHAnsi" w:cstheme="minorHAnsi"/>
                <w:szCs w:val="28"/>
                <w:lang w:val="uk-UA"/>
              </w:rPr>
              <w:t xml:space="preserve">об’єктів </w:t>
            </w:r>
            <w:r w:rsidRPr="00F52467">
              <w:rPr>
                <w:rFonts w:asciiTheme="minorHAnsi" w:hAnsiTheme="minorHAnsi" w:cstheme="minorHAnsi"/>
                <w:szCs w:val="28"/>
                <w:lang w:val="uk-UA"/>
              </w:rPr>
              <w:t>споживання</w:t>
            </w:r>
          </w:p>
        </w:tc>
        <w:tc>
          <w:tcPr>
            <w:tcW w:w="2273" w:type="dxa"/>
          </w:tcPr>
          <w:p w14:paraId="0B9DEDF4" w14:textId="109E4A93" w:rsidR="00E41345" w:rsidRPr="00BB40D2" w:rsidRDefault="009900DD" w:rsidP="00980964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szCs w:val="28"/>
                <w:lang w:val="uk-UA"/>
              </w:rPr>
            </w:pPr>
            <w:r>
              <w:rPr>
                <w:rFonts w:asciiTheme="minorHAnsi" w:hAnsiTheme="minorHAnsi" w:cstheme="minorHAnsi"/>
                <w:szCs w:val="28"/>
                <w:lang w:val="uk-UA"/>
              </w:rPr>
              <w:t xml:space="preserve">2 </w:t>
            </w:r>
            <w:r w:rsidR="008E5425">
              <w:rPr>
                <w:rFonts w:asciiTheme="minorHAnsi" w:hAnsiTheme="minorHAnsi" w:cstheme="minorHAnsi"/>
                <w:szCs w:val="28"/>
                <w:lang w:val="uk-UA"/>
              </w:rPr>
              <w:t>708</w:t>
            </w:r>
            <w:r w:rsidR="00BB40D2">
              <w:rPr>
                <w:rFonts w:asciiTheme="minorHAnsi" w:hAnsiTheme="minorHAnsi" w:cstheme="minorHAnsi"/>
                <w:szCs w:val="28"/>
                <w:lang w:val="uk-UA"/>
              </w:rPr>
              <w:t>**</w:t>
            </w:r>
          </w:p>
        </w:tc>
        <w:tc>
          <w:tcPr>
            <w:tcW w:w="2726" w:type="dxa"/>
          </w:tcPr>
          <w:p w14:paraId="44BE4FB4" w14:textId="360E902F" w:rsidR="00D75CFF" w:rsidRPr="00D326F6" w:rsidRDefault="008E5425" w:rsidP="00D75CFF">
            <w:pPr>
              <w:jc w:val="center"/>
              <w:rPr>
                <w:rFonts w:asciiTheme="majorHAnsi" w:hAnsiTheme="majorHAnsi" w:cstheme="majorHAnsi"/>
                <w:color w:val="000000"/>
                <w:szCs w:val="28"/>
                <w:lang w:val="en-US" w:eastAsia="uk-UA"/>
              </w:rPr>
            </w:pPr>
            <w:r>
              <w:rPr>
                <w:rFonts w:asciiTheme="majorHAnsi" w:hAnsiTheme="majorHAnsi" w:cstheme="majorHAnsi"/>
                <w:color w:val="000000"/>
                <w:szCs w:val="28"/>
                <w:lang w:val="uk-UA"/>
              </w:rPr>
              <w:t>9 688</w:t>
            </w:r>
            <w:r w:rsidR="00F854E5" w:rsidRPr="00D326F6">
              <w:rPr>
                <w:rFonts w:asciiTheme="majorHAnsi" w:hAnsiTheme="majorHAnsi" w:cstheme="majorHAnsi"/>
                <w:color w:val="000000"/>
                <w:szCs w:val="28"/>
                <w:lang w:val="uk-UA"/>
              </w:rPr>
              <w:t>**</w:t>
            </w:r>
          </w:p>
          <w:p w14:paraId="540490B8" w14:textId="77777777" w:rsidR="00E41345" w:rsidRPr="00D326F6" w:rsidRDefault="00E41345" w:rsidP="00980964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szCs w:val="28"/>
                <w:lang w:val="uk-UA"/>
              </w:rPr>
            </w:pPr>
          </w:p>
        </w:tc>
      </w:tr>
      <w:tr w:rsidR="001967AB" w:rsidRPr="00EA3697" w14:paraId="47262487" w14:textId="77777777" w:rsidTr="00F52467">
        <w:tc>
          <w:tcPr>
            <w:tcW w:w="4629" w:type="dxa"/>
          </w:tcPr>
          <w:p w14:paraId="400268E4" w14:textId="77777777" w:rsidR="001967AB" w:rsidRPr="00EA3697" w:rsidRDefault="00536A60" w:rsidP="00536A60">
            <w:pPr>
              <w:tabs>
                <w:tab w:val="left" w:pos="1134"/>
              </w:tabs>
              <w:rPr>
                <w:rFonts w:asciiTheme="minorHAnsi" w:hAnsiTheme="minorHAnsi" w:cstheme="minorHAnsi"/>
                <w:szCs w:val="28"/>
                <w:lang w:val="uk-UA"/>
              </w:rPr>
            </w:pPr>
            <w:r w:rsidRPr="00EA3697">
              <w:rPr>
                <w:rFonts w:asciiTheme="minorHAnsi" w:hAnsiTheme="minorHAnsi" w:cstheme="minorHAnsi"/>
                <w:szCs w:val="28"/>
                <w:lang w:val="uk-UA"/>
              </w:rPr>
              <w:t>Недоступність установок LNG</w:t>
            </w:r>
          </w:p>
        </w:tc>
        <w:tc>
          <w:tcPr>
            <w:tcW w:w="2273" w:type="dxa"/>
          </w:tcPr>
          <w:p w14:paraId="377ECF24" w14:textId="161C324D" w:rsidR="001967AB" w:rsidRPr="00D326F6" w:rsidRDefault="00F854E5" w:rsidP="00980964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szCs w:val="28"/>
                <w:lang w:val="uk-UA"/>
              </w:rPr>
            </w:pPr>
            <w:r w:rsidRPr="00D326F6">
              <w:rPr>
                <w:rFonts w:asciiTheme="minorHAnsi" w:hAnsiTheme="minorHAnsi" w:cstheme="minorHAnsi"/>
                <w:szCs w:val="28"/>
                <w:lang w:val="uk-UA"/>
              </w:rPr>
              <w:t>-</w:t>
            </w:r>
          </w:p>
        </w:tc>
        <w:tc>
          <w:tcPr>
            <w:tcW w:w="2726" w:type="dxa"/>
          </w:tcPr>
          <w:p w14:paraId="16DD6987" w14:textId="77777777" w:rsidR="001967AB" w:rsidRPr="00D326F6" w:rsidRDefault="00F7017F" w:rsidP="00980964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szCs w:val="28"/>
                <w:lang w:val="en-US"/>
              </w:rPr>
            </w:pPr>
            <w:r w:rsidRPr="00D326F6">
              <w:rPr>
                <w:rFonts w:asciiTheme="minorHAnsi" w:hAnsiTheme="minorHAnsi" w:cstheme="minorHAnsi"/>
                <w:szCs w:val="28"/>
                <w:lang w:val="en-US"/>
              </w:rPr>
              <w:t>-</w:t>
            </w:r>
          </w:p>
        </w:tc>
      </w:tr>
      <w:tr w:rsidR="00E41345" w:rsidRPr="00EA3697" w14:paraId="1403BA0B" w14:textId="77777777" w:rsidTr="00F52467">
        <w:tc>
          <w:tcPr>
            <w:tcW w:w="4629" w:type="dxa"/>
          </w:tcPr>
          <w:p w14:paraId="1D5429A2" w14:textId="77777777" w:rsidR="00E41345" w:rsidRPr="00EA3697" w:rsidRDefault="00E41345" w:rsidP="00536A60">
            <w:pPr>
              <w:tabs>
                <w:tab w:val="left" w:pos="1134"/>
              </w:tabs>
              <w:rPr>
                <w:rFonts w:asciiTheme="minorHAnsi" w:hAnsiTheme="minorHAnsi" w:cstheme="minorHAnsi"/>
                <w:szCs w:val="28"/>
                <w:lang w:val="uk-UA"/>
              </w:rPr>
            </w:pPr>
            <w:r w:rsidRPr="00EA3697">
              <w:rPr>
                <w:rFonts w:asciiTheme="minorHAnsi" w:hAnsiTheme="minorHAnsi" w:cstheme="minorHAnsi"/>
                <w:szCs w:val="28"/>
                <w:lang w:val="uk-UA"/>
              </w:rPr>
              <w:t>Інша недоступність</w:t>
            </w:r>
          </w:p>
        </w:tc>
        <w:tc>
          <w:tcPr>
            <w:tcW w:w="2273" w:type="dxa"/>
          </w:tcPr>
          <w:p w14:paraId="40CDF67B" w14:textId="77777777" w:rsidR="00E41345" w:rsidRPr="00D326F6" w:rsidRDefault="0001212F" w:rsidP="00980964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szCs w:val="28"/>
                <w:lang w:val="uk-UA"/>
              </w:rPr>
            </w:pPr>
            <w:r w:rsidRPr="00D326F6">
              <w:rPr>
                <w:rFonts w:asciiTheme="minorHAnsi" w:hAnsiTheme="minorHAnsi" w:cstheme="minorHAnsi"/>
                <w:szCs w:val="28"/>
                <w:lang w:val="uk-UA"/>
              </w:rPr>
              <w:t>-</w:t>
            </w:r>
          </w:p>
        </w:tc>
        <w:tc>
          <w:tcPr>
            <w:tcW w:w="2726" w:type="dxa"/>
          </w:tcPr>
          <w:p w14:paraId="3875A33A" w14:textId="77777777" w:rsidR="00E41345" w:rsidRPr="00D326F6" w:rsidRDefault="00166CEA" w:rsidP="00980964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szCs w:val="28"/>
                <w:lang w:val="uk-UA"/>
              </w:rPr>
            </w:pPr>
            <w:r w:rsidRPr="00D326F6">
              <w:rPr>
                <w:rFonts w:asciiTheme="minorHAnsi" w:hAnsiTheme="minorHAnsi" w:cstheme="minorHAnsi"/>
                <w:szCs w:val="28"/>
                <w:lang w:val="uk-UA"/>
              </w:rPr>
              <w:t>-</w:t>
            </w:r>
          </w:p>
        </w:tc>
      </w:tr>
    </w:tbl>
    <w:p w14:paraId="6E0506E5" w14:textId="77777777" w:rsidR="00D9663F" w:rsidRDefault="00D9663F" w:rsidP="00FA0556">
      <w:pPr>
        <w:spacing w:before="100" w:beforeAutospacing="1" w:after="100" w:afterAutospacing="1"/>
        <w:contextualSpacing/>
        <w:jc w:val="both"/>
        <w:rPr>
          <w:sz w:val="22"/>
          <w:szCs w:val="22"/>
          <w:lang w:val="uk-UA" w:eastAsia="uk-UA"/>
        </w:rPr>
      </w:pPr>
    </w:p>
    <w:p w14:paraId="0E81351E" w14:textId="0B527646" w:rsidR="009900DD" w:rsidRPr="00E744B1" w:rsidRDefault="00FA0556" w:rsidP="00B04341">
      <w:pPr>
        <w:spacing w:before="100" w:beforeAutospacing="1" w:after="100" w:afterAutospacing="1"/>
        <w:ind w:firstLine="708"/>
        <w:contextualSpacing/>
        <w:jc w:val="both"/>
        <w:rPr>
          <w:i/>
          <w:sz w:val="22"/>
          <w:szCs w:val="22"/>
          <w:lang w:val="uk-UA" w:eastAsia="uk-UA"/>
        </w:rPr>
      </w:pPr>
      <w:r w:rsidRPr="00E744B1">
        <w:rPr>
          <w:sz w:val="22"/>
          <w:szCs w:val="22"/>
          <w:lang w:val="uk-UA" w:eastAsia="uk-UA"/>
        </w:rPr>
        <w:t>*</w:t>
      </w:r>
      <w:r w:rsidRPr="00E744B1">
        <w:rPr>
          <w:i/>
          <w:sz w:val="22"/>
          <w:szCs w:val="22"/>
          <w:lang w:val="uk-UA" w:eastAsia="uk-UA"/>
        </w:rPr>
        <w:t xml:space="preserve">Загальна кількість термінових ринкових повідомлень (далі – ТРП) розміщених учасниками оптового енергетичного ринку протягом </w:t>
      </w:r>
      <w:r w:rsidR="00D21834" w:rsidRPr="00E744B1">
        <w:rPr>
          <w:i/>
          <w:sz w:val="22"/>
          <w:szCs w:val="22"/>
          <w:lang w:val="uk-UA" w:eastAsia="uk-UA"/>
        </w:rPr>
        <w:t>І</w:t>
      </w:r>
      <w:r w:rsidR="009900DD" w:rsidRPr="00E744B1">
        <w:rPr>
          <w:i/>
          <w:sz w:val="22"/>
          <w:szCs w:val="22"/>
          <w:lang w:val="uk-UA" w:eastAsia="uk-UA"/>
        </w:rPr>
        <w:t>І</w:t>
      </w:r>
      <w:r w:rsidR="0001212F" w:rsidRPr="00E744B1">
        <w:rPr>
          <w:i/>
          <w:sz w:val="22"/>
          <w:szCs w:val="22"/>
          <w:lang w:val="uk-UA" w:eastAsia="uk-UA"/>
        </w:rPr>
        <w:t xml:space="preserve"> </w:t>
      </w:r>
      <w:r w:rsidRPr="00E744B1">
        <w:rPr>
          <w:i/>
          <w:sz w:val="22"/>
          <w:szCs w:val="22"/>
          <w:lang w:val="uk-UA" w:eastAsia="uk-UA"/>
        </w:rPr>
        <w:t xml:space="preserve">декади </w:t>
      </w:r>
      <w:r w:rsidR="00B6660D" w:rsidRPr="00E744B1">
        <w:rPr>
          <w:i/>
          <w:sz w:val="22"/>
          <w:szCs w:val="22"/>
          <w:lang w:val="uk-UA" w:eastAsia="uk-UA"/>
        </w:rPr>
        <w:t xml:space="preserve">листопада </w:t>
      </w:r>
      <w:r w:rsidRPr="00E744B1">
        <w:rPr>
          <w:i/>
          <w:sz w:val="22"/>
          <w:szCs w:val="22"/>
          <w:lang w:val="uk-UA" w:eastAsia="uk-UA"/>
        </w:rPr>
        <w:t>2025 року становить</w:t>
      </w:r>
      <w:r w:rsidR="00D21834" w:rsidRPr="00E744B1">
        <w:rPr>
          <w:i/>
          <w:sz w:val="22"/>
          <w:szCs w:val="22"/>
          <w:lang w:val="uk-UA" w:eastAsia="uk-UA"/>
        </w:rPr>
        <w:t xml:space="preserve"> </w:t>
      </w:r>
      <w:r w:rsidR="009900DD" w:rsidRPr="00E744B1">
        <w:rPr>
          <w:i/>
          <w:sz w:val="22"/>
          <w:szCs w:val="22"/>
          <w:lang w:val="uk-UA" w:eastAsia="uk-UA"/>
        </w:rPr>
        <w:t>2</w:t>
      </w:r>
      <w:r w:rsidR="008E5425" w:rsidRPr="00E744B1">
        <w:rPr>
          <w:i/>
          <w:sz w:val="22"/>
          <w:szCs w:val="22"/>
          <w:lang w:val="uk-UA" w:eastAsia="uk-UA"/>
        </w:rPr>
        <w:t>5</w:t>
      </w:r>
      <w:r w:rsidRPr="00E744B1">
        <w:rPr>
          <w:i/>
          <w:sz w:val="22"/>
          <w:szCs w:val="22"/>
          <w:lang w:val="uk-UA" w:eastAsia="uk-UA"/>
        </w:rPr>
        <w:t>, з них активних –</w:t>
      </w:r>
      <w:r w:rsidR="000500E5" w:rsidRPr="00E744B1">
        <w:rPr>
          <w:i/>
          <w:sz w:val="22"/>
          <w:szCs w:val="22"/>
          <w:lang w:val="uk-UA" w:eastAsia="uk-UA"/>
        </w:rPr>
        <w:t xml:space="preserve"> </w:t>
      </w:r>
      <w:r w:rsidR="008E5425" w:rsidRPr="00E744B1">
        <w:rPr>
          <w:i/>
          <w:sz w:val="22"/>
          <w:szCs w:val="22"/>
          <w:lang w:val="uk-UA" w:eastAsia="uk-UA"/>
        </w:rPr>
        <w:t>9</w:t>
      </w:r>
      <w:r w:rsidR="000500E5" w:rsidRPr="00E744B1">
        <w:rPr>
          <w:i/>
          <w:sz w:val="22"/>
          <w:szCs w:val="22"/>
          <w:lang w:val="uk-UA" w:eastAsia="uk-UA"/>
        </w:rPr>
        <w:t xml:space="preserve">, </w:t>
      </w:r>
      <w:r w:rsidRPr="00E744B1">
        <w:rPr>
          <w:i/>
          <w:sz w:val="22"/>
          <w:szCs w:val="22"/>
          <w:lang w:val="uk-UA" w:eastAsia="uk-UA"/>
        </w:rPr>
        <w:t>не активних –</w:t>
      </w:r>
      <w:r w:rsidR="009900DD" w:rsidRPr="00E744B1">
        <w:rPr>
          <w:i/>
          <w:sz w:val="22"/>
          <w:szCs w:val="22"/>
          <w:lang w:val="uk-UA" w:eastAsia="uk-UA"/>
        </w:rPr>
        <w:t>5</w:t>
      </w:r>
      <w:r w:rsidRPr="00E744B1">
        <w:rPr>
          <w:i/>
          <w:sz w:val="22"/>
          <w:szCs w:val="22"/>
          <w:lang w:val="uk-UA" w:eastAsia="uk-UA"/>
        </w:rPr>
        <w:t xml:space="preserve">, відхилених (скасованих) – </w:t>
      </w:r>
      <w:r w:rsidR="008E5425" w:rsidRPr="00E744B1">
        <w:rPr>
          <w:i/>
          <w:sz w:val="22"/>
          <w:szCs w:val="22"/>
          <w:lang w:val="uk-UA" w:eastAsia="uk-UA"/>
        </w:rPr>
        <w:t>11.</w:t>
      </w:r>
    </w:p>
    <w:p w14:paraId="0E7C27DD" w14:textId="7983AA0B" w:rsidR="00E107B9" w:rsidRPr="00E744B1" w:rsidRDefault="00FA0556" w:rsidP="00B04341">
      <w:pPr>
        <w:spacing w:before="100" w:beforeAutospacing="1" w:after="100" w:afterAutospacing="1"/>
        <w:ind w:firstLine="708"/>
        <w:contextualSpacing/>
        <w:jc w:val="both"/>
        <w:rPr>
          <w:i/>
          <w:sz w:val="22"/>
          <w:szCs w:val="22"/>
          <w:lang w:val="uk-UA"/>
        </w:rPr>
      </w:pPr>
      <w:r w:rsidRPr="00E744B1">
        <w:rPr>
          <w:i/>
          <w:sz w:val="22"/>
          <w:szCs w:val="22"/>
          <w:lang w:val="en-US" w:eastAsia="uk-UA"/>
        </w:rPr>
        <w:t>**</w:t>
      </w:r>
      <w:r w:rsidRPr="00E744B1">
        <w:rPr>
          <w:i/>
          <w:sz w:val="22"/>
          <w:szCs w:val="22"/>
          <w:lang w:val="uk-UA" w:eastAsia="uk-UA"/>
        </w:rPr>
        <w:t xml:space="preserve">Зазначена недоступна потужність </w:t>
      </w:r>
      <w:r w:rsidR="00D9663F" w:rsidRPr="00E744B1">
        <w:rPr>
          <w:i/>
          <w:sz w:val="22"/>
          <w:szCs w:val="22"/>
          <w:lang w:val="uk-UA" w:eastAsia="uk-UA"/>
        </w:rPr>
        <w:t>об’єктів споживанн</w:t>
      </w:r>
      <w:r w:rsidR="00135783" w:rsidRPr="00E744B1">
        <w:rPr>
          <w:i/>
          <w:sz w:val="22"/>
          <w:szCs w:val="22"/>
          <w:lang w:val="uk-UA" w:eastAsia="uk-UA"/>
        </w:rPr>
        <w:t>я</w:t>
      </w:r>
      <w:r w:rsidR="00A55162" w:rsidRPr="00E744B1">
        <w:rPr>
          <w:i/>
          <w:sz w:val="22"/>
          <w:szCs w:val="22"/>
          <w:lang w:val="uk-UA" w:eastAsia="uk-UA"/>
        </w:rPr>
        <w:t>/ видобутку /транспортування</w:t>
      </w:r>
      <w:r w:rsidR="00A644EE" w:rsidRPr="00E744B1">
        <w:rPr>
          <w:i/>
          <w:sz w:val="22"/>
          <w:szCs w:val="22"/>
          <w:lang w:val="en-US" w:eastAsia="uk-UA"/>
        </w:rPr>
        <w:t xml:space="preserve"> </w:t>
      </w:r>
      <w:r w:rsidRPr="00E744B1">
        <w:rPr>
          <w:i/>
          <w:sz w:val="22"/>
          <w:szCs w:val="22"/>
          <w:lang w:val="uk-UA" w:eastAsia="uk-UA"/>
        </w:rPr>
        <w:t xml:space="preserve">відображена на основі активних ТРП (події щодо недоступності </w:t>
      </w:r>
      <w:r w:rsidR="00D9663F" w:rsidRPr="00E744B1">
        <w:rPr>
          <w:i/>
          <w:sz w:val="22"/>
          <w:szCs w:val="22"/>
          <w:lang w:val="uk-UA" w:eastAsia="uk-UA"/>
        </w:rPr>
        <w:t>об’єктів</w:t>
      </w:r>
      <w:r w:rsidRPr="00E744B1">
        <w:rPr>
          <w:i/>
          <w:sz w:val="22"/>
          <w:szCs w:val="22"/>
          <w:lang w:val="uk-UA"/>
        </w:rPr>
        <w:t xml:space="preserve"> тривають) та не активних ТРП (події щодо недоступності </w:t>
      </w:r>
      <w:r w:rsidR="00D9663F" w:rsidRPr="00E744B1">
        <w:rPr>
          <w:i/>
          <w:sz w:val="22"/>
          <w:szCs w:val="22"/>
          <w:lang w:val="uk-UA"/>
        </w:rPr>
        <w:t>об’єктів</w:t>
      </w:r>
      <w:r w:rsidRPr="00E744B1">
        <w:rPr>
          <w:i/>
          <w:sz w:val="22"/>
          <w:szCs w:val="22"/>
          <w:lang w:val="uk-UA"/>
        </w:rPr>
        <w:t xml:space="preserve"> закінчилися).</w:t>
      </w:r>
    </w:p>
    <w:p w14:paraId="49A9EA33" w14:textId="441EB665" w:rsidR="00D21834" w:rsidRPr="00E744B1" w:rsidRDefault="008E5425" w:rsidP="00D21834">
      <w:pPr>
        <w:spacing w:before="100" w:beforeAutospacing="1" w:after="100" w:afterAutospacing="1"/>
        <w:ind w:firstLine="708"/>
        <w:contextualSpacing/>
        <w:jc w:val="both"/>
        <w:rPr>
          <w:i/>
          <w:sz w:val="22"/>
          <w:szCs w:val="22"/>
          <w:lang w:val="uk-UA"/>
        </w:rPr>
      </w:pPr>
      <w:bookmarkStart w:id="0" w:name="_Hlk211264002"/>
      <w:r w:rsidRPr="00E744B1">
        <w:rPr>
          <w:i/>
          <w:sz w:val="22"/>
          <w:szCs w:val="22"/>
          <w:lang w:val="uk-UA"/>
        </w:rPr>
        <w:t>6</w:t>
      </w:r>
      <w:r w:rsidR="00D21834" w:rsidRPr="00E744B1">
        <w:rPr>
          <w:i/>
          <w:sz w:val="22"/>
          <w:szCs w:val="22"/>
          <w:lang w:val="uk-UA"/>
        </w:rPr>
        <w:t xml:space="preserve"> ТРП щодо недоступності об’єктів </w:t>
      </w:r>
      <w:r w:rsidR="00BB40D2" w:rsidRPr="00E744B1">
        <w:rPr>
          <w:i/>
          <w:sz w:val="22"/>
          <w:szCs w:val="22"/>
          <w:lang w:val="uk-UA"/>
        </w:rPr>
        <w:t>споживання</w:t>
      </w:r>
      <w:r w:rsidR="00D21834" w:rsidRPr="00E744B1">
        <w:rPr>
          <w:i/>
          <w:sz w:val="22"/>
          <w:szCs w:val="22"/>
          <w:lang w:val="uk-UA"/>
        </w:rPr>
        <w:t>, які охоплюють І</w:t>
      </w:r>
      <w:r w:rsidR="00A55162" w:rsidRPr="00E744B1">
        <w:rPr>
          <w:i/>
          <w:sz w:val="22"/>
          <w:szCs w:val="22"/>
          <w:lang w:val="uk-UA"/>
        </w:rPr>
        <w:t>І</w:t>
      </w:r>
      <w:r w:rsidR="00D21834" w:rsidRPr="00E744B1">
        <w:rPr>
          <w:i/>
          <w:sz w:val="22"/>
          <w:szCs w:val="22"/>
          <w:lang w:val="uk-UA"/>
        </w:rPr>
        <w:t xml:space="preserve"> декаду </w:t>
      </w:r>
      <w:r w:rsidR="00B6660D" w:rsidRPr="00E744B1">
        <w:rPr>
          <w:i/>
          <w:sz w:val="22"/>
          <w:szCs w:val="22"/>
          <w:lang w:val="uk-UA"/>
        </w:rPr>
        <w:t>листопада</w:t>
      </w:r>
      <w:r w:rsidR="00D21834" w:rsidRPr="00E744B1">
        <w:rPr>
          <w:i/>
          <w:sz w:val="22"/>
          <w:szCs w:val="22"/>
          <w:lang w:val="uk-UA"/>
        </w:rPr>
        <w:t xml:space="preserve"> та інші періоди 2025 року (</w:t>
      </w:r>
      <w:r w:rsidRPr="00E744B1">
        <w:rPr>
          <w:i/>
          <w:sz w:val="22"/>
          <w:szCs w:val="22"/>
          <w:lang w:val="uk-UA"/>
        </w:rPr>
        <w:t>6 894</w:t>
      </w:r>
      <w:r w:rsidR="00D21834" w:rsidRPr="00E744B1">
        <w:rPr>
          <w:i/>
          <w:sz w:val="22"/>
          <w:szCs w:val="22"/>
          <w:lang w:val="uk-UA"/>
        </w:rPr>
        <w:t xml:space="preserve"> </w:t>
      </w:r>
      <w:bookmarkStart w:id="1" w:name="_Hlk211954672"/>
      <w:r w:rsidR="00D21834" w:rsidRPr="00E744B1">
        <w:rPr>
          <w:i/>
          <w:sz w:val="22"/>
          <w:szCs w:val="22"/>
          <w:lang w:val="uk-UA"/>
        </w:rPr>
        <w:t>тис. куб. м/д</w:t>
      </w:r>
      <w:bookmarkEnd w:id="1"/>
      <w:r w:rsidR="00A33AB1" w:rsidRPr="00E744B1">
        <w:rPr>
          <w:i/>
          <w:sz w:val="22"/>
          <w:szCs w:val="22"/>
          <w:lang w:val="uk-UA"/>
        </w:rPr>
        <w:t xml:space="preserve">, а саме: </w:t>
      </w:r>
      <w:r w:rsidR="003475BB" w:rsidRPr="00E744B1">
        <w:rPr>
          <w:i/>
          <w:sz w:val="22"/>
          <w:szCs w:val="22"/>
          <w:lang w:val="uk-UA"/>
        </w:rPr>
        <w:t xml:space="preserve">1 968 тис. куб. м/д до </w:t>
      </w:r>
      <w:r w:rsidR="004028F8" w:rsidRPr="00E744B1">
        <w:rPr>
          <w:i/>
          <w:sz w:val="22"/>
          <w:szCs w:val="22"/>
          <w:lang w:val="uk-UA"/>
        </w:rPr>
        <w:t xml:space="preserve">кінця </w:t>
      </w:r>
      <w:r w:rsidR="003475BB" w:rsidRPr="00E744B1">
        <w:rPr>
          <w:i/>
          <w:sz w:val="22"/>
          <w:szCs w:val="22"/>
          <w:lang w:val="uk-UA"/>
        </w:rPr>
        <w:t xml:space="preserve">листопада 2025 року; </w:t>
      </w:r>
      <w:r w:rsidRPr="00E744B1">
        <w:rPr>
          <w:i/>
          <w:sz w:val="22"/>
          <w:szCs w:val="22"/>
          <w:lang w:val="uk-UA"/>
        </w:rPr>
        <w:t xml:space="preserve">2 040 </w:t>
      </w:r>
      <w:r w:rsidR="00A33AB1" w:rsidRPr="00E744B1">
        <w:rPr>
          <w:i/>
          <w:sz w:val="22"/>
          <w:szCs w:val="22"/>
          <w:lang w:val="uk-UA"/>
        </w:rPr>
        <w:t xml:space="preserve">тис. куб. м/д </w:t>
      </w:r>
      <w:r w:rsidRPr="00E744B1">
        <w:rPr>
          <w:i/>
          <w:sz w:val="22"/>
          <w:szCs w:val="22"/>
          <w:lang w:val="uk-UA"/>
        </w:rPr>
        <w:t>до</w:t>
      </w:r>
      <w:r w:rsidR="004028F8" w:rsidRPr="00E744B1">
        <w:rPr>
          <w:i/>
          <w:sz w:val="22"/>
          <w:szCs w:val="22"/>
          <w:lang w:val="uk-UA"/>
        </w:rPr>
        <w:t xml:space="preserve"> кінця </w:t>
      </w:r>
      <w:r w:rsidRPr="00E744B1">
        <w:rPr>
          <w:i/>
          <w:sz w:val="22"/>
          <w:szCs w:val="22"/>
          <w:lang w:val="uk-UA"/>
        </w:rPr>
        <w:t xml:space="preserve">ІІ декади грудня </w:t>
      </w:r>
      <w:r w:rsidR="00A33AB1" w:rsidRPr="00E744B1">
        <w:rPr>
          <w:i/>
          <w:sz w:val="22"/>
          <w:szCs w:val="22"/>
          <w:lang w:val="uk-UA"/>
        </w:rPr>
        <w:t xml:space="preserve">2025 року; </w:t>
      </w:r>
      <w:r w:rsidRPr="00E744B1">
        <w:rPr>
          <w:i/>
          <w:sz w:val="22"/>
          <w:szCs w:val="22"/>
          <w:lang w:val="uk-UA"/>
        </w:rPr>
        <w:t>918</w:t>
      </w:r>
      <w:r w:rsidR="000500E5" w:rsidRPr="00E744B1">
        <w:rPr>
          <w:i/>
          <w:sz w:val="22"/>
          <w:szCs w:val="22"/>
          <w:lang w:val="uk-UA"/>
        </w:rPr>
        <w:t xml:space="preserve"> </w:t>
      </w:r>
      <w:bookmarkStart w:id="2" w:name="_Hlk214626492"/>
      <w:r w:rsidR="000500E5" w:rsidRPr="00E744B1">
        <w:rPr>
          <w:i/>
          <w:sz w:val="22"/>
          <w:szCs w:val="22"/>
          <w:lang w:val="uk-UA"/>
        </w:rPr>
        <w:t xml:space="preserve">тис. куб. м/д </w:t>
      </w:r>
      <w:bookmarkEnd w:id="2"/>
      <w:r w:rsidRPr="00E744B1">
        <w:rPr>
          <w:i/>
          <w:sz w:val="22"/>
          <w:szCs w:val="22"/>
          <w:lang w:val="uk-UA"/>
        </w:rPr>
        <w:t>до кінця</w:t>
      </w:r>
      <w:r w:rsidR="00BB40D2" w:rsidRPr="00E744B1">
        <w:rPr>
          <w:i/>
          <w:sz w:val="22"/>
          <w:szCs w:val="22"/>
          <w:lang w:val="uk-UA"/>
        </w:rPr>
        <w:t xml:space="preserve"> </w:t>
      </w:r>
      <w:r w:rsidR="00A55162" w:rsidRPr="00E744B1">
        <w:rPr>
          <w:i/>
          <w:sz w:val="22"/>
          <w:szCs w:val="22"/>
          <w:lang w:val="uk-UA"/>
        </w:rPr>
        <w:t>грудня</w:t>
      </w:r>
      <w:r w:rsidR="00BB40D2" w:rsidRPr="00E744B1">
        <w:rPr>
          <w:i/>
          <w:sz w:val="22"/>
          <w:szCs w:val="22"/>
          <w:lang w:val="uk-UA"/>
        </w:rPr>
        <w:t xml:space="preserve"> 2025 року</w:t>
      </w:r>
      <w:r w:rsidR="00A55162" w:rsidRPr="00E744B1">
        <w:rPr>
          <w:i/>
          <w:sz w:val="22"/>
          <w:szCs w:val="22"/>
          <w:lang w:val="uk-UA"/>
        </w:rPr>
        <w:t>;</w:t>
      </w:r>
      <w:r w:rsidR="004028F8" w:rsidRPr="00E744B1">
        <w:rPr>
          <w:i/>
          <w:sz w:val="22"/>
          <w:szCs w:val="22"/>
          <w:lang w:val="uk-UA"/>
        </w:rPr>
        <w:t xml:space="preserve"> </w:t>
      </w:r>
      <w:r w:rsidR="003475BB" w:rsidRPr="00E744B1">
        <w:rPr>
          <w:i/>
          <w:sz w:val="22"/>
          <w:szCs w:val="22"/>
          <w:lang w:val="uk-UA"/>
        </w:rPr>
        <w:t>1 968 тис. куб. м/д до кінця лютого 2026 року</w:t>
      </w:r>
      <w:r w:rsidR="00D21834" w:rsidRPr="00E744B1">
        <w:rPr>
          <w:i/>
          <w:sz w:val="22"/>
          <w:szCs w:val="22"/>
          <w:lang w:val="uk-UA"/>
        </w:rPr>
        <w:t>).</w:t>
      </w:r>
    </w:p>
    <w:p w14:paraId="57F6FFE9" w14:textId="08EDE700" w:rsidR="00D21834" w:rsidRPr="00E744B1" w:rsidRDefault="00B6660D" w:rsidP="00BB40D2">
      <w:pPr>
        <w:spacing w:before="100" w:beforeAutospacing="1" w:after="100" w:afterAutospacing="1"/>
        <w:ind w:firstLine="708"/>
        <w:contextualSpacing/>
        <w:jc w:val="both"/>
        <w:rPr>
          <w:i/>
          <w:sz w:val="22"/>
          <w:szCs w:val="22"/>
          <w:lang w:val="uk-UA"/>
        </w:rPr>
      </w:pPr>
      <w:bookmarkStart w:id="3" w:name="_Hlk214626993"/>
      <w:bookmarkEnd w:id="0"/>
      <w:r w:rsidRPr="00E744B1">
        <w:rPr>
          <w:i/>
          <w:sz w:val="22"/>
          <w:szCs w:val="22"/>
          <w:lang w:val="uk-UA"/>
        </w:rPr>
        <w:t>2</w:t>
      </w:r>
      <w:r w:rsidR="00D21834" w:rsidRPr="00E744B1">
        <w:rPr>
          <w:i/>
          <w:sz w:val="22"/>
          <w:szCs w:val="22"/>
          <w:lang w:val="uk-UA"/>
        </w:rPr>
        <w:t xml:space="preserve"> ТРП щодо недоступності об’єктів </w:t>
      </w:r>
      <w:r w:rsidR="00A55162" w:rsidRPr="00E744B1">
        <w:rPr>
          <w:i/>
          <w:sz w:val="22"/>
          <w:szCs w:val="22"/>
          <w:lang w:val="uk-UA"/>
        </w:rPr>
        <w:t>видобутку</w:t>
      </w:r>
      <w:r w:rsidR="00D21834" w:rsidRPr="00E744B1">
        <w:rPr>
          <w:i/>
          <w:sz w:val="22"/>
          <w:szCs w:val="22"/>
          <w:lang w:val="uk-UA"/>
        </w:rPr>
        <w:t xml:space="preserve">, </w:t>
      </w:r>
      <w:bookmarkEnd w:id="3"/>
      <w:r w:rsidR="004028F8" w:rsidRPr="00E744B1">
        <w:rPr>
          <w:i/>
          <w:sz w:val="22"/>
          <w:szCs w:val="22"/>
          <w:lang w:val="uk-UA"/>
        </w:rPr>
        <w:t xml:space="preserve">які охоплюють ІІ декаду листопада та інші періоди 2025 року </w:t>
      </w:r>
      <w:r w:rsidRPr="00E744B1">
        <w:rPr>
          <w:i/>
          <w:sz w:val="22"/>
          <w:szCs w:val="22"/>
          <w:lang w:val="uk-UA"/>
        </w:rPr>
        <w:t>(</w:t>
      </w:r>
      <w:r w:rsidR="00A55162" w:rsidRPr="00E744B1">
        <w:rPr>
          <w:i/>
          <w:sz w:val="22"/>
          <w:szCs w:val="22"/>
          <w:lang w:val="uk-UA"/>
        </w:rPr>
        <w:t>5 959</w:t>
      </w:r>
      <w:r w:rsidR="00A33AB1" w:rsidRPr="00E744B1">
        <w:rPr>
          <w:i/>
          <w:sz w:val="22"/>
          <w:szCs w:val="22"/>
          <w:lang w:val="uk-UA"/>
        </w:rPr>
        <w:t xml:space="preserve"> тис. куб. м/д</w:t>
      </w:r>
      <w:r w:rsidR="003475BB" w:rsidRPr="00E744B1">
        <w:rPr>
          <w:i/>
          <w:sz w:val="22"/>
          <w:szCs w:val="22"/>
          <w:lang w:val="uk-UA"/>
        </w:rPr>
        <w:t>. до кінця</w:t>
      </w:r>
      <w:r w:rsidR="00506D91" w:rsidRPr="00E744B1">
        <w:rPr>
          <w:i/>
          <w:sz w:val="22"/>
          <w:szCs w:val="22"/>
          <w:lang w:val="uk-UA"/>
        </w:rPr>
        <w:t xml:space="preserve"> ІІІ декади листопада 2025</w:t>
      </w:r>
      <w:r w:rsidR="004028F8" w:rsidRPr="00E744B1">
        <w:rPr>
          <w:i/>
          <w:sz w:val="22"/>
          <w:szCs w:val="22"/>
          <w:lang w:val="uk-UA"/>
        </w:rPr>
        <w:t>)</w:t>
      </w:r>
      <w:r w:rsidR="003475BB" w:rsidRPr="00E744B1">
        <w:rPr>
          <w:i/>
          <w:sz w:val="22"/>
          <w:szCs w:val="22"/>
          <w:lang w:val="uk-UA"/>
        </w:rPr>
        <w:t>.</w:t>
      </w:r>
    </w:p>
    <w:p w14:paraId="37242E48" w14:textId="18C58C02" w:rsidR="00506D91" w:rsidRPr="00E744B1" w:rsidRDefault="00506D91" w:rsidP="00BB40D2">
      <w:pPr>
        <w:spacing w:before="100" w:beforeAutospacing="1" w:after="100" w:afterAutospacing="1"/>
        <w:ind w:firstLine="708"/>
        <w:contextualSpacing/>
        <w:jc w:val="both"/>
        <w:rPr>
          <w:i/>
          <w:sz w:val="22"/>
          <w:szCs w:val="22"/>
          <w:lang w:val="uk-UA"/>
        </w:rPr>
      </w:pPr>
      <w:r w:rsidRPr="00E744B1">
        <w:rPr>
          <w:i/>
          <w:sz w:val="22"/>
          <w:szCs w:val="22"/>
          <w:lang w:val="uk-UA"/>
        </w:rPr>
        <w:t>1 ТРП щодо недоступності об’єктів транспортування, яке охоплює період агрегації</w:t>
      </w:r>
      <w:r w:rsidR="003475BB" w:rsidRPr="00E744B1">
        <w:rPr>
          <w:i/>
          <w:sz w:val="22"/>
          <w:szCs w:val="22"/>
          <w:lang w:val="uk-UA"/>
        </w:rPr>
        <w:t xml:space="preserve"> та інші періоди 2026 року</w:t>
      </w:r>
      <w:r w:rsidRPr="00E744B1">
        <w:rPr>
          <w:i/>
          <w:sz w:val="22"/>
          <w:szCs w:val="22"/>
          <w:lang w:val="uk-UA"/>
        </w:rPr>
        <w:t>, а саме: 67 тис. куб. м/д. протягом ІІ декади листопада 2025 року - ІІ декади листопада 2026 року.</w:t>
      </w:r>
    </w:p>
    <w:p w14:paraId="1EB27D88" w14:textId="4EDF3A0A" w:rsidR="001322A3" w:rsidRDefault="00F52467" w:rsidP="00BB40D2">
      <w:pPr>
        <w:ind w:firstLine="709"/>
        <w:jc w:val="both"/>
        <w:rPr>
          <w:rFonts w:asciiTheme="minorHAnsi" w:hAnsiTheme="minorHAnsi" w:cstheme="minorHAnsi"/>
          <w:iCs/>
          <w:sz w:val="22"/>
          <w:szCs w:val="22"/>
          <w:lang w:val="uk-UA"/>
        </w:rPr>
      </w:pPr>
      <w:r w:rsidRPr="006D0E03">
        <w:rPr>
          <w:rFonts w:asciiTheme="minorHAnsi" w:hAnsiTheme="minorHAnsi" w:cstheme="minorHAnsi"/>
          <w:b/>
          <w:bCs/>
          <w:iCs/>
          <w:sz w:val="22"/>
          <w:szCs w:val="22"/>
          <w:lang w:val="uk-UA"/>
        </w:rPr>
        <w:t>Звертаємо увагу</w:t>
      </w:r>
      <w:r w:rsidR="00D9663F" w:rsidRPr="006D0E03">
        <w:rPr>
          <w:rFonts w:asciiTheme="minorHAnsi" w:hAnsiTheme="minorHAnsi" w:cstheme="minorHAnsi"/>
          <w:iCs/>
          <w:sz w:val="22"/>
          <w:szCs w:val="22"/>
          <w:lang w:val="uk-UA"/>
        </w:rPr>
        <w:t>:</w:t>
      </w:r>
      <w:r w:rsidRPr="006D0E03">
        <w:rPr>
          <w:rFonts w:asciiTheme="minorHAnsi" w:hAnsiTheme="minorHAnsi" w:cstheme="minorHAnsi"/>
          <w:i/>
          <w:sz w:val="22"/>
          <w:szCs w:val="22"/>
          <w:lang w:val="uk-UA"/>
        </w:rPr>
        <w:t xml:space="preserve"> </w:t>
      </w:r>
      <w:r w:rsidRPr="006D0E03">
        <w:rPr>
          <w:rFonts w:asciiTheme="minorHAnsi" w:hAnsiTheme="minorHAnsi" w:cstheme="minorHAnsi"/>
          <w:iCs/>
          <w:sz w:val="22"/>
          <w:szCs w:val="22"/>
          <w:lang w:val="uk-UA"/>
        </w:rPr>
        <w:t xml:space="preserve">на період воєнного стану Закон України «Про внесення змін до деяких законів України у сферах енергетики і теплопостачання щодо удосконалення окремих положень, пов’язаних із веденням господарської діяльності та дією воєнного стану в Україні» звільняє учасників оптового енергетичного ринку від обов’язку оприлюднювати </w:t>
      </w:r>
      <w:proofErr w:type="spellStart"/>
      <w:r w:rsidRPr="006D0E03">
        <w:rPr>
          <w:rFonts w:asciiTheme="minorHAnsi" w:hAnsiTheme="minorHAnsi" w:cstheme="minorHAnsi"/>
          <w:iCs/>
          <w:sz w:val="22"/>
          <w:szCs w:val="22"/>
          <w:lang w:val="uk-UA"/>
        </w:rPr>
        <w:t>інсайдерську</w:t>
      </w:r>
      <w:proofErr w:type="spellEnd"/>
      <w:r w:rsidRPr="006D0E03">
        <w:rPr>
          <w:rFonts w:asciiTheme="minorHAnsi" w:hAnsiTheme="minorHAnsi" w:cstheme="minorHAnsi"/>
          <w:iCs/>
          <w:sz w:val="22"/>
          <w:szCs w:val="22"/>
          <w:lang w:val="uk-UA"/>
        </w:rPr>
        <w:t xml:space="preserve"> інформацію щодо потужності (доступної та недоступної) та можливості фізичного використання об’єктів для видобутку, виробництва, зберігання, споживання чи транспортування природного газу або яка стосується потужності та використання установок LNG.</w:t>
      </w:r>
    </w:p>
    <w:p w14:paraId="40867CC2" w14:textId="67DA6F2C" w:rsidR="00E41345" w:rsidRPr="006D0E03" w:rsidRDefault="00F52467" w:rsidP="00D9663F">
      <w:pPr>
        <w:ind w:firstLine="708"/>
        <w:jc w:val="both"/>
        <w:rPr>
          <w:rFonts w:asciiTheme="minorHAnsi" w:hAnsiTheme="minorHAnsi" w:cstheme="minorHAnsi"/>
          <w:iCs/>
          <w:sz w:val="22"/>
          <w:szCs w:val="22"/>
          <w:lang w:val="uk-UA"/>
        </w:rPr>
      </w:pPr>
      <w:r w:rsidRPr="006D0E03">
        <w:rPr>
          <w:rFonts w:asciiTheme="minorHAnsi" w:hAnsiTheme="minorHAnsi" w:cstheme="minorHAnsi"/>
          <w:iCs/>
          <w:sz w:val="22"/>
          <w:szCs w:val="22"/>
          <w:lang w:val="uk-UA"/>
        </w:rPr>
        <w:t>Зазначена недоступна потужність об’єктів агрегована на основі термінових ринкових повідомлень, які розміщені учасниками оптового енергетичного ринку у тестовому режимі, а також з коливанням у певні дні декади періоду агрегації</w:t>
      </w:r>
      <w:r w:rsidR="00652D2F" w:rsidRPr="006D0E03">
        <w:rPr>
          <w:rFonts w:asciiTheme="minorHAnsi" w:hAnsiTheme="minorHAnsi" w:cstheme="minorHAnsi"/>
          <w:iCs/>
          <w:sz w:val="22"/>
          <w:szCs w:val="22"/>
          <w:lang w:val="uk-UA"/>
        </w:rPr>
        <w:t>.</w:t>
      </w:r>
      <w:r w:rsidR="000500E5">
        <w:rPr>
          <w:rFonts w:asciiTheme="minorHAnsi" w:hAnsiTheme="minorHAnsi" w:cstheme="minorHAnsi"/>
          <w:iCs/>
          <w:sz w:val="22"/>
          <w:szCs w:val="22"/>
          <w:lang w:val="uk-UA"/>
        </w:rPr>
        <w:t xml:space="preserve"> </w:t>
      </w:r>
    </w:p>
    <w:sectPr w:rsidR="00E41345" w:rsidRPr="006D0E03" w:rsidSect="001322A3">
      <w:headerReference w:type="default" r:id="rId8"/>
      <w:headerReference w:type="first" r:id="rId9"/>
      <w:pgSz w:w="11906" w:h="16838"/>
      <w:pgMar w:top="284" w:right="567" w:bottom="0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423E6" w14:textId="77777777" w:rsidR="00C154A8" w:rsidRDefault="00C154A8">
      <w:r>
        <w:separator/>
      </w:r>
    </w:p>
  </w:endnote>
  <w:endnote w:type="continuationSeparator" w:id="0">
    <w:p w14:paraId="5AAFC4C6" w14:textId="77777777" w:rsidR="00C154A8" w:rsidRDefault="00C15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3FE82" w14:textId="77777777" w:rsidR="00C154A8" w:rsidRDefault="00C154A8">
      <w:r>
        <w:separator/>
      </w:r>
    </w:p>
  </w:footnote>
  <w:footnote w:type="continuationSeparator" w:id="0">
    <w:p w14:paraId="6FA5BA7C" w14:textId="77777777" w:rsidR="00C154A8" w:rsidRDefault="00C15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AAADC" w14:textId="77777777" w:rsidR="006B5FF1" w:rsidRPr="00905D40" w:rsidRDefault="006B5FF1">
    <w:pPr>
      <w:pStyle w:val="ae"/>
      <w:jc w:val="center"/>
      <w:rPr>
        <w:lang w:val="uk-UA"/>
      </w:rPr>
    </w:pPr>
  </w:p>
  <w:p w14:paraId="0C5986A7" w14:textId="77777777" w:rsidR="006B5FF1" w:rsidRDefault="006B5FF1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251D" w14:textId="77777777" w:rsidR="006B5FF1" w:rsidRDefault="006B5FF1">
    <w:pPr>
      <w:pStyle w:val="ae"/>
      <w:jc w:val="center"/>
    </w:pPr>
  </w:p>
  <w:p w14:paraId="3BEBA2ED" w14:textId="77777777" w:rsidR="006B5FF1" w:rsidRPr="00AA770D" w:rsidRDefault="006B5FF1" w:rsidP="00740DE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B7B86"/>
    <w:multiLevelType w:val="multilevel"/>
    <w:tmpl w:val="1DCC95B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1" w15:restartNumberingAfterBreak="0">
    <w:nsid w:val="29F60B08"/>
    <w:multiLevelType w:val="hybridMultilevel"/>
    <w:tmpl w:val="460A6E88"/>
    <w:lvl w:ilvl="0" w:tplc="1F008BB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52973"/>
    <w:multiLevelType w:val="hybridMultilevel"/>
    <w:tmpl w:val="16E8148C"/>
    <w:lvl w:ilvl="0" w:tplc="C9485318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F336CD0"/>
    <w:multiLevelType w:val="multilevel"/>
    <w:tmpl w:val="AB94F8A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67631BF6"/>
    <w:multiLevelType w:val="hybridMultilevel"/>
    <w:tmpl w:val="E092CBF8"/>
    <w:lvl w:ilvl="0" w:tplc="04220011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D3C7240"/>
    <w:multiLevelType w:val="hybridMultilevel"/>
    <w:tmpl w:val="5DE694AA"/>
    <w:lvl w:ilvl="0" w:tplc="B1102A20">
      <w:start w:val="1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212804">
    <w:abstractNumId w:val="3"/>
  </w:num>
  <w:num w:numId="2" w16cid:durableId="364059314">
    <w:abstractNumId w:val="2"/>
  </w:num>
  <w:num w:numId="3" w16cid:durableId="703675538">
    <w:abstractNumId w:val="0"/>
  </w:num>
  <w:num w:numId="4" w16cid:durableId="1893729334">
    <w:abstractNumId w:val="4"/>
  </w:num>
  <w:num w:numId="5" w16cid:durableId="1838112427">
    <w:abstractNumId w:val="5"/>
  </w:num>
  <w:num w:numId="6" w16cid:durableId="1435443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8D2"/>
    <w:rsid w:val="0000118A"/>
    <w:rsid w:val="000037A3"/>
    <w:rsid w:val="00003EB0"/>
    <w:rsid w:val="0001212F"/>
    <w:rsid w:val="000125F2"/>
    <w:rsid w:val="00015B3C"/>
    <w:rsid w:val="000238E4"/>
    <w:rsid w:val="00027C8D"/>
    <w:rsid w:val="00034229"/>
    <w:rsid w:val="000353F3"/>
    <w:rsid w:val="00037851"/>
    <w:rsid w:val="000458F7"/>
    <w:rsid w:val="000500E5"/>
    <w:rsid w:val="00051E4D"/>
    <w:rsid w:val="0006505A"/>
    <w:rsid w:val="00070A93"/>
    <w:rsid w:val="0007162E"/>
    <w:rsid w:val="00073CD4"/>
    <w:rsid w:val="00073D5C"/>
    <w:rsid w:val="000743DB"/>
    <w:rsid w:val="000760CB"/>
    <w:rsid w:val="000761DA"/>
    <w:rsid w:val="00082E2C"/>
    <w:rsid w:val="00085E11"/>
    <w:rsid w:val="00086ABB"/>
    <w:rsid w:val="000962F3"/>
    <w:rsid w:val="00096BBC"/>
    <w:rsid w:val="000A1A53"/>
    <w:rsid w:val="000B0045"/>
    <w:rsid w:val="000B4071"/>
    <w:rsid w:val="000C0E90"/>
    <w:rsid w:val="000C1584"/>
    <w:rsid w:val="000C2683"/>
    <w:rsid w:val="000C3CA5"/>
    <w:rsid w:val="000C557E"/>
    <w:rsid w:val="000C699B"/>
    <w:rsid w:val="000D09AC"/>
    <w:rsid w:val="000D2CC7"/>
    <w:rsid w:val="000D6F96"/>
    <w:rsid w:val="000E15C9"/>
    <w:rsid w:val="000E243D"/>
    <w:rsid w:val="000E27B7"/>
    <w:rsid w:val="000E2E4B"/>
    <w:rsid w:val="000F107C"/>
    <w:rsid w:val="000F17AA"/>
    <w:rsid w:val="000F1941"/>
    <w:rsid w:val="000F218F"/>
    <w:rsid w:val="00107B76"/>
    <w:rsid w:val="00112F07"/>
    <w:rsid w:val="00116BC8"/>
    <w:rsid w:val="00121A12"/>
    <w:rsid w:val="00122120"/>
    <w:rsid w:val="0012406A"/>
    <w:rsid w:val="00127D34"/>
    <w:rsid w:val="0013145E"/>
    <w:rsid w:val="001322A3"/>
    <w:rsid w:val="00135783"/>
    <w:rsid w:val="00142477"/>
    <w:rsid w:val="00143F03"/>
    <w:rsid w:val="0015419B"/>
    <w:rsid w:val="00160DDF"/>
    <w:rsid w:val="00162750"/>
    <w:rsid w:val="00162A0C"/>
    <w:rsid w:val="00162F24"/>
    <w:rsid w:val="00166CEA"/>
    <w:rsid w:val="00167C45"/>
    <w:rsid w:val="0018579E"/>
    <w:rsid w:val="0018758F"/>
    <w:rsid w:val="001967AB"/>
    <w:rsid w:val="001A10D4"/>
    <w:rsid w:val="001B17B7"/>
    <w:rsid w:val="001B3A1A"/>
    <w:rsid w:val="001B5E04"/>
    <w:rsid w:val="001C1C91"/>
    <w:rsid w:val="001C1D5B"/>
    <w:rsid w:val="001C2C19"/>
    <w:rsid w:val="001C5E4E"/>
    <w:rsid w:val="001C622A"/>
    <w:rsid w:val="001C6732"/>
    <w:rsid w:val="001D22A8"/>
    <w:rsid w:val="001D67AC"/>
    <w:rsid w:val="001D7FD9"/>
    <w:rsid w:val="001E32D9"/>
    <w:rsid w:val="001E6BB6"/>
    <w:rsid w:val="001F0D90"/>
    <w:rsid w:val="001F1C52"/>
    <w:rsid w:val="001F1FB5"/>
    <w:rsid w:val="00202B1C"/>
    <w:rsid w:val="00206A78"/>
    <w:rsid w:val="002107F1"/>
    <w:rsid w:val="002177EB"/>
    <w:rsid w:val="002273BE"/>
    <w:rsid w:val="00227AC4"/>
    <w:rsid w:val="0023619A"/>
    <w:rsid w:val="002369DF"/>
    <w:rsid w:val="00243326"/>
    <w:rsid w:val="002446F1"/>
    <w:rsid w:val="0024515D"/>
    <w:rsid w:val="00256B95"/>
    <w:rsid w:val="002626A5"/>
    <w:rsid w:val="00267633"/>
    <w:rsid w:val="002732EF"/>
    <w:rsid w:val="00275C2B"/>
    <w:rsid w:val="002801E5"/>
    <w:rsid w:val="002962A1"/>
    <w:rsid w:val="002A492B"/>
    <w:rsid w:val="002B438A"/>
    <w:rsid w:val="002C4EA9"/>
    <w:rsid w:val="002D0347"/>
    <w:rsid w:val="002D31D7"/>
    <w:rsid w:val="002D5780"/>
    <w:rsid w:val="002D72D5"/>
    <w:rsid w:val="002D7380"/>
    <w:rsid w:val="002E7DCA"/>
    <w:rsid w:val="002F7DD8"/>
    <w:rsid w:val="003131E3"/>
    <w:rsid w:val="00317219"/>
    <w:rsid w:val="00320299"/>
    <w:rsid w:val="003279B1"/>
    <w:rsid w:val="00331C8A"/>
    <w:rsid w:val="00334F8F"/>
    <w:rsid w:val="00346E95"/>
    <w:rsid w:val="003475BB"/>
    <w:rsid w:val="00351C72"/>
    <w:rsid w:val="00352C76"/>
    <w:rsid w:val="003577D2"/>
    <w:rsid w:val="00357F96"/>
    <w:rsid w:val="00362080"/>
    <w:rsid w:val="003631F9"/>
    <w:rsid w:val="003740DB"/>
    <w:rsid w:val="0037516E"/>
    <w:rsid w:val="00390278"/>
    <w:rsid w:val="003948AB"/>
    <w:rsid w:val="00396411"/>
    <w:rsid w:val="00397E80"/>
    <w:rsid w:val="003A5BB1"/>
    <w:rsid w:val="003B2FE5"/>
    <w:rsid w:val="003B7261"/>
    <w:rsid w:val="003E5C49"/>
    <w:rsid w:val="003F1CC6"/>
    <w:rsid w:val="003F294A"/>
    <w:rsid w:val="004028F8"/>
    <w:rsid w:val="00404CDE"/>
    <w:rsid w:val="00407432"/>
    <w:rsid w:val="00410F18"/>
    <w:rsid w:val="004129F5"/>
    <w:rsid w:val="00413D02"/>
    <w:rsid w:val="00415279"/>
    <w:rsid w:val="0042489C"/>
    <w:rsid w:val="0044204B"/>
    <w:rsid w:val="00445F15"/>
    <w:rsid w:val="00447584"/>
    <w:rsid w:val="0045108B"/>
    <w:rsid w:val="00452672"/>
    <w:rsid w:val="004542DC"/>
    <w:rsid w:val="00456FCB"/>
    <w:rsid w:val="004578B3"/>
    <w:rsid w:val="00461622"/>
    <w:rsid w:val="004642E6"/>
    <w:rsid w:val="00471268"/>
    <w:rsid w:val="0047352B"/>
    <w:rsid w:val="00474522"/>
    <w:rsid w:val="00476D3A"/>
    <w:rsid w:val="004823E9"/>
    <w:rsid w:val="00483F72"/>
    <w:rsid w:val="00495367"/>
    <w:rsid w:val="004A16D7"/>
    <w:rsid w:val="004A737E"/>
    <w:rsid w:val="004B17D7"/>
    <w:rsid w:val="004B2E77"/>
    <w:rsid w:val="004B66CC"/>
    <w:rsid w:val="004C56A6"/>
    <w:rsid w:val="004D1F60"/>
    <w:rsid w:val="004D5B63"/>
    <w:rsid w:val="004D5D81"/>
    <w:rsid w:val="004E255A"/>
    <w:rsid w:val="004E33D1"/>
    <w:rsid w:val="004E753B"/>
    <w:rsid w:val="004E7B09"/>
    <w:rsid w:val="004F2A4C"/>
    <w:rsid w:val="004F2EC0"/>
    <w:rsid w:val="004F52B0"/>
    <w:rsid w:val="00501BFC"/>
    <w:rsid w:val="00504B15"/>
    <w:rsid w:val="00506D91"/>
    <w:rsid w:val="00526E49"/>
    <w:rsid w:val="00533E3B"/>
    <w:rsid w:val="00536A60"/>
    <w:rsid w:val="00545C19"/>
    <w:rsid w:val="0055099E"/>
    <w:rsid w:val="0056046C"/>
    <w:rsid w:val="00567C3C"/>
    <w:rsid w:val="00577F04"/>
    <w:rsid w:val="00592711"/>
    <w:rsid w:val="0059285D"/>
    <w:rsid w:val="005A2679"/>
    <w:rsid w:val="005A29E9"/>
    <w:rsid w:val="005A3BD4"/>
    <w:rsid w:val="005A593D"/>
    <w:rsid w:val="005B43E4"/>
    <w:rsid w:val="005C14E7"/>
    <w:rsid w:val="005C30C4"/>
    <w:rsid w:val="005C5900"/>
    <w:rsid w:val="005C7483"/>
    <w:rsid w:val="005D1E3A"/>
    <w:rsid w:val="005E62A1"/>
    <w:rsid w:val="006010FE"/>
    <w:rsid w:val="00601BBB"/>
    <w:rsid w:val="0060235F"/>
    <w:rsid w:val="006046C3"/>
    <w:rsid w:val="006146C7"/>
    <w:rsid w:val="00617ACE"/>
    <w:rsid w:val="00621753"/>
    <w:rsid w:val="00621C83"/>
    <w:rsid w:val="00624E32"/>
    <w:rsid w:val="00627371"/>
    <w:rsid w:val="006309BA"/>
    <w:rsid w:val="006329B6"/>
    <w:rsid w:val="00635F31"/>
    <w:rsid w:val="00650BB1"/>
    <w:rsid w:val="00651317"/>
    <w:rsid w:val="00652D2F"/>
    <w:rsid w:val="00653714"/>
    <w:rsid w:val="006576D4"/>
    <w:rsid w:val="0066213B"/>
    <w:rsid w:val="006701EF"/>
    <w:rsid w:val="006732A1"/>
    <w:rsid w:val="0068695D"/>
    <w:rsid w:val="00686EF6"/>
    <w:rsid w:val="00691FB6"/>
    <w:rsid w:val="006A1198"/>
    <w:rsid w:val="006A2755"/>
    <w:rsid w:val="006A721E"/>
    <w:rsid w:val="006A76F7"/>
    <w:rsid w:val="006B0C24"/>
    <w:rsid w:val="006B3889"/>
    <w:rsid w:val="006B5FF1"/>
    <w:rsid w:val="006C01F0"/>
    <w:rsid w:val="006C08B9"/>
    <w:rsid w:val="006C272E"/>
    <w:rsid w:val="006C6EF2"/>
    <w:rsid w:val="006D0E03"/>
    <w:rsid w:val="006D4921"/>
    <w:rsid w:val="006D5E7F"/>
    <w:rsid w:val="006D770B"/>
    <w:rsid w:val="006F343C"/>
    <w:rsid w:val="007060A3"/>
    <w:rsid w:val="007106FC"/>
    <w:rsid w:val="00711A14"/>
    <w:rsid w:val="0071562D"/>
    <w:rsid w:val="0072246B"/>
    <w:rsid w:val="007257EF"/>
    <w:rsid w:val="00726800"/>
    <w:rsid w:val="00726896"/>
    <w:rsid w:val="007275D0"/>
    <w:rsid w:val="00732BB1"/>
    <w:rsid w:val="0074300C"/>
    <w:rsid w:val="00751E22"/>
    <w:rsid w:val="007521A1"/>
    <w:rsid w:val="00753E85"/>
    <w:rsid w:val="0075763D"/>
    <w:rsid w:val="00761045"/>
    <w:rsid w:val="00767283"/>
    <w:rsid w:val="0077215E"/>
    <w:rsid w:val="0077289C"/>
    <w:rsid w:val="007811C3"/>
    <w:rsid w:val="00791401"/>
    <w:rsid w:val="007975CA"/>
    <w:rsid w:val="007A1F77"/>
    <w:rsid w:val="007A7F2B"/>
    <w:rsid w:val="007B73AA"/>
    <w:rsid w:val="007C114A"/>
    <w:rsid w:val="007C3F8E"/>
    <w:rsid w:val="007C666C"/>
    <w:rsid w:val="007C6AC0"/>
    <w:rsid w:val="007D1B4F"/>
    <w:rsid w:val="007D21D4"/>
    <w:rsid w:val="007D340D"/>
    <w:rsid w:val="007D3EE4"/>
    <w:rsid w:val="008036E9"/>
    <w:rsid w:val="00804CD1"/>
    <w:rsid w:val="00805653"/>
    <w:rsid w:val="008121BB"/>
    <w:rsid w:val="00820C39"/>
    <w:rsid w:val="00825089"/>
    <w:rsid w:val="00830D5A"/>
    <w:rsid w:val="00831C1E"/>
    <w:rsid w:val="00832F70"/>
    <w:rsid w:val="00834ACA"/>
    <w:rsid w:val="00835CEB"/>
    <w:rsid w:val="00835D6D"/>
    <w:rsid w:val="008361E2"/>
    <w:rsid w:val="00851395"/>
    <w:rsid w:val="00852E90"/>
    <w:rsid w:val="0085610B"/>
    <w:rsid w:val="00866652"/>
    <w:rsid w:val="00866CA4"/>
    <w:rsid w:val="00870625"/>
    <w:rsid w:val="0087282D"/>
    <w:rsid w:val="00874768"/>
    <w:rsid w:val="0087612F"/>
    <w:rsid w:val="00885413"/>
    <w:rsid w:val="0088568D"/>
    <w:rsid w:val="008A1381"/>
    <w:rsid w:val="008A63E5"/>
    <w:rsid w:val="008A6C58"/>
    <w:rsid w:val="008A7AD3"/>
    <w:rsid w:val="008B34E4"/>
    <w:rsid w:val="008B4036"/>
    <w:rsid w:val="008B7979"/>
    <w:rsid w:val="008C4D9B"/>
    <w:rsid w:val="008C5C6D"/>
    <w:rsid w:val="008D29D7"/>
    <w:rsid w:val="008D7C71"/>
    <w:rsid w:val="008E47F9"/>
    <w:rsid w:val="008E49A6"/>
    <w:rsid w:val="008E5425"/>
    <w:rsid w:val="008F67C8"/>
    <w:rsid w:val="00903745"/>
    <w:rsid w:val="00903A90"/>
    <w:rsid w:val="00905D40"/>
    <w:rsid w:val="009108D2"/>
    <w:rsid w:val="0091415C"/>
    <w:rsid w:val="00920289"/>
    <w:rsid w:val="00921C10"/>
    <w:rsid w:val="00923E41"/>
    <w:rsid w:val="00925281"/>
    <w:rsid w:val="00927CF1"/>
    <w:rsid w:val="00935CDD"/>
    <w:rsid w:val="00947B01"/>
    <w:rsid w:val="009512DE"/>
    <w:rsid w:val="009532C5"/>
    <w:rsid w:val="0096280E"/>
    <w:rsid w:val="009631D2"/>
    <w:rsid w:val="00964AD5"/>
    <w:rsid w:val="00966B5A"/>
    <w:rsid w:val="0097233E"/>
    <w:rsid w:val="00975B33"/>
    <w:rsid w:val="00982B36"/>
    <w:rsid w:val="009900DD"/>
    <w:rsid w:val="0099379F"/>
    <w:rsid w:val="00996838"/>
    <w:rsid w:val="009A0996"/>
    <w:rsid w:val="009A2C11"/>
    <w:rsid w:val="009A4C38"/>
    <w:rsid w:val="009A54DD"/>
    <w:rsid w:val="009B1A7B"/>
    <w:rsid w:val="009B3DDE"/>
    <w:rsid w:val="009B3F17"/>
    <w:rsid w:val="009B7A96"/>
    <w:rsid w:val="009C100A"/>
    <w:rsid w:val="009C4A65"/>
    <w:rsid w:val="009C643A"/>
    <w:rsid w:val="009D0524"/>
    <w:rsid w:val="009D28DE"/>
    <w:rsid w:val="009D7C4E"/>
    <w:rsid w:val="009E4F6D"/>
    <w:rsid w:val="009E52FA"/>
    <w:rsid w:val="009F4A6A"/>
    <w:rsid w:val="009F6F8A"/>
    <w:rsid w:val="009F7656"/>
    <w:rsid w:val="00A0021E"/>
    <w:rsid w:val="00A02CB4"/>
    <w:rsid w:val="00A06E1A"/>
    <w:rsid w:val="00A1356C"/>
    <w:rsid w:val="00A16375"/>
    <w:rsid w:val="00A17409"/>
    <w:rsid w:val="00A221F1"/>
    <w:rsid w:val="00A33AB1"/>
    <w:rsid w:val="00A34A27"/>
    <w:rsid w:val="00A40A06"/>
    <w:rsid w:val="00A41DC5"/>
    <w:rsid w:val="00A43F7F"/>
    <w:rsid w:val="00A46356"/>
    <w:rsid w:val="00A470D0"/>
    <w:rsid w:val="00A500C6"/>
    <w:rsid w:val="00A54190"/>
    <w:rsid w:val="00A55162"/>
    <w:rsid w:val="00A57869"/>
    <w:rsid w:val="00A626BA"/>
    <w:rsid w:val="00A63991"/>
    <w:rsid w:val="00A644EE"/>
    <w:rsid w:val="00A656EA"/>
    <w:rsid w:val="00A666AF"/>
    <w:rsid w:val="00A7715B"/>
    <w:rsid w:val="00A80019"/>
    <w:rsid w:val="00A829AB"/>
    <w:rsid w:val="00A90BCA"/>
    <w:rsid w:val="00A943F5"/>
    <w:rsid w:val="00A969A7"/>
    <w:rsid w:val="00A96F9F"/>
    <w:rsid w:val="00AA0AD8"/>
    <w:rsid w:val="00AA0CDF"/>
    <w:rsid w:val="00AA3834"/>
    <w:rsid w:val="00AB035F"/>
    <w:rsid w:val="00AB3BBD"/>
    <w:rsid w:val="00AC53DA"/>
    <w:rsid w:val="00AD09AB"/>
    <w:rsid w:val="00AD4FA1"/>
    <w:rsid w:val="00AD62D9"/>
    <w:rsid w:val="00AD6519"/>
    <w:rsid w:val="00AD739F"/>
    <w:rsid w:val="00AD7C98"/>
    <w:rsid w:val="00AE3499"/>
    <w:rsid w:val="00B03D1C"/>
    <w:rsid w:val="00B04341"/>
    <w:rsid w:val="00B0488B"/>
    <w:rsid w:val="00B0497C"/>
    <w:rsid w:val="00B05E69"/>
    <w:rsid w:val="00B10769"/>
    <w:rsid w:val="00B132BC"/>
    <w:rsid w:val="00B13940"/>
    <w:rsid w:val="00B20C6F"/>
    <w:rsid w:val="00B26EE3"/>
    <w:rsid w:val="00B30402"/>
    <w:rsid w:val="00B413F9"/>
    <w:rsid w:val="00B5112D"/>
    <w:rsid w:val="00B605E2"/>
    <w:rsid w:val="00B61093"/>
    <w:rsid w:val="00B6410A"/>
    <w:rsid w:val="00B65504"/>
    <w:rsid w:val="00B6660D"/>
    <w:rsid w:val="00B67AF2"/>
    <w:rsid w:val="00B71B5B"/>
    <w:rsid w:val="00B73B72"/>
    <w:rsid w:val="00B776E3"/>
    <w:rsid w:val="00B80E6A"/>
    <w:rsid w:val="00B81F80"/>
    <w:rsid w:val="00B912FB"/>
    <w:rsid w:val="00B91C1B"/>
    <w:rsid w:val="00B95899"/>
    <w:rsid w:val="00BA27C1"/>
    <w:rsid w:val="00BA30BB"/>
    <w:rsid w:val="00BB40D2"/>
    <w:rsid w:val="00BC0566"/>
    <w:rsid w:val="00BC1981"/>
    <w:rsid w:val="00BC1D18"/>
    <w:rsid w:val="00BC2011"/>
    <w:rsid w:val="00BD351B"/>
    <w:rsid w:val="00BD57B1"/>
    <w:rsid w:val="00BE1EEE"/>
    <w:rsid w:val="00BE4CDF"/>
    <w:rsid w:val="00BE7132"/>
    <w:rsid w:val="00BE7E49"/>
    <w:rsid w:val="00BF12BE"/>
    <w:rsid w:val="00BF6199"/>
    <w:rsid w:val="00BF697E"/>
    <w:rsid w:val="00C13580"/>
    <w:rsid w:val="00C1492C"/>
    <w:rsid w:val="00C14D47"/>
    <w:rsid w:val="00C154A8"/>
    <w:rsid w:val="00C204A7"/>
    <w:rsid w:val="00C20EE1"/>
    <w:rsid w:val="00C26D5E"/>
    <w:rsid w:val="00C313E8"/>
    <w:rsid w:val="00C35345"/>
    <w:rsid w:val="00C3585E"/>
    <w:rsid w:val="00C372DC"/>
    <w:rsid w:val="00C37B3B"/>
    <w:rsid w:val="00C435AC"/>
    <w:rsid w:val="00C4597B"/>
    <w:rsid w:val="00C64A73"/>
    <w:rsid w:val="00C64FE3"/>
    <w:rsid w:val="00C76DC0"/>
    <w:rsid w:val="00C816F2"/>
    <w:rsid w:val="00C85A90"/>
    <w:rsid w:val="00C9586F"/>
    <w:rsid w:val="00C97A1C"/>
    <w:rsid w:val="00CA1397"/>
    <w:rsid w:val="00CA1A8B"/>
    <w:rsid w:val="00CA52BE"/>
    <w:rsid w:val="00CA6350"/>
    <w:rsid w:val="00CA6ACD"/>
    <w:rsid w:val="00CB13D1"/>
    <w:rsid w:val="00CB16C0"/>
    <w:rsid w:val="00CB1B57"/>
    <w:rsid w:val="00CB1BFB"/>
    <w:rsid w:val="00CC31A5"/>
    <w:rsid w:val="00CC3745"/>
    <w:rsid w:val="00CC79E3"/>
    <w:rsid w:val="00CD6A40"/>
    <w:rsid w:val="00CE6463"/>
    <w:rsid w:val="00D035D8"/>
    <w:rsid w:val="00D13556"/>
    <w:rsid w:val="00D16A59"/>
    <w:rsid w:val="00D171FC"/>
    <w:rsid w:val="00D20EEB"/>
    <w:rsid w:val="00D21834"/>
    <w:rsid w:val="00D26C70"/>
    <w:rsid w:val="00D27B22"/>
    <w:rsid w:val="00D319B1"/>
    <w:rsid w:val="00D326F6"/>
    <w:rsid w:val="00D35E3F"/>
    <w:rsid w:val="00D4024B"/>
    <w:rsid w:val="00D406C9"/>
    <w:rsid w:val="00D42492"/>
    <w:rsid w:val="00D45A9E"/>
    <w:rsid w:val="00D50702"/>
    <w:rsid w:val="00D5667D"/>
    <w:rsid w:val="00D605A0"/>
    <w:rsid w:val="00D61255"/>
    <w:rsid w:val="00D61CC5"/>
    <w:rsid w:val="00D67C21"/>
    <w:rsid w:val="00D70983"/>
    <w:rsid w:val="00D75546"/>
    <w:rsid w:val="00D75CFF"/>
    <w:rsid w:val="00D8439E"/>
    <w:rsid w:val="00D87D84"/>
    <w:rsid w:val="00D9663F"/>
    <w:rsid w:val="00DA08A2"/>
    <w:rsid w:val="00DA2E3A"/>
    <w:rsid w:val="00DA52B3"/>
    <w:rsid w:val="00DA5DA4"/>
    <w:rsid w:val="00DA702C"/>
    <w:rsid w:val="00DB7060"/>
    <w:rsid w:val="00DB7B80"/>
    <w:rsid w:val="00DC0745"/>
    <w:rsid w:val="00DD39F6"/>
    <w:rsid w:val="00DD4C57"/>
    <w:rsid w:val="00DD5286"/>
    <w:rsid w:val="00DE400E"/>
    <w:rsid w:val="00DE5653"/>
    <w:rsid w:val="00DE615E"/>
    <w:rsid w:val="00DE69CD"/>
    <w:rsid w:val="00DF0C5D"/>
    <w:rsid w:val="00DF4CEE"/>
    <w:rsid w:val="00E026D8"/>
    <w:rsid w:val="00E036F4"/>
    <w:rsid w:val="00E05872"/>
    <w:rsid w:val="00E107B9"/>
    <w:rsid w:val="00E137B4"/>
    <w:rsid w:val="00E207C9"/>
    <w:rsid w:val="00E21F53"/>
    <w:rsid w:val="00E2518A"/>
    <w:rsid w:val="00E25E66"/>
    <w:rsid w:val="00E41345"/>
    <w:rsid w:val="00E45943"/>
    <w:rsid w:val="00E609EB"/>
    <w:rsid w:val="00E6593E"/>
    <w:rsid w:val="00E67157"/>
    <w:rsid w:val="00E744B1"/>
    <w:rsid w:val="00E7770A"/>
    <w:rsid w:val="00E83E41"/>
    <w:rsid w:val="00E90FEE"/>
    <w:rsid w:val="00E93CDB"/>
    <w:rsid w:val="00E971A8"/>
    <w:rsid w:val="00EA05CE"/>
    <w:rsid w:val="00EA3697"/>
    <w:rsid w:val="00EA52D3"/>
    <w:rsid w:val="00EA5498"/>
    <w:rsid w:val="00EB055F"/>
    <w:rsid w:val="00EB47D4"/>
    <w:rsid w:val="00EB78C9"/>
    <w:rsid w:val="00EC0177"/>
    <w:rsid w:val="00EC349A"/>
    <w:rsid w:val="00EC5735"/>
    <w:rsid w:val="00ED487A"/>
    <w:rsid w:val="00ED7366"/>
    <w:rsid w:val="00EE2747"/>
    <w:rsid w:val="00EE51E6"/>
    <w:rsid w:val="00EE67DD"/>
    <w:rsid w:val="00EE7044"/>
    <w:rsid w:val="00EE7331"/>
    <w:rsid w:val="00EF0B58"/>
    <w:rsid w:val="00EF74F0"/>
    <w:rsid w:val="00F0384B"/>
    <w:rsid w:val="00F05C5A"/>
    <w:rsid w:val="00F132E1"/>
    <w:rsid w:val="00F14C85"/>
    <w:rsid w:val="00F14C90"/>
    <w:rsid w:val="00F16BC5"/>
    <w:rsid w:val="00F20244"/>
    <w:rsid w:val="00F26461"/>
    <w:rsid w:val="00F30302"/>
    <w:rsid w:val="00F41458"/>
    <w:rsid w:val="00F41654"/>
    <w:rsid w:val="00F416CB"/>
    <w:rsid w:val="00F52467"/>
    <w:rsid w:val="00F53D37"/>
    <w:rsid w:val="00F61AE1"/>
    <w:rsid w:val="00F62DFE"/>
    <w:rsid w:val="00F649A5"/>
    <w:rsid w:val="00F7017F"/>
    <w:rsid w:val="00F71091"/>
    <w:rsid w:val="00F854E5"/>
    <w:rsid w:val="00F9096E"/>
    <w:rsid w:val="00F90F96"/>
    <w:rsid w:val="00F93AC2"/>
    <w:rsid w:val="00FA02D6"/>
    <w:rsid w:val="00FA041B"/>
    <w:rsid w:val="00FA0556"/>
    <w:rsid w:val="00FA149E"/>
    <w:rsid w:val="00FA50E9"/>
    <w:rsid w:val="00FA7298"/>
    <w:rsid w:val="00FB0BF1"/>
    <w:rsid w:val="00FB35B3"/>
    <w:rsid w:val="00FC6F08"/>
    <w:rsid w:val="00FD073E"/>
    <w:rsid w:val="00FD0969"/>
    <w:rsid w:val="00FE1D18"/>
    <w:rsid w:val="00FE722F"/>
    <w:rsid w:val="00FE7B84"/>
    <w:rsid w:val="00FF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B43DC"/>
  <w15:chartTrackingRefBased/>
  <w15:docId w15:val="{BAB3B161-01DB-4524-B068-F2EDB4D0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5C9"/>
    <w:pPr>
      <w:spacing w:after="0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6A11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19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6A1198"/>
    <w:pPr>
      <w:spacing w:after="200"/>
    </w:pPr>
    <w:rPr>
      <w:i/>
      <w:iCs/>
      <w:color w:val="44546A" w:themeColor="text2"/>
      <w:sz w:val="18"/>
      <w:szCs w:val="18"/>
    </w:rPr>
  </w:style>
  <w:style w:type="paragraph" w:styleId="a4">
    <w:name w:val="List Paragraph"/>
    <w:basedOn w:val="a"/>
    <w:uiPriority w:val="34"/>
    <w:qFormat/>
    <w:rsid w:val="006A1198"/>
    <w:pPr>
      <w:spacing w:line="256" w:lineRule="auto"/>
      <w:ind w:left="720"/>
      <w:contextualSpacing/>
    </w:pPr>
  </w:style>
  <w:style w:type="character" w:styleId="a5">
    <w:name w:val="Strong"/>
    <w:basedOn w:val="a0"/>
    <w:uiPriority w:val="22"/>
    <w:qFormat/>
    <w:rsid w:val="006A1198"/>
    <w:rPr>
      <w:b/>
      <w:bCs/>
    </w:rPr>
  </w:style>
  <w:style w:type="paragraph" w:styleId="a6">
    <w:name w:val="No Spacing"/>
    <w:link w:val="a7"/>
    <w:uiPriority w:val="1"/>
    <w:qFormat/>
    <w:rsid w:val="006A1198"/>
    <w:pPr>
      <w:spacing w:after="0"/>
    </w:pPr>
    <w:rPr>
      <w:lang w:val="ru-RU"/>
    </w:rPr>
  </w:style>
  <w:style w:type="character" w:customStyle="1" w:styleId="10">
    <w:name w:val="Заголовок 1 Знак"/>
    <w:basedOn w:val="a0"/>
    <w:link w:val="1"/>
    <w:uiPriority w:val="9"/>
    <w:rsid w:val="006A1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A11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7">
    <w:name w:val="Без інтервалів Знак"/>
    <w:basedOn w:val="a0"/>
    <w:link w:val="a6"/>
    <w:uiPriority w:val="1"/>
    <w:rsid w:val="006A1198"/>
    <w:rPr>
      <w:lang w:val="ru-RU"/>
    </w:rPr>
  </w:style>
  <w:style w:type="paragraph" w:styleId="a8">
    <w:name w:val="TOC Heading"/>
    <w:basedOn w:val="1"/>
    <w:next w:val="a"/>
    <w:uiPriority w:val="39"/>
    <w:unhideWhenUsed/>
    <w:qFormat/>
    <w:rsid w:val="006A1198"/>
    <w:pPr>
      <w:spacing w:line="259" w:lineRule="auto"/>
      <w:outlineLvl w:val="9"/>
    </w:pPr>
    <w:rPr>
      <w:lang w:eastAsia="uk-UA"/>
    </w:rPr>
  </w:style>
  <w:style w:type="paragraph" w:styleId="a9">
    <w:name w:val="annotation text"/>
    <w:basedOn w:val="a"/>
    <w:link w:val="aa"/>
    <w:uiPriority w:val="99"/>
    <w:unhideWhenUsed/>
    <w:rsid w:val="000E15C9"/>
    <w:rPr>
      <w:sz w:val="20"/>
    </w:rPr>
  </w:style>
  <w:style w:type="character" w:customStyle="1" w:styleId="aa">
    <w:name w:val="Текст примітки Знак"/>
    <w:basedOn w:val="a0"/>
    <w:link w:val="a9"/>
    <w:uiPriority w:val="99"/>
    <w:rsid w:val="000E15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b">
    <w:name w:val="annotation reference"/>
    <w:basedOn w:val="a0"/>
    <w:uiPriority w:val="99"/>
    <w:semiHidden/>
    <w:unhideWhenUsed/>
    <w:rsid w:val="000E15C9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0E15C9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0E15C9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e">
    <w:name w:val="header"/>
    <w:basedOn w:val="a"/>
    <w:link w:val="af"/>
    <w:uiPriority w:val="99"/>
    <w:rsid w:val="000E15C9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0E15C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f0">
    <w:name w:val="page number"/>
    <w:basedOn w:val="a0"/>
    <w:rsid w:val="000E15C9"/>
  </w:style>
  <w:style w:type="paragraph" w:styleId="af1">
    <w:name w:val="Revision"/>
    <w:hidden/>
    <w:uiPriority w:val="99"/>
    <w:semiHidden/>
    <w:rsid w:val="005C30C4"/>
    <w:pPr>
      <w:spacing w:after="0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f2">
    <w:name w:val="annotation subject"/>
    <w:basedOn w:val="a9"/>
    <w:next w:val="a9"/>
    <w:link w:val="af3"/>
    <w:uiPriority w:val="99"/>
    <w:semiHidden/>
    <w:unhideWhenUsed/>
    <w:rsid w:val="00BC0566"/>
    <w:rPr>
      <w:b/>
      <w:bCs/>
    </w:rPr>
  </w:style>
  <w:style w:type="character" w:customStyle="1" w:styleId="af3">
    <w:name w:val="Тема примітки Знак"/>
    <w:basedOn w:val="aa"/>
    <w:link w:val="af2"/>
    <w:uiPriority w:val="99"/>
    <w:semiHidden/>
    <w:rsid w:val="00BC0566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4">
    <w:name w:val="footer"/>
    <w:basedOn w:val="a"/>
    <w:link w:val="af5"/>
    <w:uiPriority w:val="99"/>
    <w:unhideWhenUsed/>
    <w:rsid w:val="001B5E04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basedOn w:val="a0"/>
    <w:link w:val="af4"/>
    <w:uiPriority w:val="99"/>
    <w:rsid w:val="001B5E0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rvps7">
    <w:name w:val="rvps7"/>
    <w:basedOn w:val="a"/>
    <w:rsid w:val="00E83E41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15">
    <w:name w:val="rvts15"/>
    <w:basedOn w:val="a0"/>
    <w:rsid w:val="00E83E41"/>
  </w:style>
  <w:style w:type="paragraph" w:customStyle="1" w:styleId="rvps2">
    <w:name w:val="rvps2"/>
    <w:basedOn w:val="a"/>
    <w:rsid w:val="00E83E41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f6">
    <w:name w:val="Hyperlink"/>
    <w:basedOn w:val="a0"/>
    <w:uiPriority w:val="99"/>
    <w:semiHidden/>
    <w:unhideWhenUsed/>
    <w:rsid w:val="00E83E41"/>
    <w:rPr>
      <w:color w:val="0000FF"/>
      <w:u w:val="single"/>
    </w:rPr>
  </w:style>
  <w:style w:type="table" w:styleId="af7">
    <w:name w:val="Table Grid"/>
    <w:basedOn w:val="a1"/>
    <w:uiPriority w:val="39"/>
    <w:rsid w:val="0085139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Настроювані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647FD-D4A2-4C1E-BD39-E9D12D6A6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1676</Words>
  <Characters>956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ПРОЄКТ</vt:lpstr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subject/>
  <dc:creator>Zhuravel Olena</dc:creator>
  <cp:keywords/>
  <dc:description/>
  <cp:lastModifiedBy>Світлана Іванова</cp:lastModifiedBy>
  <cp:revision>7</cp:revision>
  <cp:lastPrinted>2025-08-01T11:02:00Z</cp:lastPrinted>
  <dcterms:created xsi:type="dcterms:W3CDTF">2025-11-21T10:53:00Z</dcterms:created>
  <dcterms:modified xsi:type="dcterms:W3CDTF">2025-11-24T11:01:00Z</dcterms:modified>
</cp:coreProperties>
</file>