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8455A" w:rsidRPr="009D3827" w:rsidRDefault="0018455A" w:rsidP="0018455A">
      <w:pPr>
        <w:jc w:val="center"/>
        <w:rPr>
          <w:b/>
          <w:bCs/>
          <w:sz w:val="24"/>
          <w:szCs w:val="24"/>
        </w:rPr>
      </w:pPr>
      <w:r w:rsidRPr="009D3827">
        <w:rPr>
          <w:b/>
          <w:bCs/>
          <w:sz w:val="24"/>
          <w:szCs w:val="24"/>
        </w:rPr>
        <w:t>УЗАГАЛЬНЕНІ ЗАУВАЖЕННЯ</w:t>
      </w:r>
    </w:p>
    <w:p w:rsidR="007B4965" w:rsidRPr="009D3827" w:rsidRDefault="0018455A" w:rsidP="0018455A">
      <w:pPr>
        <w:jc w:val="center"/>
        <w:rPr>
          <w:b/>
          <w:bCs/>
          <w:sz w:val="24"/>
          <w:szCs w:val="24"/>
        </w:rPr>
      </w:pPr>
      <w:r w:rsidRPr="009D3827">
        <w:rPr>
          <w:b/>
          <w:bCs/>
          <w:sz w:val="24"/>
          <w:szCs w:val="24"/>
        </w:rPr>
        <w:t>та пропозиції до проєкту рішення НКРЕКП, що має ознаки регуляторного акта, – постанови НКРЕКП «</w:t>
      </w:r>
      <w:r w:rsidR="00FC32FE" w:rsidRPr="009D3827">
        <w:rPr>
          <w:b/>
          <w:bCs/>
          <w:sz w:val="24"/>
          <w:szCs w:val="24"/>
        </w:rPr>
        <w:t>Про затвердження Змін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w:t>
      </w:r>
      <w:r w:rsidRPr="009D3827">
        <w:rPr>
          <w:b/>
          <w:bCs/>
          <w:sz w:val="24"/>
          <w:szCs w:val="24"/>
        </w:rPr>
        <w:t>»</w:t>
      </w:r>
    </w:p>
    <w:p w:rsidR="004A2B24" w:rsidRPr="009D3827" w:rsidRDefault="004A2B24" w:rsidP="0018455A">
      <w:pPr>
        <w:jc w:val="center"/>
        <w:rPr>
          <w:b/>
          <w:bCs/>
          <w:sz w:val="24"/>
          <w:szCs w:val="24"/>
        </w:rPr>
      </w:pPr>
    </w:p>
    <w:tbl>
      <w:tblPr>
        <w:tblW w:w="1519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65"/>
        <w:gridCol w:w="5066"/>
        <w:gridCol w:w="5066"/>
      </w:tblGrid>
      <w:tr w:rsidR="00276080" w:rsidRPr="009D3827" w:rsidTr="00276080">
        <w:trPr>
          <w:trHeight w:val="595"/>
        </w:trPr>
        <w:tc>
          <w:tcPr>
            <w:tcW w:w="5065" w:type="dxa"/>
            <w:vAlign w:val="center"/>
          </w:tcPr>
          <w:p w:rsidR="0018455A" w:rsidRPr="009D3827" w:rsidRDefault="0018455A" w:rsidP="0018455A">
            <w:pPr>
              <w:jc w:val="center"/>
              <w:rPr>
                <w:b/>
                <w:sz w:val="22"/>
                <w:szCs w:val="22"/>
              </w:rPr>
            </w:pPr>
            <w:r w:rsidRPr="009D3827">
              <w:rPr>
                <w:b/>
                <w:sz w:val="22"/>
                <w:szCs w:val="22"/>
              </w:rPr>
              <w:t>Редакція проєкту рішення НКРЕКП</w:t>
            </w:r>
          </w:p>
        </w:tc>
        <w:tc>
          <w:tcPr>
            <w:tcW w:w="5066" w:type="dxa"/>
            <w:vAlign w:val="center"/>
          </w:tcPr>
          <w:p w:rsidR="0018455A" w:rsidRPr="009D3827" w:rsidRDefault="0018455A" w:rsidP="0018455A">
            <w:pPr>
              <w:jc w:val="center"/>
              <w:rPr>
                <w:b/>
                <w:sz w:val="22"/>
                <w:szCs w:val="22"/>
              </w:rPr>
            </w:pPr>
            <w:r w:rsidRPr="009D3827">
              <w:rPr>
                <w:b/>
                <w:sz w:val="22"/>
                <w:szCs w:val="22"/>
              </w:rPr>
              <w:t>Зауваження та пропозиції до проєкту рішення НКРЕКП</w:t>
            </w:r>
          </w:p>
        </w:tc>
        <w:tc>
          <w:tcPr>
            <w:tcW w:w="5066" w:type="dxa"/>
            <w:vAlign w:val="center"/>
          </w:tcPr>
          <w:p w:rsidR="0018455A" w:rsidRPr="009D3827" w:rsidRDefault="0018455A" w:rsidP="0018455A">
            <w:pPr>
              <w:jc w:val="center"/>
              <w:rPr>
                <w:b/>
                <w:sz w:val="22"/>
                <w:szCs w:val="22"/>
              </w:rPr>
            </w:pPr>
            <w:r w:rsidRPr="009D3827">
              <w:rPr>
                <w:b/>
                <w:sz w:val="22"/>
                <w:szCs w:val="22"/>
                <w:shd w:val="clear" w:color="auto" w:fill="FFFFFF"/>
              </w:rPr>
              <w:t>Попередня позиція НКРЕКП щодо наданих зауважень та пропозицій з обґрунтуваннями щодо прийняття або відхилення</w:t>
            </w:r>
          </w:p>
        </w:tc>
      </w:tr>
      <w:tr w:rsidR="00C27A60" w:rsidRPr="009D3827" w:rsidTr="00E93F1C">
        <w:trPr>
          <w:trHeight w:val="595"/>
        </w:trPr>
        <w:tc>
          <w:tcPr>
            <w:tcW w:w="15197" w:type="dxa"/>
            <w:gridSpan w:val="3"/>
            <w:shd w:val="clear" w:color="auto" w:fill="FFD966" w:themeFill="accent4" w:themeFillTint="99"/>
            <w:vAlign w:val="center"/>
          </w:tcPr>
          <w:p w:rsidR="009504CE" w:rsidRPr="009D3827" w:rsidRDefault="00E93F1C" w:rsidP="009F5D69">
            <w:pPr>
              <w:jc w:val="center"/>
              <w:rPr>
                <w:b/>
                <w:sz w:val="22"/>
                <w:szCs w:val="22"/>
              </w:rPr>
            </w:pPr>
            <w:r w:rsidRPr="009D3827">
              <w:rPr>
                <w:b/>
                <w:sz w:val="22"/>
                <w:szCs w:val="22"/>
              </w:rPr>
              <w:t>Порядок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w:t>
            </w:r>
          </w:p>
        </w:tc>
      </w:tr>
      <w:tr w:rsidR="00E93F1C" w:rsidRPr="009D3827" w:rsidTr="00276080">
        <w:trPr>
          <w:trHeight w:val="595"/>
        </w:trPr>
        <w:tc>
          <w:tcPr>
            <w:tcW w:w="5065" w:type="dxa"/>
            <w:shd w:val="clear" w:color="auto" w:fill="auto"/>
          </w:tcPr>
          <w:p w:rsidR="00596664" w:rsidRPr="009D3827" w:rsidRDefault="00596664" w:rsidP="00596664">
            <w:pPr>
              <w:ind w:firstLine="308"/>
              <w:jc w:val="both"/>
              <w:rPr>
                <w:b/>
                <w:sz w:val="22"/>
                <w:szCs w:val="22"/>
                <w:shd w:val="clear" w:color="auto" w:fill="FFFFFF"/>
              </w:rPr>
            </w:pPr>
            <w:r w:rsidRPr="009D3827">
              <w:rPr>
                <w:b/>
                <w:sz w:val="22"/>
                <w:szCs w:val="22"/>
                <w:shd w:val="clear" w:color="auto" w:fill="FFFFFF"/>
              </w:rPr>
              <w:t>3.2. Ліцензіат, якого включено до річного плану здійснення заходів державного контролю на відповідний період, зобов’язаний повідомити НКРЕКП про зміну місцезнаходження, місця провадження господарської діяльності, що підлягає ліцензуванню, протягом п’яти робочих днів з дня настання таких змін.</w:t>
            </w:r>
          </w:p>
          <w:p w:rsidR="00E93F1C" w:rsidRPr="009D3827" w:rsidRDefault="00596664" w:rsidP="00596664">
            <w:pPr>
              <w:ind w:firstLine="308"/>
              <w:jc w:val="both"/>
              <w:rPr>
                <w:sz w:val="22"/>
                <w:szCs w:val="22"/>
                <w:shd w:val="clear" w:color="auto" w:fill="FFFFFF"/>
              </w:rPr>
            </w:pPr>
            <w:r w:rsidRPr="009D3827">
              <w:rPr>
                <w:b/>
                <w:sz w:val="22"/>
                <w:szCs w:val="22"/>
                <w:shd w:val="clear" w:color="auto" w:fill="FFFFFF"/>
              </w:rPr>
              <w:t>У разі зміни місцезнаходження та/або місця провадження господарської діяльності, що підлягає ліцензуванню, менш ніж за місяць до початку здійснення планового заходу державного контролю, НКРЕКП може прийняти рішення про внесення відповідних змін до річного плану здійснення заходів державного контролю.</w:t>
            </w:r>
          </w:p>
        </w:tc>
        <w:tc>
          <w:tcPr>
            <w:tcW w:w="5066" w:type="dxa"/>
            <w:shd w:val="clear" w:color="auto" w:fill="auto"/>
          </w:tcPr>
          <w:p w:rsidR="00E93F1C" w:rsidRPr="009D3827" w:rsidRDefault="00596664" w:rsidP="00965B90">
            <w:pPr>
              <w:ind w:firstLine="308"/>
              <w:jc w:val="both"/>
              <w:rPr>
                <w:i/>
                <w:sz w:val="22"/>
                <w:szCs w:val="22"/>
                <w:shd w:val="clear" w:color="auto" w:fill="FFFFFF"/>
              </w:rPr>
            </w:pPr>
            <w:r w:rsidRPr="009D3827">
              <w:rPr>
                <w:i/>
                <w:sz w:val="22"/>
                <w:szCs w:val="22"/>
                <w:shd w:val="clear" w:color="auto" w:fill="FFFFFF"/>
              </w:rPr>
              <w:t>АТ «ДТЕК ДНІПРОВСЬКІ ЕЛЕКТРОМЕРЕЖІ»</w:t>
            </w:r>
          </w:p>
          <w:p w:rsidR="00596664" w:rsidRDefault="00C36717" w:rsidP="00965B90">
            <w:pPr>
              <w:ind w:firstLine="308"/>
              <w:jc w:val="both"/>
              <w:rPr>
                <w:i/>
                <w:sz w:val="22"/>
                <w:szCs w:val="22"/>
                <w:shd w:val="clear" w:color="auto" w:fill="FFFFFF"/>
              </w:rPr>
            </w:pPr>
            <w:r w:rsidRPr="009D3827">
              <w:rPr>
                <w:i/>
                <w:sz w:val="22"/>
                <w:szCs w:val="22"/>
                <w:shd w:val="clear" w:color="auto" w:fill="FFFFFF"/>
              </w:rPr>
              <w:t>АТ «ДТЕК ОДЕСЬКІ ЕЛЕКТРОМЕРЕЖІ»</w:t>
            </w:r>
          </w:p>
          <w:p w:rsidR="00253D5F" w:rsidRPr="009D3827" w:rsidRDefault="00253D5F" w:rsidP="00965B90">
            <w:pPr>
              <w:ind w:firstLine="308"/>
              <w:jc w:val="both"/>
              <w:rPr>
                <w:i/>
                <w:sz w:val="22"/>
                <w:szCs w:val="22"/>
                <w:shd w:val="clear" w:color="auto" w:fill="FFFFFF"/>
              </w:rPr>
            </w:pPr>
            <w:r w:rsidRPr="00253D5F">
              <w:rPr>
                <w:i/>
                <w:sz w:val="22"/>
                <w:szCs w:val="22"/>
                <w:shd w:val="clear" w:color="auto" w:fill="FFFFFF"/>
              </w:rPr>
              <w:t xml:space="preserve">ГС </w:t>
            </w:r>
            <w:r>
              <w:rPr>
                <w:i/>
                <w:sz w:val="22"/>
                <w:szCs w:val="22"/>
                <w:shd w:val="clear" w:color="auto" w:fill="FFFFFF"/>
              </w:rPr>
              <w:t>«</w:t>
            </w:r>
            <w:r w:rsidRPr="00253D5F">
              <w:rPr>
                <w:i/>
                <w:sz w:val="22"/>
                <w:szCs w:val="22"/>
                <w:shd w:val="clear" w:color="auto" w:fill="FFFFFF"/>
              </w:rPr>
              <w:t>РЕУ</w:t>
            </w:r>
            <w:r>
              <w:rPr>
                <w:i/>
                <w:sz w:val="22"/>
                <w:szCs w:val="22"/>
                <w:shd w:val="clear" w:color="auto" w:fill="FFFFFF"/>
              </w:rPr>
              <w:t>»</w:t>
            </w:r>
          </w:p>
          <w:p w:rsidR="00596664" w:rsidRPr="009D3827" w:rsidRDefault="00596664" w:rsidP="00596664">
            <w:pPr>
              <w:ind w:firstLine="308"/>
              <w:jc w:val="both"/>
              <w:rPr>
                <w:rFonts w:eastAsia="Calibri"/>
                <w:bCs/>
                <w:sz w:val="22"/>
                <w:shd w:val="clear" w:color="auto" w:fill="FFFFFF"/>
              </w:rPr>
            </w:pPr>
            <w:r w:rsidRPr="009D3827">
              <w:rPr>
                <w:rFonts w:eastAsia="Calibri"/>
                <w:bCs/>
                <w:sz w:val="22"/>
                <w:shd w:val="clear" w:color="auto" w:fill="FFFFFF"/>
              </w:rPr>
              <w:t xml:space="preserve">3.2. Ліцензіат, якого включено до річного плану здійснення заходів державного контролю на відповідний період, зобов’язаний повідомити НКРЕКП про зміну місцезнаходження, місця провадження господарської діяльності, що підлягає ліцензуванню, протягом п’яти робочих днів з дня настання таких змін </w:t>
            </w:r>
            <w:r w:rsidRPr="009D3827">
              <w:rPr>
                <w:rFonts w:eastAsia="Calibri"/>
                <w:b/>
                <w:sz w:val="22"/>
                <w:shd w:val="clear" w:color="auto" w:fill="FFFFFF"/>
              </w:rPr>
              <w:t>(якщо інше не передбачено ліцензійними умовами)</w:t>
            </w:r>
            <w:r w:rsidRPr="009D3827">
              <w:rPr>
                <w:rFonts w:eastAsia="Calibri"/>
                <w:bCs/>
                <w:sz w:val="22"/>
                <w:shd w:val="clear" w:color="auto" w:fill="FFFFFF"/>
              </w:rPr>
              <w:t>.</w:t>
            </w:r>
          </w:p>
          <w:p w:rsidR="00596664" w:rsidRPr="009D3827" w:rsidRDefault="00596664" w:rsidP="00596664">
            <w:pPr>
              <w:ind w:firstLine="308"/>
              <w:jc w:val="both"/>
              <w:rPr>
                <w:rFonts w:eastAsia="Calibri"/>
                <w:bCs/>
                <w:sz w:val="22"/>
                <w:shd w:val="clear" w:color="auto" w:fill="FFFFFF"/>
              </w:rPr>
            </w:pPr>
            <w:r w:rsidRPr="009D3827">
              <w:rPr>
                <w:rFonts w:eastAsia="Calibri"/>
                <w:bCs/>
                <w:sz w:val="22"/>
                <w:shd w:val="clear" w:color="auto" w:fill="FFFFFF"/>
              </w:rPr>
              <w:t>У разі зміни місцезнаходження та/або місця провадження господарської діяльності, що підлягає ліцензуванню, менш ніж за місяць до початку здійснення планового заходу державного контролю, НКРЕКП може прийняти рішення про внесення відповідних змін до річного плану здійснення заходів державного контролю.</w:t>
            </w:r>
          </w:p>
          <w:p w:rsidR="00EC7524" w:rsidRPr="009D3827" w:rsidRDefault="00EC7524" w:rsidP="00EC7524">
            <w:pPr>
              <w:ind w:firstLine="308"/>
              <w:jc w:val="both"/>
              <w:rPr>
                <w:i/>
                <w:sz w:val="22"/>
                <w:szCs w:val="22"/>
                <w:shd w:val="clear" w:color="auto" w:fill="FFFFFF"/>
              </w:rPr>
            </w:pPr>
          </w:p>
          <w:p w:rsidR="00EC7524" w:rsidRPr="009D3827" w:rsidRDefault="005159E7" w:rsidP="00EC7524">
            <w:pPr>
              <w:ind w:firstLine="308"/>
              <w:jc w:val="both"/>
              <w:rPr>
                <w:i/>
                <w:sz w:val="22"/>
                <w:szCs w:val="22"/>
                <w:shd w:val="clear" w:color="auto" w:fill="FFFFFF"/>
              </w:rPr>
            </w:pPr>
            <w:r>
              <w:rPr>
                <w:i/>
                <w:sz w:val="22"/>
                <w:szCs w:val="22"/>
                <w:shd w:val="clear" w:color="auto" w:fill="FFFFFF"/>
              </w:rPr>
              <w:t>ОБҐРУНТУВАННЯ</w:t>
            </w:r>
            <w:r w:rsidR="00E23D77">
              <w:rPr>
                <w:i/>
                <w:sz w:val="22"/>
                <w:szCs w:val="22"/>
                <w:shd w:val="clear" w:color="auto" w:fill="FFFFFF"/>
              </w:rPr>
              <w:t xml:space="preserve"> </w:t>
            </w:r>
            <w:r w:rsidR="00E23D77" w:rsidRPr="009D3827">
              <w:rPr>
                <w:i/>
                <w:sz w:val="22"/>
                <w:szCs w:val="22"/>
                <w:shd w:val="clear" w:color="auto" w:fill="FFFFFF"/>
              </w:rPr>
              <w:t>АТ «ДТЕК ДНІПРОВСЬКІ ЕЛЕКТРОМЕРЕЖІ»</w:t>
            </w:r>
            <w:r w:rsidR="00E23D77">
              <w:rPr>
                <w:i/>
                <w:sz w:val="22"/>
                <w:szCs w:val="22"/>
                <w:shd w:val="clear" w:color="auto" w:fill="FFFFFF"/>
              </w:rPr>
              <w:t xml:space="preserve">, </w:t>
            </w:r>
            <w:r w:rsidR="00E23D77" w:rsidRPr="009D3827">
              <w:rPr>
                <w:i/>
                <w:sz w:val="22"/>
                <w:szCs w:val="22"/>
                <w:shd w:val="clear" w:color="auto" w:fill="FFFFFF"/>
              </w:rPr>
              <w:t>АТ «ДТЕК ОДЕСЬКІ ЕЛЕКТРОМЕРЕЖІ»</w:t>
            </w:r>
            <w:r w:rsidR="00EC7524" w:rsidRPr="009D3827">
              <w:rPr>
                <w:i/>
                <w:sz w:val="22"/>
                <w:szCs w:val="22"/>
                <w:shd w:val="clear" w:color="auto" w:fill="FFFFFF"/>
              </w:rPr>
              <w:t>:</w:t>
            </w:r>
          </w:p>
          <w:p w:rsidR="00EC7524" w:rsidRPr="00682EAB" w:rsidRDefault="00EC7524" w:rsidP="00EC7524">
            <w:pPr>
              <w:ind w:firstLine="308"/>
              <w:jc w:val="both"/>
              <w:rPr>
                <w:rFonts w:eastAsia="Calibri"/>
                <w:bCs/>
                <w:i/>
                <w:sz w:val="22"/>
                <w:shd w:val="clear" w:color="auto" w:fill="FFFFFF"/>
              </w:rPr>
            </w:pPr>
            <w:r w:rsidRPr="00682EAB">
              <w:rPr>
                <w:rFonts w:eastAsia="Calibri"/>
                <w:bCs/>
                <w:i/>
                <w:sz w:val="22"/>
                <w:shd w:val="clear" w:color="auto" w:fill="FFFFFF"/>
              </w:rPr>
              <w:t>Відповідно до Ліцензійних умов провадження господарської діяльності з розподілу електричної енергії, затверджених постановою НКРЕКП від 27.12.2017 № 1470, для операторів систем розподілу місце провадження господарської діяльності – це територія адміністративно-територіальної одиниці, в межах якої розташовані система розподілу електричної енергії, що перебуває у власності тощо.</w:t>
            </w:r>
          </w:p>
          <w:p w:rsidR="00EC7524" w:rsidRPr="00682EAB" w:rsidRDefault="00EC7524" w:rsidP="00EC7524">
            <w:pPr>
              <w:ind w:firstLine="308"/>
              <w:jc w:val="both"/>
              <w:rPr>
                <w:rFonts w:eastAsia="Calibri"/>
                <w:bCs/>
                <w:i/>
                <w:sz w:val="22"/>
                <w:shd w:val="clear" w:color="auto" w:fill="FFFFFF"/>
              </w:rPr>
            </w:pPr>
            <w:r w:rsidRPr="00682EAB">
              <w:rPr>
                <w:rFonts w:eastAsia="Calibri"/>
                <w:bCs/>
                <w:i/>
                <w:sz w:val="22"/>
                <w:shd w:val="clear" w:color="auto" w:fill="FFFFFF"/>
              </w:rPr>
              <w:t xml:space="preserve">Підпунктом 2) пункту 2.1 Ліцензійних умов передбачено, що при провадженні ліцензованої </w:t>
            </w:r>
            <w:r w:rsidRPr="00682EAB">
              <w:rPr>
                <w:rFonts w:eastAsia="Calibri"/>
                <w:bCs/>
                <w:i/>
                <w:sz w:val="22"/>
                <w:shd w:val="clear" w:color="auto" w:fill="FFFFFF"/>
              </w:rPr>
              <w:lastRenderedPageBreak/>
              <w:t>діяльності ліцензіат повинен повідомляти НКРЕКП про всі зміни даних, які були зазначені в заяві про отримання ліцензії та документах, що додавалися до неї, не пізніше одного місяця з дня настання таких змін, крім:</w:t>
            </w:r>
          </w:p>
          <w:p w:rsidR="00EC7524" w:rsidRPr="00682EAB" w:rsidRDefault="00EC7524" w:rsidP="00EC7524">
            <w:pPr>
              <w:ind w:firstLine="308"/>
              <w:jc w:val="both"/>
              <w:rPr>
                <w:rFonts w:eastAsia="Calibri"/>
                <w:b/>
                <w:i/>
                <w:sz w:val="22"/>
                <w:shd w:val="clear" w:color="auto" w:fill="FFFFFF"/>
              </w:rPr>
            </w:pPr>
            <w:r w:rsidRPr="00682EAB">
              <w:rPr>
                <w:rFonts w:eastAsia="Calibri"/>
                <w:bCs/>
                <w:i/>
                <w:sz w:val="22"/>
                <w:shd w:val="clear" w:color="auto" w:fill="FFFFFF"/>
              </w:rPr>
              <w:t xml:space="preserve">відомостей про місця та засоби провадження господарської діяльності з розподілу електричної енергії, географічних карт відповідних територій адміністративно-територіальних одиниць та електронних копій документів на електронному носії, що підтверджують перебування на законних підставах у власності, господарському віданні (щодо державного або комунального майна) або в управлінні на підставі договору управління активами, укладеного з Національним агентством України з питань виявлення, розшуку та управління активами, одержаними від корупційних та інших злочинів, здобувача ліцензії засобів провадження господарської діяльності напругою 6 кВ та вище, </w:t>
            </w:r>
            <w:r w:rsidRPr="00682EAB">
              <w:rPr>
                <w:rFonts w:eastAsia="Calibri"/>
                <w:b/>
                <w:i/>
                <w:sz w:val="22"/>
                <w:shd w:val="clear" w:color="auto" w:fill="FFFFFF"/>
              </w:rPr>
              <w:t>які ліцензіат може надавати протягом року з дня настання змін</w:t>
            </w:r>
          </w:p>
          <w:p w:rsidR="001E2944" w:rsidRPr="00682EAB" w:rsidRDefault="001E2944" w:rsidP="00EC7524">
            <w:pPr>
              <w:ind w:firstLine="308"/>
              <w:jc w:val="both"/>
              <w:rPr>
                <w:i/>
                <w:sz w:val="22"/>
                <w:szCs w:val="22"/>
                <w:shd w:val="clear" w:color="auto" w:fill="FFFFFF"/>
              </w:rPr>
            </w:pPr>
          </w:p>
          <w:p w:rsidR="001E2944" w:rsidRPr="009D3827" w:rsidRDefault="005159E7" w:rsidP="001E2944">
            <w:pPr>
              <w:ind w:firstLine="308"/>
              <w:jc w:val="both"/>
              <w:rPr>
                <w:i/>
                <w:sz w:val="22"/>
                <w:szCs w:val="22"/>
                <w:shd w:val="clear" w:color="auto" w:fill="FFFFFF"/>
              </w:rPr>
            </w:pPr>
            <w:r>
              <w:rPr>
                <w:i/>
                <w:sz w:val="22"/>
                <w:szCs w:val="22"/>
                <w:shd w:val="clear" w:color="auto" w:fill="FFFFFF"/>
              </w:rPr>
              <w:t>ОБҐРУНТУВАННЯ</w:t>
            </w:r>
            <w:r w:rsidR="00E23D77" w:rsidRPr="00253D5F">
              <w:rPr>
                <w:i/>
                <w:sz w:val="22"/>
                <w:szCs w:val="22"/>
                <w:shd w:val="clear" w:color="auto" w:fill="FFFFFF"/>
              </w:rPr>
              <w:t xml:space="preserve"> </w:t>
            </w:r>
            <w:r w:rsidR="001E2944" w:rsidRPr="00253D5F">
              <w:rPr>
                <w:i/>
                <w:sz w:val="22"/>
                <w:szCs w:val="22"/>
                <w:shd w:val="clear" w:color="auto" w:fill="FFFFFF"/>
              </w:rPr>
              <w:t xml:space="preserve">ГС </w:t>
            </w:r>
            <w:r w:rsidR="001E2944">
              <w:rPr>
                <w:i/>
                <w:sz w:val="22"/>
                <w:szCs w:val="22"/>
                <w:shd w:val="clear" w:color="auto" w:fill="FFFFFF"/>
              </w:rPr>
              <w:t>«</w:t>
            </w:r>
            <w:r w:rsidR="001E2944" w:rsidRPr="00253D5F">
              <w:rPr>
                <w:i/>
                <w:sz w:val="22"/>
                <w:szCs w:val="22"/>
                <w:shd w:val="clear" w:color="auto" w:fill="FFFFFF"/>
              </w:rPr>
              <w:t>РЕУ</w:t>
            </w:r>
            <w:r w:rsidR="001E2944">
              <w:rPr>
                <w:i/>
                <w:sz w:val="22"/>
                <w:szCs w:val="22"/>
                <w:shd w:val="clear" w:color="auto" w:fill="FFFFFF"/>
              </w:rPr>
              <w:t>»</w:t>
            </w:r>
          </w:p>
          <w:p w:rsidR="001E2944" w:rsidRPr="00682EAB" w:rsidRDefault="006C70C9" w:rsidP="00EC7524">
            <w:pPr>
              <w:ind w:firstLine="308"/>
              <w:jc w:val="both"/>
              <w:rPr>
                <w:i/>
                <w:sz w:val="22"/>
                <w:szCs w:val="22"/>
                <w:shd w:val="clear" w:color="auto" w:fill="FFFFFF"/>
              </w:rPr>
            </w:pPr>
            <w:r w:rsidRPr="00682EAB">
              <w:rPr>
                <w:rFonts w:eastAsia="Calibri"/>
                <w:bCs/>
                <w:i/>
                <w:sz w:val="22"/>
                <w:szCs w:val="22"/>
                <w:shd w:val="clear" w:color="auto" w:fill="FFFFFF"/>
              </w:rPr>
              <w:t>Ліцензійні умови для операторів систем розподілу визначають, що місцем провадження діяльності є територія адміністративно-територіальної одиниці, де розташована їхня система розподілу. Ліцензіат зобов’язаний повідомляти НКРЕКП про всі зміни даних, поданих у заяві на отримання ліцензії, протягом місяця з моменту їх виникнення, за винятком інформації про місця та засоби провадження діяльності (мережі 6 кВ і вище), відповідні карти та документи щодо прав на майно. Такі відомості можна подавати протягом року після змін.</w:t>
            </w:r>
          </w:p>
        </w:tc>
        <w:tc>
          <w:tcPr>
            <w:tcW w:w="5066" w:type="dxa"/>
            <w:shd w:val="clear" w:color="auto" w:fill="auto"/>
            <w:vAlign w:val="center"/>
          </w:tcPr>
          <w:p w:rsidR="00E93F1C" w:rsidRPr="00DE216B" w:rsidRDefault="00D5185D" w:rsidP="00AC768C">
            <w:pPr>
              <w:rPr>
                <w:b/>
                <w:sz w:val="22"/>
                <w:szCs w:val="22"/>
              </w:rPr>
            </w:pPr>
            <w:r w:rsidRPr="00DE216B">
              <w:rPr>
                <w:b/>
                <w:sz w:val="22"/>
                <w:szCs w:val="22"/>
              </w:rPr>
              <w:lastRenderedPageBreak/>
              <w:t>Враховано</w:t>
            </w:r>
          </w:p>
        </w:tc>
      </w:tr>
      <w:tr w:rsidR="00DE3D4A" w:rsidRPr="009D3827" w:rsidTr="00DE3D4A">
        <w:trPr>
          <w:trHeight w:val="595"/>
        </w:trPr>
        <w:tc>
          <w:tcPr>
            <w:tcW w:w="15197" w:type="dxa"/>
            <w:gridSpan w:val="3"/>
            <w:shd w:val="clear" w:color="auto" w:fill="FFD966" w:themeFill="accent4" w:themeFillTint="99"/>
          </w:tcPr>
          <w:p w:rsidR="00DE3D4A" w:rsidRPr="00DE3D4A" w:rsidRDefault="00DE3D4A" w:rsidP="00DE3D4A">
            <w:pPr>
              <w:jc w:val="center"/>
              <w:rPr>
                <w:b/>
                <w:sz w:val="22"/>
                <w:szCs w:val="22"/>
              </w:rPr>
            </w:pPr>
            <w:r w:rsidRPr="00DE3D4A">
              <w:rPr>
                <w:b/>
                <w:sz w:val="22"/>
                <w:szCs w:val="22"/>
              </w:rPr>
              <w:t xml:space="preserve">Додаток </w:t>
            </w:r>
            <w:r>
              <w:rPr>
                <w:b/>
                <w:sz w:val="22"/>
                <w:szCs w:val="22"/>
              </w:rPr>
              <w:t>5</w:t>
            </w:r>
          </w:p>
          <w:p w:rsidR="00DE3D4A" w:rsidRPr="00DE3D4A" w:rsidRDefault="00DE3D4A" w:rsidP="00DE3D4A">
            <w:pPr>
              <w:jc w:val="center"/>
              <w:rPr>
                <w:b/>
                <w:sz w:val="22"/>
                <w:szCs w:val="22"/>
              </w:rPr>
            </w:pPr>
          </w:p>
          <w:p w:rsidR="00DE3D4A" w:rsidRPr="009D3827" w:rsidRDefault="00DE3D4A" w:rsidP="00DE3D4A">
            <w:pPr>
              <w:jc w:val="center"/>
              <w:rPr>
                <w:b/>
                <w:sz w:val="22"/>
                <w:szCs w:val="22"/>
              </w:rPr>
            </w:pPr>
            <w:r w:rsidRPr="00DE3D4A">
              <w:rPr>
                <w:b/>
                <w:sz w:val="22"/>
                <w:szCs w:val="22"/>
              </w:rPr>
              <w:t>Перелік питань для перевірки дотримання вимог законодавства та ліцензійних умов суб’єктом господарської діяльності, що здійснює функції оператора ринку</w:t>
            </w:r>
          </w:p>
        </w:tc>
      </w:tr>
      <w:tr w:rsidR="00E93F1C" w:rsidRPr="009D3827" w:rsidTr="00276080">
        <w:trPr>
          <w:trHeight w:val="595"/>
        </w:trPr>
        <w:tc>
          <w:tcPr>
            <w:tcW w:w="5065" w:type="dxa"/>
            <w:shd w:val="clear" w:color="auto" w:fill="auto"/>
          </w:tcPr>
          <w:p w:rsidR="00E93F1C" w:rsidRDefault="00E93F1C" w:rsidP="006A54E9">
            <w:pPr>
              <w:ind w:firstLine="308"/>
              <w:jc w:val="both"/>
              <w:rPr>
                <w:sz w:val="22"/>
                <w:szCs w:val="22"/>
                <w:shd w:val="clear" w:color="auto" w:fill="FFFFFF"/>
              </w:rPr>
            </w:pPr>
          </w:p>
          <w:p w:rsidR="007B385C" w:rsidRDefault="007B385C" w:rsidP="006A54E9">
            <w:pPr>
              <w:ind w:firstLine="308"/>
              <w:jc w:val="both"/>
              <w:rPr>
                <w:sz w:val="22"/>
                <w:szCs w:val="22"/>
                <w:shd w:val="clear" w:color="auto" w:fill="FFFFFF"/>
              </w:rPr>
            </w:pPr>
          </w:p>
          <w:tbl>
            <w:tblPr>
              <w:tblW w:w="48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561"/>
              <w:gridCol w:w="1361"/>
              <w:gridCol w:w="567"/>
              <w:gridCol w:w="227"/>
              <w:gridCol w:w="227"/>
              <w:gridCol w:w="227"/>
              <w:gridCol w:w="1644"/>
            </w:tblGrid>
            <w:tr w:rsidR="00DE3D4A" w:rsidRPr="006F331A" w:rsidTr="00DE3D4A">
              <w:trPr>
                <w:trHeight w:val="20"/>
              </w:trPr>
              <w:tc>
                <w:tcPr>
                  <w:tcW w:w="561" w:type="dxa"/>
                </w:tcPr>
                <w:p w:rsidR="00DE3D4A" w:rsidRPr="006F331A" w:rsidRDefault="00DE3D4A" w:rsidP="00DE3D4A">
                  <w:pPr>
                    <w:ind w:left="57" w:right="-82"/>
                    <w:rPr>
                      <w:lang w:val="en-US" w:eastAsia="uk-UA"/>
                    </w:rPr>
                  </w:pPr>
                  <w:r w:rsidRPr="006F331A">
                    <w:rPr>
                      <w:lang w:val="en-US" w:eastAsia="uk-UA"/>
                    </w:rPr>
                    <w:t>2.2</w:t>
                  </w:r>
                </w:p>
              </w:tc>
              <w:tc>
                <w:tcPr>
                  <w:tcW w:w="1361" w:type="dxa"/>
                </w:tcPr>
                <w:p w:rsidR="00DE3D4A" w:rsidRPr="006F331A" w:rsidRDefault="00DE3D4A" w:rsidP="00DE3D4A">
                  <w:pPr>
                    <w:keepNext/>
                    <w:ind w:left="-83" w:right="-85"/>
                    <w:jc w:val="center"/>
                  </w:pPr>
                  <w:r w:rsidRPr="006F331A">
                    <w:t>Ліцензіатом призначено особу, відповідальну за обробку та збереження персональних даних</w:t>
                  </w:r>
                </w:p>
              </w:tc>
              <w:tc>
                <w:tcPr>
                  <w:tcW w:w="567" w:type="dxa"/>
                </w:tcPr>
                <w:p w:rsidR="00DE3D4A" w:rsidRPr="006F331A" w:rsidRDefault="00DE3D4A" w:rsidP="00DE3D4A">
                  <w:pPr>
                    <w:keepNext/>
                    <w:ind w:left="-92" w:right="-84"/>
                    <w:jc w:val="center"/>
                    <w:rPr>
                      <w:bCs/>
                      <w:lang w:eastAsia="uk-UA"/>
                    </w:rPr>
                  </w:pPr>
                </w:p>
              </w:tc>
              <w:tc>
                <w:tcPr>
                  <w:tcW w:w="227" w:type="dxa"/>
                </w:tcPr>
                <w:p w:rsidR="00DE3D4A" w:rsidRPr="006F331A" w:rsidRDefault="00DE3D4A" w:rsidP="00DE3D4A">
                  <w:pPr>
                    <w:keepNext/>
                    <w:ind w:left="-92" w:right="-84"/>
                    <w:jc w:val="center"/>
                    <w:rPr>
                      <w:bCs/>
                      <w:lang w:eastAsia="uk-UA"/>
                    </w:rPr>
                  </w:pPr>
                </w:p>
              </w:tc>
              <w:tc>
                <w:tcPr>
                  <w:tcW w:w="227" w:type="dxa"/>
                </w:tcPr>
                <w:p w:rsidR="00DE3D4A" w:rsidRPr="006F331A" w:rsidRDefault="00DE3D4A" w:rsidP="00DE3D4A">
                  <w:pPr>
                    <w:keepNext/>
                    <w:ind w:left="-92" w:right="-84"/>
                    <w:jc w:val="center"/>
                    <w:rPr>
                      <w:bCs/>
                      <w:lang w:eastAsia="uk-UA"/>
                    </w:rPr>
                  </w:pPr>
                </w:p>
              </w:tc>
              <w:tc>
                <w:tcPr>
                  <w:tcW w:w="227" w:type="dxa"/>
                </w:tcPr>
                <w:p w:rsidR="00DE3D4A" w:rsidRPr="006F331A" w:rsidRDefault="00DE3D4A" w:rsidP="00DE3D4A">
                  <w:pPr>
                    <w:keepNext/>
                    <w:ind w:left="-92" w:right="-84"/>
                    <w:jc w:val="center"/>
                    <w:rPr>
                      <w:bCs/>
                      <w:lang w:eastAsia="uk-UA"/>
                    </w:rPr>
                  </w:pPr>
                </w:p>
              </w:tc>
              <w:tc>
                <w:tcPr>
                  <w:tcW w:w="1644" w:type="dxa"/>
                </w:tcPr>
                <w:p w:rsidR="00DE3D4A" w:rsidRPr="006F331A" w:rsidRDefault="00DE3D4A" w:rsidP="00DE3D4A">
                  <w:pPr>
                    <w:keepNext/>
                    <w:ind w:left="-92" w:right="-84"/>
                    <w:jc w:val="center"/>
                    <w:rPr>
                      <w:bCs/>
                      <w:lang w:eastAsia="uk-UA"/>
                    </w:rPr>
                  </w:pPr>
                  <w:r w:rsidRPr="006F331A">
                    <w:rPr>
                      <w:bCs/>
                      <w:lang w:eastAsia="uk-UA"/>
                    </w:rPr>
                    <w:t xml:space="preserve">підпункт 2 пункту 2.1 </w:t>
                  </w:r>
                  <w:r w:rsidRPr="006F331A">
                    <w:rPr>
                      <w:spacing w:val="-2"/>
                    </w:rPr>
                    <w:t xml:space="preserve">ЛУ </w:t>
                  </w:r>
                  <w:r w:rsidRPr="006F331A">
                    <w:t>№ 1466</w:t>
                  </w:r>
                </w:p>
              </w:tc>
            </w:tr>
          </w:tbl>
          <w:p w:rsidR="00DE3D4A" w:rsidRDefault="00DE3D4A" w:rsidP="006A54E9">
            <w:pPr>
              <w:ind w:firstLine="308"/>
              <w:jc w:val="both"/>
              <w:rPr>
                <w:sz w:val="22"/>
                <w:szCs w:val="22"/>
                <w:shd w:val="clear" w:color="auto" w:fill="FFFFFF"/>
              </w:rPr>
            </w:pPr>
          </w:p>
          <w:p w:rsidR="00DE3D4A" w:rsidRDefault="00DE3D4A" w:rsidP="006A54E9">
            <w:pPr>
              <w:ind w:firstLine="308"/>
              <w:jc w:val="both"/>
              <w:rPr>
                <w:sz w:val="22"/>
                <w:szCs w:val="22"/>
                <w:shd w:val="clear" w:color="auto" w:fill="FFFFFF"/>
              </w:rPr>
            </w:pPr>
          </w:p>
          <w:p w:rsidR="00DE3D4A" w:rsidRDefault="00DE3D4A" w:rsidP="006A54E9">
            <w:pPr>
              <w:ind w:firstLine="308"/>
              <w:jc w:val="both"/>
              <w:rPr>
                <w:sz w:val="22"/>
                <w:szCs w:val="22"/>
                <w:shd w:val="clear" w:color="auto" w:fill="FFFFFF"/>
              </w:rPr>
            </w:pPr>
          </w:p>
          <w:p w:rsidR="00DE3D4A" w:rsidRPr="009D3827" w:rsidRDefault="00DE3D4A" w:rsidP="006A54E9">
            <w:pPr>
              <w:ind w:firstLine="308"/>
              <w:jc w:val="both"/>
              <w:rPr>
                <w:sz w:val="22"/>
                <w:szCs w:val="22"/>
                <w:shd w:val="clear" w:color="auto" w:fill="FFFFFF"/>
              </w:rPr>
            </w:pPr>
          </w:p>
        </w:tc>
        <w:tc>
          <w:tcPr>
            <w:tcW w:w="5066" w:type="dxa"/>
            <w:shd w:val="clear" w:color="auto" w:fill="auto"/>
          </w:tcPr>
          <w:p w:rsidR="00E93F1C" w:rsidRDefault="007B385C" w:rsidP="00965B90">
            <w:pPr>
              <w:ind w:firstLine="308"/>
              <w:jc w:val="both"/>
              <w:rPr>
                <w:i/>
                <w:sz w:val="22"/>
                <w:szCs w:val="22"/>
                <w:shd w:val="clear" w:color="auto" w:fill="FFFFFF"/>
              </w:rPr>
            </w:pPr>
            <w:r w:rsidRPr="007B385C">
              <w:rPr>
                <w:i/>
                <w:sz w:val="22"/>
                <w:szCs w:val="22"/>
                <w:shd w:val="clear" w:color="auto" w:fill="FFFFFF"/>
              </w:rPr>
              <w:t>АТ «ОПЕРАТОР РИНКУ»</w:t>
            </w:r>
          </w:p>
          <w:p w:rsidR="007B385C" w:rsidRDefault="007B385C" w:rsidP="00965B90">
            <w:pPr>
              <w:ind w:firstLine="308"/>
              <w:jc w:val="both"/>
              <w:rPr>
                <w:i/>
                <w:sz w:val="22"/>
                <w:szCs w:val="22"/>
                <w:shd w:val="clear" w:color="auto" w:fill="FFFFFF"/>
              </w:rPr>
            </w:pPr>
          </w:p>
          <w:tbl>
            <w:tblPr>
              <w:tblW w:w="47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562"/>
              <w:gridCol w:w="1531"/>
              <w:gridCol w:w="284"/>
              <w:gridCol w:w="283"/>
              <w:gridCol w:w="284"/>
              <w:gridCol w:w="283"/>
              <w:gridCol w:w="1531"/>
            </w:tblGrid>
            <w:tr w:rsidR="00AB6CBA" w:rsidRPr="00C72833" w:rsidTr="00AB6CBA">
              <w:trPr>
                <w:trHeight w:val="20"/>
              </w:trPr>
              <w:tc>
                <w:tcPr>
                  <w:tcW w:w="562" w:type="dxa"/>
                </w:tcPr>
                <w:p w:rsidR="00AB6CBA" w:rsidRPr="00C72833" w:rsidRDefault="00AB6CBA" w:rsidP="00AB6CBA">
                  <w:pPr>
                    <w:ind w:left="57" w:right="-82"/>
                    <w:rPr>
                      <w:lang w:val="en-US" w:eastAsia="uk-UA"/>
                    </w:rPr>
                  </w:pPr>
                  <w:r w:rsidRPr="00C72833">
                    <w:rPr>
                      <w:lang w:val="en-US" w:eastAsia="uk-UA"/>
                    </w:rPr>
                    <w:t>2.2</w:t>
                  </w:r>
                </w:p>
              </w:tc>
              <w:tc>
                <w:tcPr>
                  <w:tcW w:w="1531" w:type="dxa"/>
                </w:tcPr>
                <w:p w:rsidR="00AB6CBA" w:rsidRPr="00C72833" w:rsidRDefault="00AB6CBA" w:rsidP="00AB6CBA">
                  <w:pPr>
                    <w:keepNext/>
                    <w:ind w:left="-83" w:right="-85"/>
                    <w:jc w:val="center"/>
                  </w:pPr>
                  <w:r w:rsidRPr="00C72833">
                    <w:t xml:space="preserve">Ліцензіатом </w:t>
                  </w:r>
                  <w:r w:rsidRPr="00C72833">
                    <w:rPr>
                      <w:b/>
                      <w:bCs/>
                    </w:rPr>
                    <w:t>не пізніше ніж через тридцять робочих днів після припинення або скасування воєнного стану</w:t>
                  </w:r>
                  <w:r w:rsidRPr="00C72833">
                    <w:t xml:space="preserve"> призначено особу, відповідальну за обробку та збереження персональних даних</w:t>
                  </w:r>
                </w:p>
              </w:tc>
              <w:tc>
                <w:tcPr>
                  <w:tcW w:w="284" w:type="dxa"/>
                </w:tcPr>
                <w:p w:rsidR="00AB6CBA" w:rsidRPr="00C72833" w:rsidRDefault="00AB6CBA" w:rsidP="00AB6CBA">
                  <w:pPr>
                    <w:keepNext/>
                    <w:ind w:left="-92" w:right="-84"/>
                    <w:jc w:val="center"/>
                    <w:rPr>
                      <w:bCs/>
                      <w:lang w:eastAsia="uk-UA"/>
                    </w:rPr>
                  </w:pPr>
                </w:p>
              </w:tc>
              <w:tc>
                <w:tcPr>
                  <w:tcW w:w="283" w:type="dxa"/>
                </w:tcPr>
                <w:p w:rsidR="00AB6CBA" w:rsidRPr="00C72833" w:rsidRDefault="00AB6CBA" w:rsidP="00AB6CBA">
                  <w:pPr>
                    <w:keepNext/>
                    <w:ind w:left="-92" w:right="-84"/>
                    <w:jc w:val="center"/>
                    <w:rPr>
                      <w:bCs/>
                      <w:lang w:eastAsia="uk-UA"/>
                    </w:rPr>
                  </w:pPr>
                </w:p>
              </w:tc>
              <w:tc>
                <w:tcPr>
                  <w:tcW w:w="284" w:type="dxa"/>
                </w:tcPr>
                <w:p w:rsidR="00AB6CBA" w:rsidRPr="00C72833" w:rsidRDefault="00AB6CBA" w:rsidP="00AB6CBA">
                  <w:pPr>
                    <w:keepNext/>
                    <w:ind w:left="-92" w:right="-84"/>
                    <w:jc w:val="center"/>
                    <w:rPr>
                      <w:bCs/>
                      <w:lang w:eastAsia="uk-UA"/>
                    </w:rPr>
                  </w:pPr>
                </w:p>
              </w:tc>
              <w:tc>
                <w:tcPr>
                  <w:tcW w:w="283" w:type="dxa"/>
                </w:tcPr>
                <w:p w:rsidR="00AB6CBA" w:rsidRPr="00C72833" w:rsidRDefault="00AB6CBA" w:rsidP="00AB6CBA">
                  <w:pPr>
                    <w:keepNext/>
                    <w:ind w:left="-92" w:right="-84"/>
                    <w:jc w:val="center"/>
                    <w:rPr>
                      <w:bCs/>
                      <w:lang w:eastAsia="uk-UA"/>
                    </w:rPr>
                  </w:pPr>
                </w:p>
              </w:tc>
              <w:tc>
                <w:tcPr>
                  <w:tcW w:w="1531" w:type="dxa"/>
                </w:tcPr>
                <w:p w:rsidR="00AB6CBA" w:rsidRPr="00C72833" w:rsidRDefault="00AB6CBA" w:rsidP="00AB6CBA">
                  <w:pPr>
                    <w:keepNext/>
                    <w:ind w:left="-92" w:right="-84"/>
                    <w:jc w:val="center"/>
                    <w:rPr>
                      <w:bCs/>
                      <w:lang w:eastAsia="uk-UA"/>
                    </w:rPr>
                  </w:pPr>
                  <w:r w:rsidRPr="00C72833">
                    <w:rPr>
                      <w:bCs/>
                      <w:lang w:eastAsia="uk-UA"/>
                    </w:rPr>
                    <w:t xml:space="preserve">підпункт 2 пункту 2.1 </w:t>
                  </w:r>
                  <w:r w:rsidRPr="00C72833">
                    <w:rPr>
                      <w:spacing w:val="-2"/>
                    </w:rPr>
                    <w:t xml:space="preserve">ЛУ </w:t>
                  </w:r>
                  <w:r w:rsidRPr="00C72833">
                    <w:t>№ 1466</w:t>
                  </w:r>
                </w:p>
              </w:tc>
            </w:tr>
          </w:tbl>
          <w:p w:rsidR="00DE3D4A" w:rsidRPr="00AB6CBA" w:rsidRDefault="00DE3D4A" w:rsidP="00965B90">
            <w:pPr>
              <w:ind w:firstLine="308"/>
              <w:jc w:val="both"/>
              <w:rPr>
                <w:i/>
                <w:sz w:val="22"/>
                <w:szCs w:val="22"/>
                <w:shd w:val="clear" w:color="auto" w:fill="FFFFFF"/>
              </w:rPr>
            </w:pPr>
          </w:p>
          <w:p w:rsidR="00AB6CBA" w:rsidRPr="00AB6CBA" w:rsidRDefault="005159E7" w:rsidP="00AB6CBA">
            <w:pPr>
              <w:ind w:firstLine="308"/>
              <w:jc w:val="both"/>
              <w:rPr>
                <w:i/>
                <w:sz w:val="22"/>
                <w:szCs w:val="22"/>
                <w:shd w:val="clear" w:color="auto" w:fill="FFFFFF"/>
              </w:rPr>
            </w:pPr>
            <w:r>
              <w:rPr>
                <w:i/>
                <w:sz w:val="22"/>
                <w:szCs w:val="22"/>
                <w:shd w:val="clear" w:color="auto" w:fill="FFFFFF"/>
              </w:rPr>
              <w:t>ОБҐРУНТУВАННЯ</w:t>
            </w:r>
            <w:r w:rsidR="00AB6CBA" w:rsidRPr="00AB6CBA">
              <w:rPr>
                <w:i/>
                <w:sz w:val="22"/>
                <w:szCs w:val="22"/>
                <w:shd w:val="clear" w:color="auto" w:fill="FFFFFF"/>
              </w:rPr>
              <w:t>:</w:t>
            </w:r>
          </w:p>
          <w:p w:rsidR="00AB6CBA" w:rsidRPr="00AB6CBA" w:rsidRDefault="00AB6CBA" w:rsidP="00AB6CBA">
            <w:pPr>
              <w:ind w:firstLine="308"/>
              <w:jc w:val="both"/>
              <w:rPr>
                <w:i/>
                <w:sz w:val="22"/>
                <w:szCs w:val="22"/>
                <w:lang w:eastAsia="uk-UA"/>
              </w:rPr>
            </w:pPr>
            <w:r w:rsidRPr="00AB6CBA">
              <w:rPr>
                <w:rFonts w:eastAsia="Calibri"/>
                <w:bCs/>
                <w:i/>
                <w:sz w:val="22"/>
                <w:szCs w:val="22"/>
                <w:shd w:val="clear" w:color="auto" w:fill="FFFFFF"/>
              </w:rPr>
              <w:t>Згідно</w:t>
            </w:r>
            <w:r w:rsidRPr="00AB6CBA">
              <w:rPr>
                <w:i/>
                <w:sz w:val="22"/>
                <w:szCs w:val="22"/>
                <w:lang w:eastAsia="uk-UA"/>
              </w:rPr>
              <w:t xml:space="preserve"> з пунктом 2 постанови НКРЕКП від 23.08.2022  № 989 відповідне положення Ліцензійних умов оператора ринку (нова редакція підпункту 2 пункту 2.1) набирає чинності через тридцять робочих днів після припинення або скасування воєнного стану.</w:t>
            </w:r>
          </w:p>
          <w:p w:rsidR="00DE3D4A" w:rsidRPr="009D3827" w:rsidRDefault="00AB6CBA" w:rsidP="00AB6CBA">
            <w:pPr>
              <w:ind w:firstLine="308"/>
              <w:jc w:val="both"/>
              <w:rPr>
                <w:i/>
                <w:sz w:val="22"/>
                <w:szCs w:val="22"/>
                <w:shd w:val="clear" w:color="auto" w:fill="FFFFFF"/>
              </w:rPr>
            </w:pPr>
            <w:r w:rsidRPr="00AB6CBA">
              <w:rPr>
                <w:i/>
                <w:sz w:val="22"/>
                <w:szCs w:val="22"/>
                <w:lang w:eastAsia="uk-UA"/>
              </w:rPr>
              <w:t>У зв’язку із зазначеним АТ «Оператор ринку» пропонує внести уточнення у назві питання або у колонці «Нормативне обґрунтування» та зазначити, що така вимога Ліцензійних умов оператора ринку набирає чинності через тридцять робочих днів після припинення або скасування воєнного стану.</w:t>
            </w:r>
          </w:p>
        </w:tc>
        <w:tc>
          <w:tcPr>
            <w:tcW w:w="5066" w:type="dxa"/>
            <w:shd w:val="clear" w:color="auto" w:fill="auto"/>
            <w:vAlign w:val="center"/>
          </w:tcPr>
          <w:p w:rsidR="00E93F1C" w:rsidRPr="00DE216B" w:rsidRDefault="007F4594" w:rsidP="00AC768C">
            <w:pPr>
              <w:rPr>
                <w:b/>
                <w:sz w:val="22"/>
                <w:szCs w:val="22"/>
              </w:rPr>
            </w:pPr>
            <w:r w:rsidRPr="00DE216B">
              <w:rPr>
                <w:b/>
                <w:sz w:val="22"/>
                <w:szCs w:val="22"/>
              </w:rPr>
              <w:t>Не враховано</w:t>
            </w:r>
            <w:r w:rsidRPr="00DE216B">
              <w:rPr>
                <w:b/>
                <w:sz w:val="22"/>
                <w:szCs w:val="22"/>
              </w:rPr>
              <w:br/>
              <w:t>Під час перевірки буде враховуватись наявність військового стану, та до закінчення визначеного строку питання не буде перевірятись</w:t>
            </w:r>
          </w:p>
        </w:tc>
      </w:tr>
      <w:tr w:rsidR="007F4594" w:rsidRPr="009D3827" w:rsidTr="00AF36D5">
        <w:trPr>
          <w:trHeight w:val="595"/>
        </w:trPr>
        <w:tc>
          <w:tcPr>
            <w:tcW w:w="5065" w:type="dxa"/>
            <w:shd w:val="clear" w:color="auto" w:fill="auto"/>
          </w:tcPr>
          <w:p w:rsidR="007F4594" w:rsidRDefault="007F4594" w:rsidP="007F4594">
            <w:pPr>
              <w:ind w:firstLine="308"/>
              <w:jc w:val="both"/>
              <w:rPr>
                <w:sz w:val="22"/>
                <w:szCs w:val="22"/>
                <w:shd w:val="clear" w:color="auto" w:fill="FFFFFF"/>
              </w:rPr>
            </w:pPr>
          </w:p>
          <w:p w:rsidR="007F4594" w:rsidRDefault="007F4594" w:rsidP="007F4594">
            <w:pPr>
              <w:ind w:firstLine="308"/>
              <w:jc w:val="both"/>
              <w:rPr>
                <w:sz w:val="22"/>
                <w:szCs w:val="22"/>
                <w:shd w:val="clear" w:color="auto" w:fill="FFFFFF"/>
              </w:rPr>
            </w:pPr>
          </w:p>
          <w:tbl>
            <w:tblPr>
              <w:tblW w:w="48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561"/>
              <w:gridCol w:w="1928"/>
              <w:gridCol w:w="680"/>
              <w:gridCol w:w="227"/>
              <w:gridCol w:w="227"/>
              <w:gridCol w:w="227"/>
              <w:gridCol w:w="964"/>
            </w:tblGrid>
            <w:tr w:rsidR="007F4594" w:rsidRPr="006F331A" w:rsidTr="0061746C">
              <w:trPr>
                <w:trHeight w:val="20"/>
              </w:trPr>
              <w:tc>
                <w:tcPr>
                  <w:tcW w:w="561" w:type="dxa"/>
                </w:tcPr>
                <w:p w:rsidR="007F4594" w:rsidRPr="006F331A" w:rsidRDefault="007F4594" w:rsidP="007F4594">
                  <w:pPr>
                    <w:ind w:right="-82"/>
                    <w:jc w:val="center"/>
                    <w:rPr>
                      <w:lang w:eastAsia="uk-UA"/>
                    </w:rPr>
                  </w:pPr>
                  <w:r w:rsidRPr="006F331A">
                    <w:rPr>
                      <w:lang w:eastAsia="uk-UA"/>
                    </w:rPr>
                    <w:t>3.10</w:t>
                  </w:r>
                </w:p>
              </w:tc>
              <w:tc>
                <w:tcPr>
                  <w:tcW w:w="1928" w:type="dxa"/>
                </w:tcPr>
                <w:p w:rsidR="007F4594" w:rsidRPr="006F331A" w:rsidRDefault="007F4594" w:rsidP="007F4594">
                  <w:pPr>
                    <w:keepNext/>
                    <w:ind w:left="-83" w:right="-85"/>
                    <w:jc w:val="center"/>
                    <w:rPr>
                      <w:bCs/>
                      <w:lang w:eastAsia="uk-UA"/>
                    </w:rPr>
                  </w:pPr>
                  <w:r w:rsidRPr="006F331A">
                    <w:t>Ліцензіат</w:t>
                  </w:r>
                  <w:r w:rsidRPr="006F331A">
                    <w:rPr>
                      <w:lang w:eastAsia="uk-UA"/>
                    </w:rPr>
                    <w:t xml:space="preserve"> дотримується вимог щодо надання, захисту, розкриття та оприлюднення інформації на ринку електричної енергії, </w:t>
                  </w:r>
                  <w:r w:rsidRPr="006F331A">
                    <w:rPr>
                      <w:lang w:eastAsia="uk-UA"/>
                    </w:rPr>
                    <w:lastRenderedPageBreak/>
                    <w:t>визначених Законом України «Про ринок електричної енергії», правилами ринку «на добу наперед» та внутрішньодобового ринку та іншими нормативно-правовими актами, що регулюють функціонування ринку електричної енергії</w:t>
                  </w:r>
                </w:p>
              </w:tc>
              <w:tc>
                <w:tcPr>
                  <w:tcW w:w="680" w:type="dxa"/>
                </w:tcPr>
                <w:p w:rsidR="007F4594" w:rsidRPr="006F331A" w:rsidRDefault="007F4594" w:rsidP="007F4594">
                  <w:pPr>
                    <w:keepNext/>
                    <w:ind w:left="-28" w:right="-28"/>
                    <w:jc w:val="center"/>
                    <w:rPr>
                      <w:bCs/>
                      <w:lang w:eastAsia="uk-UA"/>
                    </w:rPr>
                  </w:pPr>
                </w:p>
              </w:tc>
              <w:tc>
                <w:tcPr>
                  <w:tcW w:w="227" w:type="dxa"/>
                </w:tcPr>
                <w:p w:rsidR="007F4594" w:rsidRPr="006F331A" w:rsidRDefault="007F4594" w:rsidP="007F4594">
                  <w:pPr>
                    <w:keepNext/>
                    <w:ind w:left="-28" w:right="-28"/>
                    <w:jc w:val="center"/>
                    <w:rPr>
                      <w:bCs/>
                      <w:lang w:eastAsia="uk-UA"/>
                    </w:rPr>
                  </w:pPr>
                </w:p>
              </w:tc>
              <w:tc>
                <w:tcPr>
                  <w:tcW w:w="227" w:type="dxa"/>
                </w:tcPr>
                <w:p w:rsidR="007F4594" w:rsidRPr="006F331A" w:rsidRDefault="007F4594" w:rsidP="007F4594">
                  <w:pPr>
                    <w:keepNext/>
                    <w:ind w:left="-28" w:right="-28"/>
                    <w:jc w:val="center"/>
                    <w:rPr>
                      <w:bCs/>
                      <w:lang w:eastAsia="uk-UA"/>
                    </w:rPr>
                  </w:pPr>
                </w:p>
              </w:tc>
              <w:tc>
                <w:tcPr>
                  <w:tcW w:w="227" w:type="dxa"/>
                </w:tcPr>
                <w:p w:rsidR="007F4594" w:rsidRPr="006F331A" w:rsidRDefault="007F4594" w:rsidP="007F4594">
                  <w:pPr>
                    <w:keepNext/>
                    <w:ind w:left="-28" w:right="-28"/>
                    <w:jc w:val="center"/>
                    <w:rPr>
                      <w:bCs/>
                      <w:lang w:eastAsia="uk-UA"/>
                    </w:rPr>
                  </w:pPr>
                </w:p>
              </w:tc>
              <w:tc>
                <w:tcPr>
                  <w:tcW w:w="964" w:type="dxa"/>
                </w:tcPr>
                <w:p w:rsidR="007F4594" w:rsidRPr="006F331A" w:rsidRDefault="007F4594" w:rsidP="007F4594">
                  <w:pPr>
                    <w:ind w:left="-90" w:right="-89"/>
                    <w:jc w:val="center"/>
                    <w:rPr>
                      <w:bCs/>
                      <w:lang w:eastAsia="uk-UA"/>
                    </w:rPr>
                  </w:pPr>
                  <w:r w:rsidRPr="006F331A">
                    <w:rPr>
                      <w:bCs/>
                      <w:lang w:eastAsia="uk-UA"/>
                    </w:rPr>
                    <w:t>підпункт 23</w:t>
                  </w:r>
                </w:p>
                <w:p w:rsidR="007F4594" w:rsidRPr="006F331A" w:rsidRDefault="007F4594" w:rsidP="007F4594">
                  <w:pPr>
                    <w:keepNext/>
                    <w:ind w:left="-28" w:right="-28"/>
                    <w:jc w:val="center"/>
                    <w:rPr>
                      <w:bCs/>
                      <w:lang w:eastAsia="uk-UA"/>
                    </w:rPr>
                  </w:pPr>
                  <w:r w:rsidRPr="006F331A">
                    <w:rPr>
                      <w:bCs/>
                      <w:lang w:eastAsia="uk-UA"/>
                    </w:rPr>
                    <w:t>пункту 2.2 ЛУ № 1466</w:t>
                  </w:r>
                </w:p>
              </w:tc>
            </w:tr>
          </w:tbl>
          <w:p w:rsidR="007F4594" w:rsidRDefault="007F4594" w:rsidP="007F4594">
            <w:pPr>
              <w:ind w:firstLine="308"/>
              <w:jc w:val="both"/>
              <w:rPr>
                <w:sz w:val="22"/>
                <w:szCs w:val="22"/>
                <w:shd w:val="clear" w:color="auto" w:fill="FFFFFF"/>
              </w:rPr>
            </w:pPr>
          </w:p>
          <w:p w:rsidR="007F4594" w:rsidRPr="009D3827" w:rsidRDefault="007F4594" w:rsidP="007F4594">
            <w:pPr>
              <w:ind w:firstLine="308"/>
              <w:jc w:val="both"/>
              <w:rPr>
                <w:sz w:val="22"/>
                <w:szCs w:val="22"/>
                <w:shd w:val="clear" w:color="auto" w:fill="FFFFFF"/>
              </w:rPr>
            </w:pPr>
          </w:p>
        </w:tc>
        <w:tc>
          <w:tcPr>
            <w:tcW w:w="5066" w:type="dxa"/>
            <w:shd w:val="clear" w:color="auto" w:fill="auto"/>
          </w:tcPr>
          <w:p w:rsidR="007F4594" w:rsidRDefault="007F4594" w:rsidP="007F4594">
            <w:pPr>
              <w:ind w:firstLine="308"/>
              <w:jc w:val="both"/>
              <w:rPr>
                <w:i/>
                <w:sz w:val="22"/>
                <w:szCs w:val="22"/>
                <w:shd w:val="clear" w:color="auto" w:fill="FFFFFF"/>
              </w:rPr>
            </w:pPr>
            <w:r w:rsidRPr="007B385C">
              <w:rPr>
                <w:i/>
                <w:sz w:val="22"/>
                <w:szCs w:val="22"/>
                <w:shd w:val="clear" w:color="auto" w:fill="FFFFFF"/>
              </w:rPr>
              <w:lastRenderedPageBreak/>
              <w:t>АТ «ОПЕРАТОР РИНКУ»</w:t>
            </w:r>
          </w:p>
          <w:p w:rsidR="007F4594" w:rsidRDefault="007F4594" w:rsidP="007F4594">
            <w:pPr>
              <w:ind w:firstLine="308"/>
              <w:jc w:val="both"/>
              <w:rPr>
                <w:i/>
                <w:sz w:val="22"/>
                <w:szCs w:val="22"/>
                <w:shd w:val="clear" w:color="auto" w:fill="FFFFFF"/>
              </w:rPr>
            </w:pPr>
          </w:p>
          <w:tbl>
            <w:tblPr>
              <w:tblW w:w="4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562"/>
              <w:gridCol w:w="1871"/>
              <w:gridCol w:w="190"/>
              <w:gridCol w:w="235"/>
              <w:gridCol w:w="284"/>
              <w:gridCol w:w="283"/>
              <w:gridCol w:w="1304"/>
            </w:tblGrid>
            <w:tr w:rsidR="007F4594" w:rsidRPr="00C72833" w:rsidTr="00A509F9">
              <w:trPr>
                <w:trHeight w:val="20"/>
              </w:trPr>
              <w:tc>
                <w:tcPr>
                  <w:tcW w:w="562" w:type="dxa"/>
                </w:tcPr>
                <w:p w:rsidR="007F4594" w:rsidRPr="00C72833" w:rsidRDefault="007F4594" w:rsidP="007F4594">
                  <w:pPr>
                    <w:ind w:right="-82"/>
                    <w:jc w:val="center"/>
                    <w:rPr>
                      <w:lang w:eastAsia="uk-UA"/>
                    </w:rPr>
                  </w:pPr>
                  <w:r w:rsidRPr="00C72833">
                    <w:rPr>
                      <w:lang w:eastAsia="uk-UA"/>
                    </w:rPr>
                    <w:t>3.10</w:t>
                  </w:r>
                </w:p>
              </w:tc>
              <w:tc>
                <w:tcPr>
                  <w:tcW w:w="1871" w:type="dxa"/>
                </w:tcPr>
                <w:p w:rsidR="007F4594" w:rsidRPr="00C72833" w:rsidRDefault="007F4594" w:rsidP="007F4594">
                  <w:pPr>
                    <w:keepNext/>
                    <w:ind w:left="-83" w:right="-85"/>
                    <w:jc w:val="center"/>
                    <w:rPr>
                      <w:bCs/>
                      <w:lang w:eastAsia="uk-UA"/>
                    </w:rPr>
                  </w:pPr>
                  <w:r w:rsidRPr="00C72833">
                    <w:t>Ліцензіат</w:t>
                  </w:r>
                  <w:r w:rsidRPr="00C72833">
                    <w:rPr>
                      <w:lang w:eastAsia="uk-UA"/>
                    </w:rPr>
                    <w:t xml:space="preserve"> дотримується вимог щодо надання, захисту, розкриття та оприлюднення інформації на ринку електричної енергії, </w:t>
                  </w:r>
                  <w:r w:rsidRPr="00C72833">
                    <w:rPr>
                      <w:lang w:eastAsia="uk-UA"/>
                    </w:rPr>
                    <w:lastRenderedPageBreak/>
                    <w:t>визначених Законом України «Про ринок електричної енергії», правилами ринку «на добу наперед» та внутрішньодобового ринку та іншими нормативно-правовими актами, що регулюють функціонування ринку електричної енергії</w:t>
                  </w:r>
                </w:p>
              </w:tc>
              <w:tc>
                <w:tcPr>
                  <w:tcW w:w="190" w:type="dxa"/>
                </w:tcPr>
                <w:p w:rsidR="007F4594" w:rsidRPr="00C72833" w:rsidRDefault="007F4594" w:rsidP="007F4594">
                  <w:pPr>
                    <w:keepNext/>
                    <w:ind w:left="-28" w:right="-28"/>
                    <w:jc w:val="center"/>
                    <w:rPr>
                      <w:bCs/>
                      <w:lang w:eastAsia="uk-UA"/>
                    </w:rPr>
                  </w:pPr>
                </w:p>
              </w:tc>
              <w:tc>
                <w:tcPr>
                  <w:tcW w:w="235" w:type="dxa"/>
                </w:tcPr>
                <w:p w:rsidR="007F4594" w:rsidRPr="00C72833" w:rsidRDefault="007F4594" w:rsidP="007F4594">
                  <w:pPr>
                    <w:keepNext/>
                    <w:ind w:left="-28" w:right="-28"/>
                    <w:jc w:val="center"/>
                    <w:rPr>
                      <w:bCs/>
                      <w:lang w:eastAsia="uk-UA"/>
                    </w:rPr>
                  </w:pPr>
                </w:p>
              </w:tc>
              <w:tc>
                <w:tcPr>
                  <w:tcW w:w="284" w:type="dxa"/>
                </w:tcPr>
                <w:p w:rsidR="007F4594" w:rsidRPr="00C72833" w:rsidRDefault="007F4594" w:rsidP="007F4594">
                  <w:pPr>
                    <w:keepNext/>
                    <w:ind w:left="-28" w:right="-28"/>
                    <w:jc w:val="center"/>
                    <w:rPr>
                      <w:bCs/>
                      <w:lang w:eastAsia="uk-UA"/>
                    </w:rPr>
                  </w:pPr>
                </w:p>
              </w:tc>
              <w:tc>
                <w:tcPr>
                  <w:tcW w:w="283" w:type="dxa"/>
                </w:tcPr>
                <w:p w:rsidR="007F4594" w:rsidRPr="00C72833" w:rsidRDefault="007F4594" w:rsidP="007F4594">
                  <w:pPr>
                    <w:keepNext/>
                    <w:ind w:left="-28" w:right="-28"/>
                    <w:jc w:val="center"/>
                    <w:rPr>
                      <w:bCs/>
                      <w:lang w:eastAsia="uk-UA"/>
                    </w:rPr>
                  </w:pPr>
                </w:p>
              </w:tc>
              <w:tc>
                <w:tcPr>
                  <w:tcW w:w="1304" w:type="dxa"/>
                </w:tcPr>
                <w:p w:rsidR="007F4594" w:rsidRPr="00C72833" w:rsidRDefault="007F4594" w:rsidP="007F4594">
                  <w:pPr>
                    <w:ind w:left="-90" w:right="-89"/>
                    <w:jc w:val="center"/>
                    <w:rPr>
                      <w:b/>
                      <w:lang w:eastAsia="uk-UA"/>
                    </w:rPr>
                  </w:pPr>
                  <w:r w:rsidRPr="00C72833">
                    <w:rPr>
                      <w:bCs/>
                      <w:lang w:eastAsia="uk-UA"/>
                    </w:rPr>
                    <w:t>підпункт 23</w:t>
                  </w:r>
                  <w:r w:rsidRPr="00C72833">
                    <w:rPr>
                      <w:b/>
                      <w:lang w:eastAsia="uk-UA"/>
                    </w:rPr>
                    <w:t>, 29</w:t>
                  </w:r>
                </w:p>
                <w:p w:rsidR="007F4594" w:rsidRPr="00C72833" w:rsidRDefault="007F4594" w:rsidP="007F4594">
                  <w:pPr>
                    <w:keepNext/>
                    <w:ind w:left="-28" w:right="-28"/>
                    <w:jc w:val="center"/>
                    <w:rPr>
                      <w:bCs/>
                      <w:lang w:eastAsia="uk-UA"/>
                    </w:rPr>
                  </w:pPr>
                  <w:r w:rsidRPr="00C72833">
                    <w:rPr>
                      <w:bCs/>
                      <w:lang w:eastAsia="uk-UA"/>
                    </w:rPr>
                    <w:t>пункту 2.2 ЛУ № 1466</w:t>
                  </w:r>
                </w:p>
              </w:tc>
            </w:tr>
          </w:tbl>
          <w:p w:rsidR="007F4594" w:rsidRPr="00AB6CBA" w:rsidRDefault="007F4594" w:rsidP="007F4594">
            <w:pPr>
              <w:ind w:firstLine="308"/>
              <w:jc w:val="both"/>
              <w:rPr>
                <w:i/>
                <w:sz w:val="22"/>
                <w:szCs w:val="22"/>
                <w:shd w:val="clear" w:color="auto" w:fill="FFFFFF"/>
              </w:rPr>
            </w:pPr>
          </w:p>
          <w:p w:rsidR="007F4594" w:rsidRPr="00AB6CBA" w:rsidRDefault="007F4594" w:rsidP="007F4594">
            <w:pPr>
              <w:ind w:firstLine="308"/>
              <w:jc w:val="both"/>
              <w:rPr>
                <w:i/>
                <w:sz w:val="22"/>
                <w:szCs w:val="22"/>
                <w:shd w:val="clear" w:color="auto" w:fill="FFFFFF"/>
              </w:rPr>
            </w:pPr>
            <w:r>
              <w:rPr>
                <w:i/>
                <w:sz w:val="22"/>
                <w:szCs w:val="22"/>
                <w:shd w:val="clear" w:color="auto" w:fill="FFFFFF"/>
              </w:rPr>
              <w:t>ОБҐРУНТУВАННЯ</w:t>
            </w:r>
            <w:r w:rsidRPr="00AB6CBA">
              <w:rPr>
                <w:i/>
                <w:sz w:val="22"/>
                <w:szCs w:val="22"/>
                <w:shd w:val="clear" w:color="auto" w:fill="FFFFFF"/>
              </w:rPr>
              <w:t>:</w:t>
            </w:r>
          </w:p>
          <w:p w:rsidR="007F4594" w:rsidRPr="00A509F9" w:rsidRDefault="007F4594" w:rsidP="007F4594">
            <w:pPr>
              <w:ind w:firstLine="308"/>
              <w:jc w:val="both"/>
              <w:rPr>
                <w:b/>
                <w:bCs/>
                <w:i/>
                <w:iCs/>
                <w:sz w:val="22"/>
                <w:szCs w:val="22"/>
                <w:lang w:eastAsia="uk-UA"/>
              </w:rPr>
            </w:pPr>
            <w:r w:rsidRPr="00A509F9">
              <w:rPr>
                <w:rFonts w:eastAsia="Calibri"/>
                <w:bCs/>
                <w:i/>
                <w:sz w:val="22"/>
                <w:szCs w:val="22"/>
                <w:shd w:val="clear" w:color="auto" w:fill="FFFFFF"/>
              </w:rPr>
              <w:t>Вимога</w:t>
            </w:r>
            <w:r w:rsidRPr="00A509F9">
              <w:rPr>
                <w:i/>
                <w:iCs/>
                <w:sz w:val="22"/>
                <w:szCs w:val="22"/>
                <w:lang w:eastAsia="uk-UA"/>
              </w:rPr>
              <w:t xml:space="preserve"> підпункту 29 пункту 2.2 Ліцензійних умов є частиною вимоги, викладеної у   підпункті 23 пункту 2.2 Ліцензійних умов (тобто норми щодо конфіденційності інформації повністю покриваються нормами щодо </w:t>
            </w:r>
            <w:r w:rsidRPr="00A509F9">
              <w:rPr>
                <w:b/>
                <w:bCs/>
                <w:i/>
                <w:iCs/>
                <w:sz w:val="22"/>
                <w:szCs w:val="22"/>
                <w:lang w:eastAsia="uk-UA"/>
              </w:rPr>
              <w:t>надання, захисту, розкриття та оприлюднення інформації на ринку електричної енергії у визначених НПА порядках</w:t>
            </w:r>
            <w:r w:rsidRPr="00A509F9">
              <w:rPr>
                <w:i/>
                <w:iCs/>
                <w:sz w:val="22"/>
                <w:szCs w:val="22"/>
                <w:lang w:eastAsia="uk-UA"/>
              </w:rPr>
              <w:t>).</w:t>
            </w:r>
          </w:p>
          <w:p w:rsidR="007F4594" w:rsidRPr="009D3827" w:rsidRDefault="007F4594" w:rsidP="007F4594">
            <w:pPr>
              <w:ind w:firstLine="308"/>
              <w:jc w:val="both"/>
              <w:rPr>
                <w:i/>
                <w:sz w:val="22"/>
                <w:szCs w:val="22"/>
                <w:shd w:val="clear" w:color="auto" w:fill="FFFFFF"/>
              </w:rPr>
            </w:pPr>
            <w:r w:rsidRPr="00A509F9">
              <w:rPr>
                <w:i/>
                <w:iCs/>
                <w:sz w:val="22"/>
                <w:szCs w:val="22"/>
                <w:lang w:eastAsia="uk-UA"/>
              </w:rPr>
              <w:t xml:space="preserve">Тож, для уникнення </w:t>
            </w:r>
            <w:proofErr w:type="spellStart"/>
            <w:r w:rsidRPr="00A509F9">
              <w:rPr>
                <w:i/>
                <w:iCs/>
                <w:sz w:val="22"/>
                <w:szCs w:val="22"/>
                <w:lang w:eastAsia="uk-UA"/>
              </w:rPr>
              <w:t>задвоєння</w:t>
            </w:r>
            <w:proofErr w:type="spellEnd"/>
            <w:r w:rsidRPr="00A509F9">
              <w:rPr>
                <w:i/>
                <w:iCs/>
                <w:sz w:val="22"/>
                <w:szCs w:val="22"/>
                <w:lang w:eastAsia="uk-UA"/>
              </w:rPr>
              <w:t xml:space="preserve"> інформації, що перевірятиметься,  пропонуємо пункти 3.10 та 3.11 Переліку питань об’єднати, як це передбачено у чинній редакції Переліку питань.</w:t>
            </w:r>
          </w:p>
        </w:tc>
        <w:tc>
          <w:tcPr>
            <w:tcW w:w="5066" w:type="dxa"/>
            <w:shd w:val="clear" w:color="auto" w:fill="auto"/>
          </w:tcPr>
          <w:p w:rsidR="007F4594" w:rsidRPr="00DE216B" w:rsidRDefault="007F4594" w:rsidP="007F4594">
            <w:pPr>
              <w:rPr>
                <w:b/>
                <w:sz w:val="22"/>
                <w:szCs w:val="22"/>
              </w:rPr>
            </w:pPr>
            <w:r w:rsidRPr="00DE216B">
              <w:rPr>
                <w:b/>
                <w:sz w:val="22"/>
                <w:szCs w:val="22"/>
              </w:rPr>
              <w:lastRenderedPageBreak/>
              <w:t xml:space="preserve">Враховано </w:t>
            </w:r>
          </w:p>
          <w:tbl>
            <w:tblPr>
              <w:tblW w:w="4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562"/>
              <w:gridCol w:w="1871"/>
              <w:gridCol w:w="190"/>
              <w:gridCol w:w="235"/>
              <w:gridCol w:w="284"/>
              <w:gridCol w:w="283"/>
              <w:gridCol w:w="1304"/>
            </w:tblGrid>
            <w:tr w:rsidR="007F4594" w:rsidRPr="00C72833" w:rsidTr="00AF36D5">
              <w:trPr>
                <w:trHeight w:val="20"/>
              </w:trPr>
              <w:tc>
                <w:tcPr>
                  <w:tcW w:w="562" w:type="dxa"/>
                </w:tcPr>
                <w:p w:rsidR="007F4594" w:rsidRPr="00C72833" w:rsidRDefault="007F4594" w:rsidP="007F4594">
                  <w:pPr>
                    <w:ind w:right="-82"/>
                    <w:jc w:val="center"/>
                    <w:rPr>
                      <w:lang w:eastAsia="uk-UA"/>
                    </w:rPr>
                  </w:pPr>
                  <w:r w:rsidRPr="00C72833">
                    <w:rPr>
                      <w:lang w:eastAsia="uk-UA"/>
                    </w:rPr>
                    <w:t>3.10</w:t>
                  </w:r>
                </w:p>
              </w:tc>
              <w:tc>
                <w:tcPr>
                  <w:tcW w:w="1871" w:type="dxa"/>
                </w:tcPr>
                <w:p w:rsidR="007F4594" w:rsidRPr="005A0BD2" w:rsidRDefault="007F4594" w:rsidP="007F4594">
                  <w:pPr>
                    <w:keepNext/>
                    <w:ind w:left="-83" w:right="-85"/>
                    <w:jc w:val="center"/>
                    <w:rPr>
                      <w:bCs/>
                      <w:color w:val="FF0000"/>
                      <w:lang w:eastAsia="uk-UA"/>
                    </w:rPr>
                  </w:pPr>
                  <w:r w:rsidRPr="00C72833">
                    <w:t>Ліцензіат</w:t>
                  </w:r>
                  <w:r w:rsidRPr="00C72833">
                    <w:rPr>
                      <w:lang w:eastAsia="uk-UA"/>
                    </w:rPr>
                    <w:t xml:space="preserve"> дотримується вимог щодо надання, захисту, розкриття та оприлюднення інформації на ринку електричної енергії, визначених Законом </w:t>
                  </w:r>
                  <w:r w:rsidRPr="00C72833">
                    <w:rPr>
                      <w:lang w:eastAsia="uk-UA"/>
                    </w:rPr>
                    <w:lastRenderedPageBreak/>
                    <w:t>України «Про ринок електричної енергії», правилами ринку «на добу наперед» та внутрішньодобового ринку та іншими нормативно-правовими актами, що регулюють функціонування ринку електричної енергії</w:t>
                  </w:r>
                  <w:r>
                    <w:rPr>
                      <w:bCs/>
                      <w:color w:val="FF0000"/>
                      <w:lang w:eastAsia="uk-UA"/>
                    </w:rPr>
                    <w:t xml:space="preserve">, а також </w:t>
                  </w:r>
                  <w:r w:rsidRPr="005A0BD2">
                    <w:rPr>
                      <w:bCs/>
                      <w:color w:val="FF0000"/>
                      <w:lang w:eastAsia="uk-UA"/>
                    </w:rPr>
                    <w:t>забезпечує конфіденційність інформації, отриманої від учасників ринку, що використовується ним для виконання своїх функцій на ринку електричної енергії та становить комерційну таємницю, відповідно до вимог законодавства, а також забезпечує конфіденційність інформації щодо своєї діяльності, діяльності інших учасників на ринку, розкриття або оприлюднення якої може надавати комерційні переваги учасникам ринку або вплинути на зміну ціни або поведінки учасників ринку на будь-якому сегменті ринку електричної енергії</w:t>
                  </w:r>
                </w:p>
              </w:tc>
              <w:tc>
                <w:tcPr>
                  <w:tcW w:w="190" w:type="dxa"/>
                </w:tcPr>
                <w:p w:rsidR="007F4594" w:rsidRPr="00C72833" w:rsidRDefault="007F4594" w:rsidP="007F4594">
                  <w:pPr>
                    <w:keepNext/>
                    <w:ind w:left="-28" w:right="-28"/>
                    <w:jc w:val="center"/>
                    <w:rPr>
                      <w:bCs/>
                      <w:lang w:eastAsia="uk-UA"/>
                    </w:rPr>
                  </w:pPr>
                </w:p>
              </w:tc>
              <w:tc>
                <w:tcPr>
                  <w:tcW w:w="235" w:type="dxa"/>
                </w:tcPr>
                <w:p w:rsidR="007F4594" w:rsidRPr="00C72833" w:rsidRDefault="007F4594" w:rsidP="007F4594">
                  <w:pPr>
                    <w:keepNext/>
                    <w:ind w:left="-28" w:right="-28"/>
                    <w:jc w:val="center"/>
                    <w:rPr>
                      <w:bCs/>
                      <w:lang w:eastAsia="uk-UA"/>
                    </w:rPr>
                  </w:pPr>
                </w:p>
              </w:tc>
              <w:tc>
                <w:tcPr>
                  <w:tcW w:w="284" w:type="dxa"/>
                </w:tcPr>
                <w:p w:rsidR="007F4594" w:rsidRPr="00C72833" w:rsidRDefault="007F4594" w:rsidP="007F4594">
                  <w:pPr>
                    <w:keepNext/>
                    <w:ind w:left="-28" w:right="-28"/>
                    <w:jc w:val="center"/>
                    <w:rPr>
                      <w:bCs/>
                      <w:lang w:eastAsia="uk-UA"/>
                    </w:rPr>
                  </w:pPr>
                </w:p>
              </w:tc>
              <w:tc>
                <w:tcPr>
                  <w:tcW w:w="283" w:type="dxa"/>
                </w:tcPr>
                <w:p w:rsidR="007F4594" w:rsidRPr="00C72833" w:rsidRDefault="007F4594" w:rsidP="007F4594">
                  <w:pPr>
                    <w:keepNext/>
                    <w:ind w:left="-28" w:right="-28"/>
                    <w:jc w:val="center"/>
                    <w:rPr>
                      <w:bCs/>
                      <w:lang w:eastAsia="uk-UA"/>
                    </w:rPr>
                  </w:pPr>
                </w:p>
              </w:tc>
              <w:tc>
                <w:tcPr>
                  <w:tcW w:w="1304" w:type="dxa"/>
                </w:tcPr>
                <w:p w:rsidR="007F4594" w:rsidRPr="00C72833" w:rsidRDefault="007F4594" w:rsidP="007F4594">
                  <w:pPr>
                    <w:ind w:left="-90" w:right="-89"/>
                    <w:jc w:val="center"/>
                    <w:rPr>
                      <w:b/>
                      <w:lang w:eastAsia="uk-UA"/>
                    </w:rPr>
                  </w:pPr>
                  <w:r w:rsidRPr="00C72833">
                    <w:rPr>
                      <w:bCs/>
                      <w:lang w:eastAsia="uk-UA"/>
                    </w:rPr>
                    <w:t>підпункт 23</w:t>
                  </w:r>
                  <w:r w:rsidRPr="00C72833">
                    <w:rPr>
                      <w:b/>
                      <w:lang w:eastAsia="uk-UA"/>
                    </w:rPr>
                    <w:t xml:space="preserve">, </w:t>
                  </w:r>
                  <w:r w:rsidRPr="005A0BD2">
                    <w:rPr>
                      <w:b/>
                      <w:color w:val="FF0000"/>
                      <w:lang w:eastAsia="uk-UA"/>
                    </w:rPr>
                    <w:t>29</w:t>
                  </w:r>
                </w:p>
                <w:p w:rsidR="007F4594" w:rsidRPr="00C72833" w:rsidRDefault="007F4594" w:rsidP="007F4594">
                  <w:pPr>
                    <w:keepNext/>
                    <w:ind w:left="-28" w:right="-28"/>
                    <w:jc w:val="center"/>
                    <w:rPr>
                      <w:bCs/>
                      <w:lang w:eastAsia="uk-UA"/>
                    </w:rPr>
                  </w:pPr>
                  <w:r w:rsidRPr="00C72833">
                    <w:rPr>
                      <w:bCs/>
                      <w:lang w:eastAsia="uk-UA"/>
                    </w:rPr>
                    <w:t>пункту 2.2 ЛУ № 1466</w:t>
                  </w:r>
                </w:p>
              </w:tc>
            </w:tr>
          </w:tbl>
          <w:p w:rsidR="007F4594" w:rsidRPr="0021631B" w:rsidRDefault="007F4594" w:rsidP="007F4594">
            <w:pPr>
              <w:rPr>
                <w:color w:val="FF0000"/>
                <w:sz w:val="22"/>
                <w:szCs w:val="22"/>
              </w:rPr>
            </w:pPr>
          </w:p>
        </w:tc>
      </w:tr>
      <w:tr w:rsidR="007F4594" w:rsidRPr="009D3827" w:rsidTr="00276080">
        <w:trPr>
          <w:trHeight w:val="595"/>
        </w:trPr>
        <w:tc>
          <w:tcPr>
            <w:tcW w:w="5065" w:type="dxa"/>
            <w:shd w:val="clear" w:color="auto" w:fill="auto"/>
          </w:tcPr>
          <w:p w:rsidR="007F4594" w:rsidRDefault="007F4594" w:rsidP="007F4594">
            <w:pPr>
              <w:ind w:firstLine="308"/>
              <w:jc w:val="both"/>
              <w:rPr>
                <w:sz w:val="22"/>
                <w:szCs w:val="22"/>
                <w:shd w:val="clear" w:color="auto" w:fill="FFFFFF"/>
              </w:rPr>
            </w:pPr>
          </w:p>
          <w:tbl>
            <w:tblPr>
              <w:tblW w:w="6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561"/>
              <w:gridCol w:w="1984"/>
              <w:gridCol w:w="1984"/>
              <w:gridCol w:w="624"/>
              <w:gridCol w:w="227"/>
              <w:gridCol w:w="227"/>
              <w:gridCol w:w="227"/>
              <w:gridCol w:w="1020"/>
            </w:tblGrid>
            <w:tr w:rsidR="007F4594" w:rsidRPr="006F331A" w:rsidTr="00682EAB">
              <w:trPr>
                <w:trHeight w:val="20"/>
              </w:trPr>
              <w:tc>
                <w:tcPr>
                  <w:tcW w:w="561" w:type="dxa"/>
                </w:tcPr>
                <w:p w:rsidR="007F4594" w:rsidRPr="006F331A" w:rsidRDefault="007F4594" w:rsidP="007F4594">
                  <w:pPr>
                    <w:ind w:right="-82"/>
                    <w:jc w:val="center"/>
                    <w:rPr>
                      <w:lang w:eastAsia="uk-UA"/>
                    </w:rPr>
                  </w:pPr>
                  <w:r w:rsidRPr="006F331A">
                    <w:rPr>
                      <w:lang w:eastAsia="uk-UA"/>
                    </w:rPr>
                    <w:t>3.11</w:t>
                  </w:r>
                </w:p>
              </w:tc>
              <w:tc>
                <w:tcPr>
                  <w:tcW w:w="1984" w:type="dxa"/>
                </w:tcPr>
                <w:p w:rsidR="007F4594" w:rsidRPr="006F331A" w:rsidRDefault="007F4594" w:rsidP="007F4594">
                  <w:pPr>
                    <w:keepNext/>
                    <w:ind w:left="-83" w:right="-85"/>
                    <w:jc w:val="center"/>
                    <w:rPr>
                      <w:bCs/>
                      <w:lang w:eastAsia="uk-UA"/>
                    </w:rPr>
                  </w:pPr>
                </w:p>
              </w:tc>
              <w:tc>
                <w:tcPr>
                  <w:tcW w:w="1984" w:type="dxa"/>
                </w:tcPr>
                <w:p w:rsidR="007F4594" w:rsidRPr="006F331A" w:rsidRDefault="007F4594" w:rsidP="007F4594">
                  <w:pPr>
                    <w:keepNext/>
                    <w:ind w:left="-83" w:right="-85"/>
                    <w:jc w:val="center"/>
                    <w:rPr>
                      <w:bCs/>
                      <w:lang w:eastAsia="uk-UA"/>
                    </w:rPr>
                  </w:pPr>
                  <w:r w:rsidRPr="006F331A">
                    <w:rPr>
                      <w:bCs/>
                      <w:lang w:eastAsia="uk-UA"/>
                    </w:rPr>
                    <w:t>Ліцензіат забезпечує конфіденційність інформації, отриманої від учасників ринку, що використовується ним для виконання своїх функцій на ринку електричної енергії та становить комерційну таємницю, відповідно до вимог законодавства, а також забезпечує конфіденційність інформації щодо своєї діяльності, діяльності інших учасників на ринку, розкриття або оприлюднення якої може надавати комерційні переваги учасникам ринку або вплинути на зміну ціни або поведінки учасників ринку на будь-якому сегменті ринку електричної енергії</w:t>
                  </w:r>
                </w:p>
              </w:tc>
              <w:tc>
                <w:tcPr>
                  <w:tcW w:w="624" w:type="dxa"/>
                </w:tcPr>
                <w:p w:rsidR="007F4594" w:rsidRPr="006F331A" w:rsidRDefault="007F4594" w:rsidP="007F4594">
                  <w:pPr>
                    <w:ind w:right="-28"/>
                    <w:jc w:val="center"/>
                    <w:rPr>
                      <w:bCs/>
                      <w:lang w:eastAsia="uk-UA"/>
                    </w:rPr>
                  </w:pPr>
                </w:p>
              </w:tc>
              <w:tc>
                <w:tcPr>
                  <w:tcW w:w="227" w:type="dxa"/>
                </w:tcPr>
                <w:p w:rsidR="007F4594" w:rsidRPr="006F331A" w:rsidRDefault="007F4594" w:rsidP="007F4594">
                  <w:pPr>
                    <w:ind w:right="-28"/>
                    <w:jc w:val="center"/>
                    <w:rPr>
                      <w:bCs/>
                      <w:lang w:eastAsia="uk-UA"/>
                    </w:rPr>
                  </w:pPr>
                </w:p>
              </w:tc>
              <w:tc>
                <w:tcPr>
                  <w:tcW w:w="227" w:type="dxa"/>
                </w:tcPr>
                <w:p w:rsidR="007F4594" w:rsidRPr="006F331A" w:rsidRDefault="007F4594" w:rsidP="007F4594">
                  <w:pPr>
                    <w:ind w:right="-28"/>
                    <w:jc w:val="center"/>
                    <w:rPr>
                      <w:bCs/>
                      <w:lang w:eastAsia="uk-UA"/>
                    </w:rPr>
                  </w:pPr>
                </w:p>
              </w:tc>
              <w:tc>
                <w:tcPr>
                  <w:tcW w:w="227" w:type="dxa"/>
                </w:tcPr>
                <w:p w:rsidR="007F4594" w:rsidRPr="006F331A" w:rsidRDefault="007F4594" w:rsidP="007F4594">
                  <w:pPr>
                    <w:ind w:right="-28"/>
                    <w:jc w:val="center"/>
                    <w:rPr>
                      <w:bCs/>
                      <w:lang w:eastAsia="uk-UA"/>
                    </w:rPr>
                  </w:pPr>
                </w:p>
              </w:tc>
              <w:tc>
                <w:tcPr>
                  <w:tcW w:w="1020" w:type="dxa"/>
                </w:tcPr>
                <w:p w:rsidR="007F4594" w:rsidRPr="006F331A" w:rsidRDefault="007F4594" w:rsidP="007F4594">
                  <w:pPr>
                    <w:ind w:right="-28"/>
                    <w:jc w:val="center"/>
                  </w:pPr>
                  <w:r w:rsidRPr="006F331A">
                    <w:rPr>
                      <w:bCs/>
                      <w:lang w:eastAsia="uk-UA"/>
                    </w:rPr>
                    <w:t>підпункт 29 пункту 2.2 ЛУ № 1466</w:t>
                  </w:r>
                </w:p>
              </w:tc>
            </w:tr>
          </w:tbl>
          <w:p w:rsidR="007F4594" w:rsidRDefault="007F4594" w:rsidP="007F4594">
            <w:pPr>
              <w:ind w:firstLine="308"/>
              <w:jc w:val="both"/>
              <w:rPr>
                <w:sz w:val="22"/>
                <w:szCs w:val="22"/>
                <w:shd w:val="clear" w:color="auto" w:fill="FFFFFF"/>
              </w:rPr>
            </w:pPr>
          </w:p>
          <w:p w:rsidR="007F4594" w:rsidRPr="009D3827" w:rsidRDefault="007F4594" w:rsidP="007F4594">
            <w:pPr>
              <w:ind w:firstLine="308"/>
              <w:jc w:val="both"/>
              <w:rPr>
                <w:sz w:val="22"/>
                <w:szCs w:val="22"/>
                <w:shd w:val="clear" w:color="auto" w:fill="FFFFFF"/>
              </w:rPr>
            </w:pPr>
          </w:p>
        </w:tc>
        <w:tc>
          <w:tcPr>
            <w:tcW w:w="5066" w:type="dxa"/>
            <w:shd w:val="clear" w:color="auto" w:fill="auto"/>
          </w:tcPr>
          <w:p w:rsidR="007F4594" w:rsidRPr="00A46A8B" w:rsidRDefault="007F4594" w:rsidP="007F4594">
            <w:pPr>
              <w:ind w:firstLine="308"/>
              <w:jc w:val="both"/>
              <w:rPr>
                <w:i/>
                <w:sz w:val="22"/>
                <w:szCs w:val="22"/>
                <w:shd w:val="clear" w:color="auto" w:fill="FFFFFF"/>
              </w:rPr>
            </w:pPr>
            <w:r w:rsidRPr="00A46A8B">
              <w:rPr>
                <w:i/>
                <w:sz w:val="22"/>
                <w:szCs w:val="22"/>
                <w:shd w:val="clear" w:color="auto" w:fill="FFFFFF"/>
              </w:rPr>
              <w:t>АТ «ОПЕРАТОР РИНКУ»</w:t>
            </w:r>
          </w:p>
          <w:p w:rsidR="007F4594" w:rsidRPr="00A46A8B" w:rsidRDefault="007F4594" w:rsidP="007F4594">
            <w:pPr>
              <w:ind w:firstLine="308"/>
              <w:jc w:val="both"/>
              <w:rPr>
                <w:i/>
                <w:sz w:val="22"/>
                <w:szCs w:val="22"/>
                <w:shd w:val="clear" w:color="auto" w:fill="FFFFFF"/>
              </w:rPr>
            </w:pPr>
            <w:r w:rsidRPr="00A46A8B">
              <w:rPr>
                <w:b/>
                <w:bCs/>
                <w:sz w:val="22"/>
                <w:szCs w:val="22"/>
                <w:lang w:eastAsia="uk-UA"/>
              </w:rPr>
              <w:t>Виключити.</w:t>
            </w:r>
          </w:p>
          <w:p w:rsidR="007F4594" w:rsidRPr="00A46A8B" w:rsidRDefault="007F4594" w:rsidP="007F4594">
            <w:pPr>
              <w:ind w:firstLine="308"/>
              <w:jc w:val="both"/>
              <w:rPr>
                <w:i/>
                <w:sz w:val="22"/>
                <w:szCs w:val="22"/>
                <w:shd w:val="clear" w:color="auto" w:fill="FFFFFF"/>
              </w:rPr>
            </w:pPr>
          </w:p>
          <w:p w:rsidR="007F4594" w:rsidRPr="00A46A8B" w:rsidRDefault="007F4594" w:rsidP="007F4594">
            <w:pPr>
              <w:ind w:firstLine="308"/>
              <w:jc w:val="both"/>
              <w:rPr>
                <w:i/>
                <w:sz w:val="22"/>
                <w:szCs w:val="22"/>
                <w:shd w:val="clear" w:color="auto" w:fill="FFFFFF"/>
              </w:rPr>
            </w:pPr>
            <w:r>
              <w:rPr>
                <w:i/>
                <w:sz w:val="22"/>
                <w:szCs w:val="22"/>
                <w:shd w:val="clear" w:color="auto" w:fill="FFFFFF"/>
              </w:rPr>
              <w:t>ОБҐРУНТУВАННЯ</w:t>
            </w:r>
            <w:r w:rsidRPr="00A46A8B">
              <w:rPr>
                <w:i/>
                <w:sz w:val="22"/>
                <w:szCs w:val="22"/>
                <w:shd w:val="clear" w:color="auto" w:fill="FFFFFF"/>
              </w:rPr>
              <w:t>:</w:t>
            </w:r>
          </w:p>
          <w:p w:rsidR="007F4594" w:rsidRPr="00A46A8B" w:rsidRDefault="007F4594" w:rsidP="007F4594">
            <w:pPr>
              <w:ind w:firstLine="308"/>
              <w:jc w:val="both"/>
              <w:rPr>
                <w:b/>
                <w:bCs/>
                <w:i/>
                <w:iCs/>
                <w:sz w:val="22"/>
                <w:szCs w:val="22"/>
                <w:lang w:eastAsia="uk-UA"/>
              </w:rPr>
            </w:pPr>
            <w:r w:rsidRPr="00A46A8B">
              <w:rPr>
                <w:rFonts w:eastAsia="Calibri"/>
                <w:bCs/>
                <w:i/>
                <w:sz w:val="22"/>
                <w:szCs w:val="22"/>
                <w:shd w:val="clear" w:color="auto" w:fill="FFFFFF"/>
              </w:rPr>
              <w:t>Вимога</w:t>
            </w:r>
            <w:r w:rsidRPr="00A46A8B">
              <w:rPr>
                <w:i/>
                <w:iCs/>
                <w:sz w:val="22"/>
                <w:szCs w:val="22"/>
                <w:lang w:eastAsia="uk-UA"/>
              </w:rPr>
              <w:t xml:space="preserve"> підпункту 29 пункту 2.2 Ліцензійних умов є частиною вимоги, викладеної у   підпункті 23 пункту 2.2 Ліцензійних умов (тобто норми щодо конфіденційності інформації повністю покриваються нормами щодо </w:t>
            </w:r>
            <w:r w:rsidRPr="00A46A8B">
              <w:rPr>
                <w:b/>
                <w:bCs/>
                <w:i/>
                <w:iCs/>
                <w:sz w:val="22"/>
                <w:szCs w:val="22"/>
                <w:lang w:eastAsia="uk-UA"/>
              </w:rPr>
              <w:t>надання, захисту, розкриття та оприлюднення інформації на ринку електричної енергії у визначених НПА порядках</w:t>
            </w:r>
            <w:r w:rsidRPr="00A46A8B">
              <w:rPr>
                <w:i/>
                <w:iCs/>
                <w:sz w:val="22"/>
                <w:szCs w:val="22"/>
                <w:lang w:eastAsia="uk-UA"/>
              </w:rPr>
              <w:t>).</w:t>
            </w:r>
          </w:p>
          <w:p w:rsidR="007F4594" w:rsidRPr="00A46A8B" w:rsidRDefault="007F4594" w:rsidP="007F4594">
            <w:pPr>
              <w:ind w:firstLine="308"/>
              <w:jc w:val="both"/>
              <w:rPr>
                <w:i/>
                <w:sz w:val="22"/>
                <w:szCs w:val="22"/>
                <w:shd w:val="clear" w:color="auto" w:fill="FFFFFF"/>
              </w:rPr>
            </w:pPr>
            <w:r w:rsidRPr="00A46A8B">
              <w:rPr>
                <w:i/>
                <w:iCs/>
                <w:sz w:val="22"/>
                <w:szCs w:val="22"/>
                <w:lang w:eastAsia="uk-UA"/>
              </w:rPr>
              <w:t xml:space="preserve">Тож, для уникнення </w:t>
            </w:r>
            <w:proofErr w:type="spellStart"/>
            <w:r w:rsidRPr="00A46A8B">
              <w:rPr>
                <w:i/>
                <w:iCs/>
                <w:sz w:val="22"/>
                <w:szCs w:val="22"/>
                <w:lang w:eastAsia="uk-UA"/>
              </w:rPr>
              <w:t>задвоєння</w:t>
            </w:r>
            <w:proofErr w:type="spellEnd"/>
            <w:r w:rsidRPr="00A46A8B">
              <w:rPr>
                <w:i/>
                <w:iCs/>
                <w:sz w:val="22"/>
                <w:szCs w:val="22"/>
                <w:lang w:eastAsia="uk-UA"/>
              </w:rPr>
              <w:t xml:space="preserve"> інформації, що перевірятиметься,  пропонуємо пункти 3.10 та 3.11 Переліку питань об’єднати, як це передбачено у чинній редакції Переліку питань.</w:t>
            </w:r>
          </w:p>
        </w:tc>
        <w:tc>
          <w:tcPr>
            <w:tcW w:w="5066" w:type="dxa"/>
            <w:shd w:val="clear" w:color="auto" w:fill="auto"/>
            <w:vAlign w:val="center"/>
          </w:tcPr>
          <w:p w:rsidR="007F4594" w:rsidRPr="00DE216B" w:rsidRDefault="007F4594" w:rsidP="007F4594">
            <w:pPr>
              <w:rPr>
                <w:b/>
                <w:sz w:val="22"/>
                <w:szCs w:val="22"/>
              </w:rPr>
            </w:pPr>
            <w:r w:rsidRPr="00DE216B">
              <w:rPr>
                <w:b/>
                <w:sz w:val="22"/>
                <w:szCs w:val="22"/>
              </w:rPr>
              <w:t>Враховано</w:t>
            </w:r>
          </w:p>
        </w:tc>
      </w:tr>
      <w:tr w:rsidR="007F4594" w:rsidRPr="009D3827" w:rsidTr="00276080">
        <w:trPr>
          <w:trHeight w:val="595"/>
        </w:trPr>
        <w:tc>
          <w:tcPr>
            <w:tcW w:w="5065" w:type="dxa"/>
            <w:shd w:val="clear" w:color="auto" w:fill="auto"/>
          </w:tcPr>
          <w:p w:rsidR="007F4594" w:rsidRDefault="007F4594" w:rsidP="007F4594">
            <w:pPr>
              <w:ind w:firstLine="308"/>
              <w:jc w:val="both"/>
              <w:rPr>
                <w:sz w:val="22"/>
                <w:szCs w:val="22"/>
                <w:shd w:val="clear" w:color="auto" w:fill="FFFFFF"/>
              </w:rPr>
            </w:pPr>
          </w:p>
          <w:p w:rsidR="007F4594" w:rsidRDefault="007F4594" w:rsidP="007F4594">
            <w:pPr>
              <w:ind w:firstLine="308"/>
              <w:jc w:val="both"/>
              <w:rPr>
                <w:sz w:val="22"/>
                <w:szCs w:val="22"/>
                <w:shd w:val="clear" w:color="auto" w:fill="FFFFFF"/>
              </w:rPr>
            </w:pPr>
          </w:p>
          <w:tbl>
            <w:tblPr>
              <w:tblW w:w="48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561"/>
              <w:gridCol w:w="1928"/>
              <w:gridCol w:w="624"/>
              <w:gridCol w:w="227"/>
              <w:gridCol w:w="227"/>
              <w:gridCol w:w="227"/>
              <w:gridCol w:w="1020"/>
            </w:tblGrid>
            <w:tr w:rsidR="007F4594" w:rsidRPr="006F331A" w:rsidTr="0047478D">
              <w:trPr>
                <w:trHeight w:val="20"/>
              </w:trPr>
              <w:tc>
                <w:tcPr>
                  <w:tcW w:w="561" w:type="dxa"/>
                </w:tcPr>
                <w:p w:rsidR="007F4594" w:rsidRPr="006F331A" w:rsidRDefault="007F4594" w:rsidP="007F4594">
                  <w:pPr>
                    <w:ind w:right="-82"/>
                    <w:jc w:val="center"/>
                    <w:rPr>
                      <w:lang w:eastAsia="uk-UA"/>
                    </w:rPr>
                  </w:pPr>
                  <w:r w:rsidRPr="006F331A">
                    <w:rPr>
                      <w:lang w:eastAsia="uk-UA"/>
                    </w:rPr>
                    <w:t>3.14</w:t>
                  </w:r>
                </w:p>
              </w:tc>
              <w:tc>
                <w:tcPr>
                  <w:tcW w:w="1928" w:type="dxa"/>
                </w:tcPr>
                <w:p w:rsidR="007F4594" w:rsidRPr="006F331A" w:rsidRDefault="007F4594" w:rsidP="007F4594">
                  <w:pPr>
                    <w:keepNext/>
                    <w:ind w:left="-83" w:right="-85"/>
                    <w:jc w:val="center"/>
                    <w:rPr>
                      <w:bCs/>
                      <w:lang w:eastAsia="uk-UA"/>
                    </w:rPr>
                  </w:pPr>
                  <w:r w:rsidRPr="006F331A">
                    <w:rPr>
                      <w:spacing w:val="-4"/>
                    </w:rPr>
                    <w:t>Ліцензіат</w:t>
                  </w:r>
                  <w:r w:rsidRPr="006F331A">
                    <w:t xml:space="preserve"> здійснює спостереження за операціями учасників ринку </w:t>
                  </w:r>
                  <w:r>
                    <w:t>«</w:t>
                  </w:r>
                  <w:r w:rsidRPr="006F331A">
                    <w:t>на добу наперед</w:t>
                  </w:r>
                  <w:r>
                    <w:t>»</w:t>
                  </w:r>
                  <w:r w:rsidRPr="006F331A">
                    <w:t xml:space="preserve"> та внутрішньодобовому ринку відповідно до правил ринку </w:t>
                  </w:r>
                  <w:r>
                    <w:t>«</w:t>
                  </w:r>
                  <w:r w:rsidRPr="006F331A">
                    <w:t>на добу наперед</w:t>
                  </w:r>
                  <w:r>
                    <w:t>»</w:t>
                  </w:r>
                  <w:r w:rsidRPr="006F331A">
                    <w:t xml:space="preserve"> та </w:t>
                  </w:r>
                  <w:r w:rsidRPr="006F331A">
                    <w:lastRenderedPageBreak/>
                    <w:t>внутрішньодобового ринку</w:t>
                  </w:r>
                  <w:r w:rsidRPr="006F331A">
                    <w:rPr>
                      <w:bCs/>
                      <w:lang w:eastAsia="uk-UA"/>
                    </w:rPr>
                    <w:t xml:space="preserve">, повідомляє НКРЕКП про операції (у тому числі подані заявки/пропозиції) на ринку </w:t>
                  </w:r>
                  <w:r>
                    <w:rPr>
                      <w:bCs/>
                      <w:lang w:eastAsia="uk-UA"/>
                    </w:rPr>
                    <w:t>«</w:t>
                  </w:r>
                  <w:r w:rsidRPr="006F331A">
                    <w:rPr>
                      <w:bCs/>
                      <w:lang w:eastAsia="uk-UA"/>
                    </w:rPr>
                    <w:t>на добу наперед</w:t>
                  </w:r>
                  <w:r>
                    <w:rPr>
                      <w:bCs/>
                      <w:lang w:eastAsia="uk-UA"/>
                    </w:rPr>
                    <w:t>»</w:t>
                  </w:r>
                  <w:r w:rsidRPr="006F331A">
                    <w:rPr>
                      <w:bCs/>
                      <w:lang w:eastAsia="uk-UA"/>
                    </w:rPr>
                    <w:t xml:space="preserve"> та внутрішньодобовому ринку, які за результатами спостереження оператор ринку обґрунтовано вважає такими, що мають ознаки маніпуляцій на ринку </w:t>
                  </w:r>
                  <w:r>
                    <w:rPr>
                      <w:bCs/>
                      <w:lang w:eastAsia="uk-UA"/>
                    </w:rPr>
                    <w:t>«</w:t>
                  </w:r>
                  <w:r w:rsidRPr="006F331A">
                    <w:rPr>
                      <w:bCs/>
                      <w:lang w:eastAsia="uk-UA"/>
                    </w:rPr>
                    <w:t>на добу наперед</w:t>
                  </w:r>
                  <w:r>
                    <w:rPr>
                      <w:bCs/>
                      <w:lang w:eastAsia="uk-UA"/>
                    </w:rPr>
                    <w:t>»</w:t>
                  </w:r>
                  <w:r w:rsidRPr="006F331A">
                    <w:rPr>
                      <w:bCs/>
                      <w:lang w:eastAsia="uk-UA"/>
                    </w:rPr>
                    <w:t xml:space="preserve"> та внутрішньодобовому ринку, та/або ознаки порушення норм законодавства щодо поводження з </w:t>
                  </w:r>
                  <w:proofErr w:type="spellStart"/>
                  <w:r w:rsidRPr="006F331A">
                    <w:rPr>
                      <w:bCs/>
                      <w:lang w:eastAsia="uk-UA"/>
                    </w:rPr>
                    <w:t>інсайдерською</w:t>
                  </w:r>
                  <w:proofErr w:type="spellEnd"/>
                  <w:r w:rsidRPr="006F331A">
                    <w:rPr>
                      <w:bCs/>
                      <w:lang w:eastAsia="uk-UA"/>
                    </w:rPr>
                    <w:t xml:space="preserve"> інформацією з наданням відповідного обґрунтування, а також готує звіти щодо спостереження за операціями на ринку </w:t>
                  </w:r>
                  <w:r>
                    <w:rPr>
                      <w:bCs/>
                      <w:lang w:eastAsia="uk-UA"/>
                    </w:rPr>
                    <w:t>«</w:t>
                  </w:r>
                  <w:r w:rsidRPr="006F331A">
                    <w:rPr>
                      <w:bCs/>
                      <w:lang w:eastAsia="uk-UA"/>
                    </w:rPr>
                    <w:t>на добу наперед</w:t>
                  </w:r>
                  <w:r>
                    <w:rPr>
                      <w:bCs/>
                      <w:lang w:eastAsia="uk-UA"/>
                    </w:rPr>
                    <w:t>»</w:t>
                  </w:r>
                  <w:r w:rsidRPr="006F331A">
                    <w:rPr>
                      <w:bCs/>
                      <w:lang w:eastAsia="uk-UA"/>
                    </w:rPr>
                    <w:t xml:space="preserve"> та внутрішньодобовому ринку електричної енергії з відображенням агрегованих</w:t>
                  </w:r>
                  <w:r>
                    <w:rPr>
                      <w:bCs/>
                      <w:lang w:eastAsia="uk-UA"/>
                    </w:rPr>
                    <w:t>,</w:t>
                  </w:r>
                  <w:r w:rsidRPr="006F331A">
                    <w:rPr>
                      <w:bCs/>
                      <w:lang w:eastAsia="uk-UA"/>
                    </w:rPr>
                    <w:t xml:space="preserve"> та/або знеособлених даних відповідно до Правил РДН/ВДР та оприлюднює їх на власному вебсайті</w:t>
                  </w:r>
                </w:p>
              </w:tc>
              <w:tc>
                <w:tcPr>
                  <w:tcW w:w="624" w:type="dxa"/>
                </w:tcPr>
                <w:p w:rsidR="007F4594" w:rsidRPr="006F331A" w:rsidRDefault="007F4594" w:rsidP="007F4594">
                  <w:pPr>
                    <w:ind w:right="-28"/>
                    <w:jc w:val="center"/>
                    <w:rPr>
                      <w:bCs/>
                      <w:lang w:eastAsia="uk-UA"/>
                    </w:rPr>
                  </w:pPr>
                </w:p>
              </w:tc>
              <w:tc>
                <w:tcPr>
                  <w:tcW w:w="227" w:type="dxa"/>
                </w:tcPr>
                <w:p w:rsidR="007F4594" w:rsidRPr="006F331A" w:rsidRDefault="007F4594" w:rsidP="007F4594">
                  <w:pPr>
                    <w:ind w:right="-28"/>
                    <w:jc w:val="center"/>
                    <w:rPr>
                      <w:bCs/>
                      <w:lang w:eastAsia="uk-UA"/>
                    </w:rPr>
                  </w:pPr>
                </w:p>
              </w:tc>
              <w:tc>
                <w:tcPr>
                  <w:tcW w:w="227" w:type="dxa"/>
                </w:tcPr>
                <w:p w:rsidR="007F4594" w:rsidRPr="006F331A" w:rsidRDefault="007F4594" w:rsidP="007F4594">
                  <w:pPr>
                    <w:ind w:right="-28"/>
                    <w:jc w:val="center"/>
                    <w:rPr>
                      <w:bCs/>
                      <w:lang w:eastAsia="uk-UA"/>
                    </w:rPr>
                  </w:pPr>
                </w:p>
              </w:tc>
              <w:tc>
                <w:tcPr>
                  <w:tcW w:w="227" w:type="dxa"/>
                </w:tcPr>
                <w:p w:rsidR="007F4594" w:rsidRPr="006F331A" w:rsidRDefault="007F4594" w:rsidP="007F4594">
                  <w:pPr>
                    <w:ind w:right="-28"/>
                    <w:jc w:val="center"/>
                    <w:rPr>
                      <w:bCs/>
                      <w:lang w:eastAsia="uk-UA"/>
                    </w:rPr>
                  </w:pPr>
                </w:p>
              </w:tc>
              <w:tc>
                <w:tcPr>
                  <w:tcW w:w="1020" w:type="dxa"/>
                </w:tcPr>
                <w:p w:rsidR="007F4594" w:rsidRPr="006F331A" w:rsidRDefault="007F4594" w:rsidP="007F4594">
                  <w:pPr>
                    <w:ind w:right="-28"/>
                    <w:jc w:val="center"/>
                    <w:rPr>
                      <w:spacing w:val="-2"/>
                    </w:rPr>
                  </w:pPr>
                  <w:r w:rsidRPr="006F331A">
                    <w:rPr>
                      <w:bCs/>
                      <w:lang w:eastAsia="uk-UA"/>
                    </w:rPr>
                    <w:t>підпункти 34, 35, 36 пункту 2.2 ЛУ № 1466</w:t>
                  </w:r>
                </w:p>
              </w:tc>
            </w:tr>
          </w:tbl>
          <w:p w:rsidR="007F4594" w:rsidRDefault="007F4594" w:rsidP="007F4594">
            <w:pPr>
              <w:ind w:firstLine="308"/>
              <w:jc w:val="both"/>
              <w:rPr>
                <w:sz w:val="22"/>
                <w:szCs w:val="22"/>
                <w:shd w:val="clear" w:color="auto" w:fill="FFFFFF"/>
              </w:rPr>
            </w:pPr>
          </w:p>
          <w:p w:rsidR="007F4594" w:rsidRPr="009D3827" w:rsidRDefault="007F4594" w:rsidP="007F4594">
            <w:pPr>
              <w:ind w:firstLine="308"/>
              <w:jc w:val="both"/>
              <w:rPr>
                <w:sz w:val="22"/>
                <w:szCs w:val="22"/>
                <w:shd w:val="clear" w:color="auto" w:fill="FFFFFF"/>
              </w:rPr>
            </w:pPr>
          </w:p>
        </w:tc>
        <w:tc>
          <w:tcPr>
            <w:tcW w:w="5066" w:type="dxa"/>
            <w:shd w:val="clear" w:color="auto" w:fill="auto"/>
          </w:tcPr>
          <w:p w:rsidR="007F4594" w:rsidRPr="00A46A8B" w:rsidRDefault="007F4594" w:rsidP="007F4594">
            <w:pPr>
              <w:ind w:firstLine="308"/>
              <w:jc w:val="both"/>
              <w:rPr>
                <w:i/>
                <w:sz w:val="22"/>
                <w:szCs w:val="22"/>
                <w:shd w:val="clear" w:color="auto" w:fill="FFFFFF"/>
              </w:rPr>
            </w:pPr>
            <w:r w:rsidRPr="00A46A8B">
              <w:rPr>
                <w:i/>
                <w:sz w:val="22"/>
                <w:szCs w:val="22"/>
                <w:shd w:val="clear" w:color="auto" w:fill="FFFFFF"/>
              </w:rPr>
              <w:lastRenderedPageBreak/>
              <w:t>АТ «ОПЕРАТОР РИНКУ»</w:t>
            </w:r>
          </w:p>
          <w:p w:rsidR="007F4594" w:rsidRPr="00A46A8B" w:rsidRDefault="007F4594" w:rsidP="007F4594">
            <w:pPr>
              <w:ind w:firstLine="308"/>
              <w:jc w:val="both"/>
              <w:rPr>
                <w:i/>
                <w:sz w:val="22"/>
                <w:szCs w:val="22"/>
                <w:shd w:val="clear" w:color="auto" w:fill="FFFFFF"/>
              </w:rPr>
            </w:pPr>
          </w:p>
          <w:tbl>
            <w:tblPr>
              <w:tblW w:w="48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556"/>
              <w:gridCol w:w="2391"/>
              <w:gridCol w:w="207"/>
              <w:gridCol w:w="196"/>
              <w:gridCol w:w="208"/>
              <w:gridCol w:w="209"/>
              <w:gridCol w:w="1077"/>
            </w:tblGrid>
            <w:tr w:rsidR="007F4594" w:rsidRPr="00C72833" w:rsidTr="0047478D">
              <w:trPr>
                <w:trHeight w:val="20"/>
              </w:trPr>
              <w:tc>
                <w:tcPr>
                  <w:tcW w:w="556" w:type="dxa"/>
                </w:tcPr>
                <w:p w:rsidR="007F4594" w:rsidRPr="00C72833" w:rsidRDefault="007F4594" w:rsidP="007F4594">
                  <w:pPr>
                    <w:ind w:right="-82"/>
                    <w:jc w:val="center"/>
                    <w:rPr>
                      <w:lang w:eastAsia="uk-UA"/>
                    </w:rPr>
                  </w:pPr>
                  <w:r w:rsidRPr="00C72833">
                    <w:rPr>
                      <w:lang w:eastAsia="uk-UA"/>
                    </w:rPr>
                    <w:t>3.14</w:t>
                  </w:r>
                </w:p>
              </w:tc>
              <w:tc>
                <w:tcPr>
                  <w:tcW w:w="2391" w:type="dxa"/>
                </w:tcPr>
                <w:p w:rsidR="007F4594" w:rsidRPr="00C72833" w:rsidRDefault="007F4594" w:rsidP="007F4594">
                  <w:pPr>
                    <w:keepNext/>
                    <w:ind w:left="-83" w:right="-85"/>
                    <w:jc w:val="center"/>
                    <w:rPr>
                      <w:bCs/>
                      <w:lang w:eastAsia="uk-UA"/>
                    </w:rPr>
                  </w:pPr>
                  <w:r w:rsidRPr="00C72833">
                    <w:rPr>
                      <w:spacing w:val="-4"/>
                    </w:rPr>
                    <w:t>Ліцензіат</w:t>
                  </w:r>
                  <w:r w:rsidRPr="00C72833">
                    <w:t xml:space="preserve"> здійснює спостереження за операціями учасників ринку «на добу наперед» та внутрішньодобовому ринку відповідно до правил ринку «на добу наперед» та внутрішньодобового ринку </w:t>
                  </w:r>
                  <w:r w:rsidRPr="00C72833">
                    <w:rPr>
                      <w:b/>
                      <w:bCs/>
                    </w:rPr>
                    <w:t>та інших нормативно-</w:t>
                  </w:r>
                  <w:r w:rsidRPr="00C72833">
                    <w:rPr>
                      <w:b/>
                      <w:bCs/>
                    </w:rPr>
                    <w:lastRenderedPageBreak/>
                    <w:t>правових актів, що регулюють функціонування ринку електричної енергії</w:t>
                  </w:r>
                  <w:r w:rsidRPr="00C72833">
                    <w:rPr>
                      <w:bCs/>
                      <w:lang w:eastAsia="uk-UA"/>
                    </w:rPr>
                    <w:t xml:space="preserve">, повідомляє НКРЕКП про операції (у тому числі подані заявки/пропозиції) на ринку «на добу наперед» та внутрішньодобовому ринку, які за результатами спостереження оператор ринку обґрунтовано вважає такими, що мають ознаки маніпуляцій на ринку «на добу наперед» та внутрішньодобовому ринку, та/або ознаки порушення норм законодавства щодо поводження з </w:t>
                  </w:r>
                  <w:proofErr w:type="spellStart"/>
                  <w:r w:rsidRPr="00C72833">
                    <w:rPr>
                      <w:bCs/>
                      <w:lang w:eastAsia="uk-UA"/>
                    </w:rPr>
                    <w:t>інсайдерською</w:t>
                  </w:r>
                  <w:proofErr w:type="spellEnd"/>
                  <w:r w:rsidRPr="00C72833">
                    <w:rPr>
                      <w:bCs/>
                      <w:lang w:eastAsia="uk-UA"/>
                    </w:rPr>
                    <w:t xml:space="preserve"> інформацією з наданням відповідного обґрунтування, а також готує звіти </w:t>
                  </w:r>
                  <w:r w:rsidRPr="00C72833">
                    <w:rPr>
                      <w:b/>
                      <w:strike/>
                      <w:lang w:eastAsia="uk-UA"/>
                    </w:rPr>
                    <w:t>щодо спостереження за операціями на ринку «на добу наперед» та внутрішньодобовому ринку електричної енергії з відображенням агрегованих, та/або знеособлених даних</w:t>
                  </w:r>
                  <w:r w:rsidRPr="00C72833">
                    <w:rPr>
                      <w:bCs/>
                      <w:lang w:eastAsia="uk-UA"/>
                    </w:rPr>
                    <w:t xml:space="preserve"> відповідно до Правил РДН/ВДР та оприлюднює їх на власному вебсайті</w:t>
                  </w:r>
                </w:p>
              </w:tc>
              <w:tc>
                <w:tcPr>
                  <w:tcW w:w="207" w:type="dxa"/>
                </w:tcPr>
                <w:p w:rsidR="007F4594" w:rsidRPr="00C72833" w:rsidRDefault="007F4594" w:rsidP="007F4594">
                  <w:pPr>
                    <w:ind w:right="-28"/>
                    <w:jc w:val="center"/>
                    <w:rPr>
                      <w:bCs/>
                      <w:lang w:eastAsia="uk-UA"/>
                    </w:rPr>
                  </w:pPr>
                </w:p>
              </w:tc>
              <w:tc>
                <w:tcPr>
                  <w:tcW w:w="196" w:type="dxa"/>
                </w:tcPr>
                <w:p w:rsidR="007F4594" w:rsidRPr="00C72833" w:rsidRDefault="007F4594" w:rsidP="007F4594">
                  <w:pPr>
                    <w:ind w:right="-28"/>
                    <w:jc w:val="center"/>
                    <w:rPr>
                      <w:bCs/>
                      <w:lang w:eastAsia="uk-UA"/>
                    </w:rPr>
                  </w:pPr>
                </w:p>
              </w:tc>
              <w:tc>
                <w:tcPr>
                  <w:tcW w:w="208" w:type="dxa"/>
                </w:tcPr>
                <w:p w:rsidR="007F4594" w:rsidRPr="00C72833" w:rsidRDefault="007F4594" w:rsidP="007F4594">
                  <w:pPr>
                    <w:ind w:right="-28"/>
                    <w:jc w:val="center"/>
                    <w:rPr>
                      <w:bCs/>
                      <w:lang w:eastAsia="uk-UA"/>
                    </w:rPr>
                  </w:pPr>
                </w:p>
              </w:tc>
              <w:tc>
                <w:tcPr>
                  <w:tcW w:w="209" w:type="dxa"/>
                </w:tcPr>
                <w:p w:rsidR="007F4594" w:rsidRPr="00C72833" w:rsidRDefault="007F4594" w:rsidP="007F4594">
                  <w:pPr>
                    <w:ind w:right="-28"/>
                    <w:jc w:val="center"/>
                    <w:rPr>
                      <w:bCs/>
                      <w:lang w:eastAsia="uk-UA"/>
                    </w:rPr>
                  </w:pPr>
                </w:p>
              </w:tc>
              <w:tc>
                <w:tcPr>
                  <w:tcW w:w="1077" w:type="dxa"/>
                </w:tcPr>
                <w:p w:rsidR="007F4594" w:rsidRPr="00C72833" w:rsidRDefault="007F4594" w:rsidP="007F4594">
                  <w:pPr>
                    <w:ind w:right="-28"/>
                    <w:jc w:val="center"/>
                    <w:rPr>
                      <w:bCs/>
                      <w:lang w:eastAsia="uk-UA"/>
                    </w:rPr>
                  </w:pPr>
                  <w:r w:rsidRPr="00C72833">
                    <w:rPr>
                      <w:b/>
                      <w:spacing w:val="-2"/>
                      <w:lang w:eastAsia="uk-UA"/>
                    </w:rPr>
                    <w:t>Пункт 5.7 глави 5 Вимог щодо забезпечення доброчесності та прозорост</w:t>
                  </w:r>
                  <w:r w:rsidRPr="00C72833">
                    <w:rPr>
                      <w:b/>
                      <w:spacing w:val="-2"/>
                      <w:lang w:eastAsia="uk-UA"/>
                    </w:rPr>
                    <w:lastRenderedPageBreak/>
                    <w:t xml:space="preserve">і на оптовому енергетичному ринку,  </w:t>
                  </w:r>
                  <w:r w:rsidRPr="00C72833">
                    <w:rPr>
                      <w:b/>
                      <w:bCs/>
                    </w:rPr>
                    <w:t>затверджені постановою НКРЕКП</w:t>
                  </w:r>
                  <w:r w:rsidRPr="00C72833">
                    <w:rPr>
                      <w:b/>
                      <w:spacing w:val="-2"/>
                      <w:lang w:eastAsia="uk-UA"/>
                    </w:rPr>
                    <w:t xml:space="preserve"> від 27 березня 2024 року № 614;</w:t>
                  </w:r>
                </w:p>
                <w:p w:rsidR="007F4594" w:rsidRPr="00C72833" w:rsidRDefault="007F4594" w:rsidP="007F4594">
                  <w:pPr>
                    <w:ind w:right="-28"/>
                    <w:jc w:val="center"/>
                    <w:rPr>
                      <w:bCs/>
                      <w:lang w:eastAsia="uk-UA"/>
                    </w:rPr>
                  </w:pPr>
                </w:p>
                <w:p w:rsidR="007F4594" w:rsidRPr="00C72833" w:rsidRDefault="007F4594" w:rsidP="007F4594">
                  <w:pPr>
                    <w:ind w:right="-28"/>
                    <w:jc w:val="center"/>
                    <w:rPr>
                      <w:bCs/>
                      <w:lang w:eastAsia="uk-UA"/>
                    </w:rPr>
                  </w:pPr>
                  <w:r w:rsidRPr="00C72833">
                    <w:rPr>
                      <w:bCs/>
                      <w:lang w:eastAsia="uk-UA"/>
                    </w:rPr>
                    <w:t>підпункти 34, 35, 36 пункту 2.2 ЛУ № 1466</w:t>
                  </w:r>
                </w:p>
                <w:p w:rsidR="007F4594" w:rsidRPr="00C72833" w:rsidRDefault="007F4594" w:rsidP="007F4594">
                  <w:pPr>
                    <w:ind w:right="-28"/>
                    <w:jc w:val="center"/>
                    <w:rPr>
                      <w:bCs/>
                      <w:spacing w:val="-2"/>
                      <w:lang w:eastAsia="uk-UA"/>
                    </w:rPr>
                  </w:pPr>
                </w:p>
                <w:p w:rsidR="007F4594" w:rsidRPr="00C72833" w:rsidRDefault="007F4594" w:rsidP="007F4594">
                  <w:pPr>
                    <w:ind w:right="-28"/>
                    <w:jc w:val="center"/>
                    <w:rPr>
                      <w:b/>
                      <w:spacing w:val="-2"/>
                    </w:rPr>
                  </w:pPr>
                </w:p>
              </w:tc>
            </w:tr>
          </w:tbl>
          <w:p w:rsidR="007F4594" w:rsidRPr="00A46A8B" w:rsidRDefault="007F4594" w:rsidP="007F4594">
            <w:pPr>
              <w:ind w:firstLine="308"/>
              <w:jc w:val="both"/>
              <w:rPr>
                <w:i/>
                <w:sz w:val="22"/>
                <w:szCs w:val="22"/>
                <w:shd w:val="clear" w:color="auto" w:fill="FFFFFF"/>
              </w:rPr>
            </w:pPr>
          </w:p>
          <w:p w:rsidR="007F4594" w:rsidRPr="00A46A8B" w:rsidRDefault="007F4594" w:rsidP="007F4594">
            <w:pPr>
              <w:ind w:firstLine="308"/>
              <w:jc w:val="both"/>
              <w:rPr>
                <w:i/>
                <w:sz w:val="22"/>
                <w:szCs w:val="22"/>
                <w:shd w:val="clear" w:color="auto" w:fill="FFFFFF"/>
              </w:rPr>
            </w:pPr>
            <w:r>
              <w:rPr>
                <w:i/>
                <w:sz w:val="22"/>
                <w:szCs w:val="22"/>
                <w:shd w:val="clear" w:color="auto" w:fill="FFFFFF"/>
              </w:rPr>
              <w:t>ОБҐРУНТУВАННЯ</w:t>
            </w:r>
            <w:r w:rsidRPr="00A46A8B">
              <w:rPr>
                <w:i/>
                <w:sz w:val="22"/>
                <w:szCs w:val="22"/>
                <w:shd w:val="clear" w:color="auto" w:fill="FFFFFF"/>
              </w:rPr>
              <w:t>:</w:t>
            </w:r>
          </w:p>
          <w:p w:rsidR="007F4594" w:rsidRPr="0047478D" w:rsidRDefault="007F4594" w:rsidP="007F4594">
            <w:pPr>
              <w:ind w:firstLine="308"/>
              <w:jc w:val="both"/>
              <w:rPr>
                <w:i/>
                <w:iCs/>
                <w:sz w:val="22"/>
                <w:szCs w:val="22"/>
              </w:rPr>
            </w:pPr>
            <w:r w:rsidRPr="0047478D">
              <w:rPr>
                <w:i/>
                <w:iCs/>
                <w:sz w:val="22"/>
                <w:szCs w:val="22"/>
                <w:lang w:eastAsia="uk-UA"/>
              </w:rPr>
              <w:t>09</w:t>
            </w:r>
            <w:r w:rsidRPr="0047478D">
              <w:rPr>
                <w:i/>
                <w:iCs/>
                <w:sz w:val="22"/>
                <w:szCs w:val="22"/>
              </w:rPr>
              <w:t xml:space="preserve">.01.2026 пройшло відкрите обговорення проєкту постанови НКРЕКП «Про затвердження Змін до деяких постанов НКРЕКП», згідно з яким із Правил РДН/ВДР буде виключена вся частина щодо </w:t>
            </w:r>
            <w:r w:rsidRPr="0047478D">
              <w:rPr>
                <w:i/>
                <w:iCs/>
                <w:sz w:val="22"/>
                <w:szCs w:val="22"/>
              </w:rPr>
              <w:lastRenderedPageBreak/>
              <w:t>спостереження за роботою РДН/ВДР. При цьому, проєкт постанови НКРЕКП «Про затвердження Змін до Вимог щодо забезпечення доброчесності та прозорості на оптовому енергетичному ринку», який передбачає відповідні доповнення у зв’язку із вищезазначеними змінами до Правил РДН/ВДР наразі також проходить процедуру обговорення.</w:t>
            </w:r>
          </w:p>
          <w:p w:rsidR="007F4594" w:rsidRPr="0047478D" w:rsidRDefault="007F4594" w:rsidP="007F4594">
            <w:pPr>
              <w:ind w:firstLine="308"/>
              <w:jc w:val="both"/>
              <w:rPr>
                <w:i/>
                <w:iCs/>
                <w:sz w:val="22"/>
                <w:szCs w:val="22"/>
                <w:lang w:eastAsia="uk-UA"/>
              </w:rPr>
            </w:pPr>
            <w:r w:rsidRPr="0047478D">
              <w:rPr>
                <w:i/>
                <w:iCs/>
                <w:sz w:val="22"/>
                <w:szCs w:val="22"/>
              </w:rPr>
              <w:t xml:space="preserve">У зв’язку з цим, для уникнення суперечностей </w:t>
            </w:r>
            <w:r w:rsidRPr="0047478D">
              <w:rPr>
                <w:i/>
                <w:iCs/>
                <w:sz w:val="22"/>
                <w:szCs w:val="22"/>
                <w:lang w:eastAsia="uk-UA"/>
              </w:rPr>
              <w:t>пропонуємо внести уточнення до формулювання питання. Такі уточнення дозволять Переліку питань не втратити актуальність у зв’язку із прийняттям згаданих змін.</w:t>
            </w:r>
          </w:p>
          <w:p w:rsidR="007F4594" w:rsidRPr="0047478D" w:rsidRDefault="007F4594" w:rsidP="007F4594">
            <w:pPr>
              <w:ind w:firstLine="308"/>
              <w:jc w:val="both"/>
              <w:rPr>
                <w:i/>
                <w:iCs/>
                <w:sz w:val="22"/>
                <w:szCs w:val="22"/>
                <w:lang w:eastAsia="uk-UA"/>
              </w:rPr>
            </w:pPr>
            <w:r w:rsidRPr="0047478D">
              <w:rPr>
                <w:i/>
                <w:iCs/>
                <w:sz w:val="22"/>
                <w:szCs w:val="22"/>
                <w:lang w:eastAsia="uk-UA"/>
              </w:rPr>
              <w:t xml:space="preserve">Також у колонці «Нормативне обґрунтування» пропонуємо надати посилання на пункт 5.7 глави 5 Вимог щодо забезпечення доброчесності та прозорості на оптовому енергетичному ринку,  затверджені постановою НКРЕКП від 27 березня 2024 року № 614, з дотриманням вимог якого оператор ринку буде вести спостереження. </w:t>
            </w:r>
          </w:p>
          <w:p w:rsidR="007F4594" w:rsidRPr="009D3827" w:rsidRDefault="007F4594" w:rsidP="007F4594">
            <w:pPr>
              <w:ind w:firstLine="308"/>
              <w:jc w:val="both"/>
              <w:rPr>
                <w:i/>
                <w:sz w:val="22"/>
                <w:szCs w:val="22"/>
                <w:shd w:val="clear" w:color="auto" w:fill="FFFFFF"/>
              </w:rPr>
            </w:pPr>
            <w:r w:rsidRPr="0047478D">
              <w:rPr>
                <w:i/>
                <w:iCs/>
                <w:sz w:val="22"/>
                <w:szCs w:val="22"/>
                <w:lang w:eastAsia="uk-UA"/>
              </w:rPr>
              <w:t>Водночас, зауважуємо, що у разі прийняття НКРЕКП</w:t>
            </w:r>
            <w:r w:rsidRPr="0047478D">
              <w:rPr>
                <w:i/>
                <w:iCs/>
                <w:sz w:val="22"/>
                <w:szCs w:val="22"/>
              </w:rPr>
              <w:t xml:space="preserve"> вищеназваних проєктів змін необхідно буде вносити зміни в Ліцензійні умови оператора ринку</w:t>
            </w:r>
            <w:r>
              <w:rPr>
                <w:i/>
                <w:iCs/>
                <w:sz w:val="22"/>
                <w:szCs w:val="22"/>
              </w:rPr>
              <w:t>.</w:t>
            </w:r>
          </w:p>
        </w:tc>
        <w:tc>
          <w:tcPr>
            <w:tcW w:w="5066" w:type="dxa"/>
            <w:shd w:val="clear" w:color="auto" w:fill="auto"/>
            <w:vAlign w:val="center"/>
          </w:tcPr>
          <w:p w:rsidR="007F4594" w:rsidRPr="00DE216B" w:rsidRDefault="007F4594" w:rsidP="007F4594">
            <w:pPr>
              <w:rPr>
                <w:b/>
                <w:sz w:val="22"/>
                <w:szCs w:val="22"/>
              </w:rPr>
            </w:pPr>
            <w:r w:rsidRPr="00DE216B">
              <w:rPr>
                <w:b/>
                <w:sz w:val="22"/>
                <w:szCs w:val="22"/>
              </w:rPr>
              <w:lastRenderedPageBreak/>
              <w:t>Враховано з правкою</w:t>
            </w:r>
          </w:p>
          <w:p w:rsidR="007F4594" w:rsidRPr="00DE216B" w:rsidRDefault="007F4594" w:rsidP="007F4594">
            <w:pPr>
              <w:rPr>
                <w:b/>
                <w:sz w:val="22"/>
                <w:szCs w:val="22"/>
              </w:rPr>
            </w:pPr>
          </w:p>
          <w:p w:rsidR="007F4594" w:rsidRPr="009D3827" w:rsidRDefault="007F4594" w:rsidP="007F4594">
            <w:pPr>
              <w:rPr>
                <w:b/>
                <w:sz w:val="22"/>
                <w:szCs w:val="22"/>
              </w:rPr>
            </w:pPr>
            <w:r w:rsidRPr="00C72833">
              <w:rPr>
                <w:bCs/>
                <w:lang w:eastAsia="uk-UA"/>
              </w:rPr>
              <w:t xml:space="preserve">а також готує </w:t>
            </w:r>
            <w:r>
              <w:rPr>
                <w:bCs/>
                <w:color w:val="FF0000"/>
                <w:lang w:eastAsia="uk-UA"/>
              </w:rPr>
              <w:t xml:space="preserve">відповідні звіти </w:t>
            </w:r>
            <w:r w:rsidRPr="00C72833">
              <w:rPr>
                <w:bCs/>
                <w:lang w:eastAsia="uk-UA"/>
              </w:rPr>
              <w:t>відповідно до Правил РДН/ВДР та оприлюднює їх на власному вебсайті</w:t>
            </w:r>
          </w:p>
        </w:tc>
      </w:tr>
      <w:tr w:rsidR="007F4594" w:rsidRPr="009D3827" w:rsidTr="00276080">
        <w:trPr>
          <w:trHeight w:val="595"/>
        </w:trPr>
        <w:tc>
          <w:tcPr>
            <w:tcW w:w="5065" w:type="dxa"/>
            <w:shd w:val="clear" w:color="auto" w:fill="auto"/>
          </w:tcPr>
          <w:p w:rsidR="007F4594" w:rsidRDefault="007F4594" w:rsidP="007F4594">
            <w:pPr>
              <w:ind w:firstLine="308"/>
              <w:jc w:val="both"/>
              <w:rPr>
                <w:sz w:val="22"/>
                <w:szCs w:val="22"/>
                <w:shd w:val="clear" w:color="auto" w:fill="FFFFFF"/>
              </w:rPr>
            </w:pPr>
          </w:p>
          <w:p w:rsidR="007F4594" w:rsidRDefault="007F4594" w:rsidP="007F4594">
            <w:pPr>
              <w:ind w:firstLine="308"/>
              <w:jc w:val="both"/>
              <w:rPr>
                <w:sz w:val="22"/>
                <w:szCs w:val="22"/>
                <w:shd w:val="clear" w:color="auto" w:fill="FFFFFF"/>
              </w:rPr>
            </w:pPr>
          </w:p>
          <w:tbl>
            <w:tblPr>
              <w:tblW w:w="48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561"/>
              <w:gridCol w:w="1814"/>
              <w:gridCol w:w="510"/>
              <w:gridCol w:w="283"/>
              <w:gridCol w:w="283"/>
              <w:gridCol w:w="283"/>
              <w:gridCol w:w="1077"/>
            </w:tblGrid>
            <w:tr w:rsidR="007F4594" w:rsidRPr="006F331A" w:rsidTr="0047478D">
              <w:trPr>
                <w:trHeight w:val="20"/>
              </w:trPr>
              <w:tc>
                <w:tcPr>
                  <w:tcW w:w="561" w:type="dxa"/>
                </w:tcPr>
                <w:p w:rsidR="007F4594" w:rsidRPr="006F331A" w:rsidRDefault="007F4594" w:rsidP="007F4594">
                  <w:pPr>
                    <w:ind w:right="-82"/>
                    <w:jc w:val="center"/>
                    <w:rPr>
                      <w:lang w:eastAsia="uk-UA"/>
                    </w:rPr>
                  </w:pPr>
                  <w:r w:rsidRPr="006F331A">
                    <w:rPr>
                      <w:lang w:eastAsia="uk-UA"/>
                    </w:rPr>
                    <w:t>3.20</w:t>
                  </w:r>
                </w:p>
              </w:tc>
              <w:tc>
                <w:tcPr>
                  <w:tcW w:w="1814" w:type="dxa"/>
                </w:tcPr>
                <w:p w:rsidR="007F4594" w:rsidRPr="006F331A" w:rsidRDefault="007F4594" w:rsidP="007F4594">
                  <w:pPr>
                    <w:ind w:left="-83" w:right="-85"/>
                    <w:jc w:val="center"/>
                    <w:rPr>
                      <w:lang w:eastAsia="uk-UA"/>
                    </w:rPr>
                  </w:pPr>
                  <w:r w:rsidRPr="006F331A">
                    <w:rPr>
                      <w:lang w:eastAsia="uk-UA"/>
                    </w:rPr>
                    <w:t>При здійсненні діяльності на оптовому енергетичному ринку ліцензіат:</w:t>
                  </w:r>
                </w:p>
                <w:p w:rsidR="007F4594" w:rsidRPr="006F331A" w:rsidRDefault="007F4594" w:rsidP="007F4594">
                  <w:pPr>
                    <w:ind w:left="-83" w:right="-85"/>
                    <w:jc w:val="center"/>
                    <w:rPr>
                      <w:lang w:eastAsia="uk-UA"/>
                    </w:rPr>
                  </w:pPr>
                  <w:bookmarkStart w:id="0" w:name="246"/>
                  <w:r w:rsidRPr="006F331A">
                    <w:rPr>
                      <w:lang w:eastAsia="uk-UA"/>
                    </w:rPr>
                    <w:t>здійснює операції з оптовими енергетичними продуктами після реєстрації як учасника оптового енергетичного ринку;</w:t>
                  </w:r>
                </w:p>
                <w:p w:rsidR="007F4594" w:rsidRPr="006F331A" w:rsidRDefault="007F4594" w:rsidP="007F4594">
                  <w:pPr>
                    <w:ind w:left="-83" w:right="-85"/>
                    <w:jc w:val="center"/>
                    <w:rPr>
                      <w:lang w:eastAsia="uk-UA"/>
                    </w:rPr>
                  </w:pPr>
                  <w:bookmarkStart w:id="1" w:name="247"/>
                  <w:bookmarkEnd w:id="0"/>
                  <w:r w:rsidRPr="006F331A">
                    <w:rPr>
                      <w:lang w:eastAsia="uk-UA"/>
                    </w:rPr>
                    <w:t xml:space="preserve">впроваджує та підтримує ефективні </w:t>
                  </w:r>
                  <w:r w:rsidRPr="006F331A">
                    <w:rPr>
                      <w:lang w:eastAsia="uk-UA"/>
                    </w:rPr>
                    <w:lastRenderedPageBreak/>
                    <w:t>механізми, заходи та процедури для дотримання доброчесності та прозорості на оптовому енергетичному ринку;</w:t>
                  </w:r>
                </w:p>
                <w:bookmarkEnd w:id="1"/>
                <w:p w:rsidR="007F4594" w:rsidRPr="006F331A" w:rsidRDefault="007F4594" w:rsidP="007F4594">
                  <w:pPr>
                    <w:ind w:left="-83" w:right="-85"/>
                    <w:jc w:val="center"/>
                    <w:rPr>
                      <w:lang w:eastAsia="uk-UA"/>
                    </w:rPr>
                  </w:pPr>
                  <w:r w:rsidRPr="006F331A">
                    <w:rPr>
                      <w:lang w:eastAsia="uk-UA"/>
                    </w:rPr>
                    <w:t>надає НКРЕКП через адміністратора передачі даних та/або самостійно, якщо ліцензіат набув статусу адміністратора передачі даних, інформацію щодо господарсько-торговельних операцій на оптовому енергетичному ринку, які стосуються оптових енергетичних продуктів, включаючи пропозиції (заявки), у порядку, встановленому законом</w:t>
                  </w:r>
                </w:p>
              </w:tc>
              <w:tc>
                <w:tcPr>
                  <w:tcW w:w="510" w:type="dxa"/>
                </w:tcPr>
                <w:p w:rsidR="007F4594" w:rsidRPr="006F331A" w:rsidRDefault="007F4594" w:rsidP="007F4594">
                  <w:pPr>
                    <w:keepNext/>
                    <w:ind w:left="-28" w:right="-28"/>
                    <w:jc w:val="center"/>
                    <w:rPr>
                      <w:bCs/>
                      <w:lang w:eastAsia="uk-UA"/>
                    </w:rPr>
                  </w:pPr>
                </w:p>
              </w:tc>
              <w:tc>
                <w:tcPr>
                  <w:tcW w:w="283" w:type="dxa"/>
                </w:tcPr>
                <w:p w:rsidR="007F4594" w:rsidRPr="006F331A" w:rsidRDefault="007F4594" w:rsidP="007F4594">
                  <w:pPr>
                    <w:keepNext/>
                    <w:ind w:left="-28" w:right="-28"/>
                    <w:jc w:val="center"/>
                    <w:rPr>
                      <w:bCs/>
                      <w:lang w:eastAsia="uk-UA"/>
                    </w:rPr>
                  </w:pPr>
                </w:p>
              </w:tc>
              <w:tc>
                <w:tcPr>
                  <w:tcW w:w="283" w:type="dxa"/>
                </w:tcPr>
                <w:p w:rsidR="007F4594" w:rsidRPr="006F331A" w:rsidRDefault="007F4594" w:rsidP="007F4594">
                  <w:pPr>
                    <w:keepNext/>
                    <w:ind w:left="-28" w:right="-28"/>
                    <w:jc w:val="center"/>
                    <w:rPr>
                      <w:bCs/>
                      <w:lang w:eastAsia="uk-UA"/>
                    </w:rPr>
                  </w:pPr>
                </w:p>
              </w:tc>
              <w:tc>
                <w:tcPr>
                  <w:tcW w:w="283" w:type="dxa"/>
                </w:tcPr>
                <w:p w:rsidR="007F4594" w:rsidRPr="006F331A" w:rsidRDefault="007F4594" w:rsidP="007F4594">
                  <w:pPr>
                    <w:keepNext/>
                    <w:ind w:left="-28" w:right="-28"/>
                    <w:jc w:val="center"/>
                    <w:rPr>
                      <w:bCs/>
                      <w:lang w:eastAsia="uk-UA"/>
                    </w:rPr>
                  </w:pPr>
                </w:p>
              </w:tc>
              <w:tc>
                <w:tcPr>
                  <w:tcW w:w="1077" w:type="dxa"/>
                </w:tcPr>
                <w:p w:rsidR="007F4594" w:rsidRPr="006F331A" w:rsidRDefault="007F4594" w:rsidP="007F4594">
                  <w:pPr>
                    <w:keepNext/>
                    <w:ind w:left="-28" w:right="-28"/>
                    <w:jc w:val="center"/>
                    <w:rPr>
                      <w:spacing w:val="-2"/>
                    </w:rPr>
                  </w:pPr>
                  <w:r w:rsidRPr="006F331A">
                    <w:rPr>
                      <w:bCs/>
                      <w:lang w:eastAsia="uk-UA"/>
                    </w:rPr>
                    <w:t>підпункт 41 пункту 2.2 ЛУ № 1466</w:t>
                  </w:r>
                </w:p>
              </w:tc>
            </w:tr>
          </w:tbl>
          <w:p w:rsidR="007F4594" w:rsidRDefault="007F4594" w:rsidP="007F4594">
            <w:pPr>
              <w:ind w:firstLine="308"/>
              <w:jc w:val="both"/>
              <w:rPr>
                <w:sz w:val="22"/>
                <w:szCs w:val="22"/>
                <w:shd w:val="clear" w:color="auto" w:fill="FFFFFF"/>
              </w:rPr>
            </w:pPr>
          </w:p>
          <w:p w:rsidR="007F4594" w:rsidRPr="009D3827" w:rsidRDefault="007F4594" w:rsidP="007F4594">
            <w:pPr>
              <w:ind w:firstLine="308"/>
              <w:jc w:val="both"/>
              <w:rPr>
                <w:sz w:val="22"/>
                <w:szCs w:val="22"/>
                <w:shd w:val="clear" w:color="auto" w:fill="FFFFFF"/>
              </w:rPr>
            </w:pPr>
          </w:p>
        </w:tc>
        <w:tc>
          <w:tcPr>
            <w:tcW w:w="5066" w:type="dxa"/>
            <w:shd w:val="clear" w:color="auto" w:fill="auto"/>
          </w:tcPr>
          <w:p w:rsidR="007F4594" w:rsidRPr="00A46A8B" w:rsidRDefault="007F4594" w:rsidP="007F4594">
            <w:pPr>
              <w:ind w:firstLine="308"/>
              <w:jc w:val="both"/>
              <w:rPr>
                <w:i/>
                <w:sz w:val="22"/>
                <w:szCs w:val="22"/>
                <w:shd w:val="clear" w:color="auto" w:fill="FFFFFF"/>
              </w:rPr>
            </w:pPr>
            <w:r w:rsidRPr="00A46A8B">
              <w:rPr>
                <w:i/>
                <w:sz w:val="22"/>
                <w:szCs w:val="22"/>
                <w:shd w:val="clear" w:color="auto" w:fill="FFFFFF"/>
              </w:rPr>
              <w:lastRenderedPageBreak/>
              <w:t>АТ «ОПЕРАТОР РИНКУ»</w:t>
            </w:r>
          </w:p>
          <w:p w:rsidR="007F4594" w:rsidRPr="00A46A8B" w:rsidRDefault="007F4594" w:rsidP="007F4594">
            <w:pPr>
              <w:ind w:firstLine="308"/>
              <w:jc w:val="both"/>
              <w:rPr>
                <w:i/>
                <w:sz w:val="22"/>
                <w:szCs w:val="22"/>
                <w:shd w:val="clear" w:color="auto" w:fill="FFFFFF"/>
              </w:rPr>
            </w:pPr>
          </w:p>
          <w:tbl>
            <w:tblPr>
              <w:tblW w:w="48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558"/>
              <w:gridCol w:w="1871"/>
              <w:gridCol w:w="231"/>
              <w:gridCol w:w="231"/>
              <w:gridCol w:w="231"/>
              <w:gridCol w:w="231"/>
              <w:gridCol w:w="1474"/>
            </w:tblGrid>
            <w:tr w:rsidR="007F4594" w:rsidRPr="00C72833" w:rsidTr="0047478D">
              <w:trPr>
                <w:trHeight w:val="20"/>
              </w:trPr>
              <w:tc>
                <w:tcPr>
                  <w:tcW w:w="558" w:type="dxa"/>
                </w:tcPr>
                <w:p w:rsidR="007F4594" w:rsidRPr="00C72833" w:rsidRDefault="007F4594" w:rsidP="007F4594">
                  <w:pPr>
                    <w:ind w:right="-82"/>
                    <w:jc w:val="center"/>
                    <w:rPr>
                      <w:lang w:eastAsia="uk-UA"/>
                    </w:rPr>
                  </w:pPr>
                  <w:r w:rsidRPr="00C72833">
                    <w:rPr>
                      <w:lang w:eastAsia="uk-UA"/>
                    </w:rPr>
                    <w:t>3.20</w:t>
                  </w:r>
                </w:p>
              </w:tc>
              <w:tc>
                <w:tcPr>
                  <w:tcW w:w="1871" w:type="dxa"/>
                </w:tcPr>
                <w:p w:rsidR="007F4594" w:rsidRPr="00C72833" w:rsidRDefault="007F4594" w:rsidP="007F4594">
                  <w:pPr>
                    <w:ind w:left="-83" w:right="-85"/>
                    <w:jc w:val="center"/>
                    <w:rPr>
                      <w:lang w:eastAsia="uk-UA"/>
                    </w:rPr>
                  </w:pPr>
                  <w:r w:rsidRPr="00C72833">
                    <w:rPr>
                      <w:lang w:eastAsia="uk-UA"/>
                    </w:rPr>
                    <w:t>При здійсненні діяльності на оптовому енергетичному ринку ліцензіат:</w:t>
                  </w:r>
                </w:p>
                <w:p w:rsidR="007F4594" w:rsidRPr="00C72833" w:rsidRDefault="007F4594" w:rsidP="007F4594">
                  <w:pPr>
                    <w:ind w:left="-83" w:right="-85"/>
                    <w:jc w:val="center"/>
                    <w:rPr>
                      <w:lang w:eastAsia="uk-UA"/>
                    </w:rPr>
                  </w:pPr>
                  <w:r w:rsidRPr="00C72833">
                    <w:rPr>
                      <w:lang w:eastAsia="uk-UA"/>
                    </w:rPr>
                    <w:t>здійснює операції з оптовими енергетичними продуктами після реєстрації як учасника оптового енергетичного ринку;</w:t>
                  </w:r>
                </w:p>
                <w:p w:rsidR="007F4594" w:rsidRPr="00C72833" w:rsidRDefault="007F4594" w:rsidP="007F4594">
                  <w:pPr>
                    <w:ind w:left="-83" w:right="-85"/>
                    <w:jc w:val="center"/>
                    <w:rPr>
                      <w:lang w:eastAsia="uk-UA"/>
                    </w:rPr>
                  </w:pPr>
                  <w:r w:rsidRPr="00C72833">
                    <w:rPr>
                      <w:lang w:eastAsia="uk-UA"/>
                    </w:rPr>
                    <w:t xml:space="preserve">впроваджує та підтримує ефективні механізми, заходи та </w:t>
                  </w:r>
                  <w:r w:rsidRPr="00C72833">
                    <w:rPr>
                      <w:lang w:eastAsia="uk-UA"/>
                    </w:rPr>
                    <w:lastRenderedPageBreak/>
                    <w:t>процедури для дотримання доброчесності та прозорості на оптовому енергетичному ринку;</w:t>
                  </w:r>
                </w:p>
                <w:p w:rsidR="007F4594" w:rsidRPr="00C72833" w:rsidRDefault="007F4594" w:rsidP="007F4594">
                  <w:pPr>
                    <w:ind w:left="-83" w:right="-85"/>
                    <w:jc w:val="center"/>
                    <w:rPr>
                      <w:lang w:eastAsia="uk-UA"/>
                    </w:rPr>
                  </w:pPr>
                  <w:r w:rsidRPr="00C72833">
                    <w:rPr>
                      <w:lang w:eastAsia="uk-UA"/>
                    </w:rPr>
                    <w:t>надає НКРЕКП через адміністратора передачі даних та/або самостійно, якщо ліцензіат набув статусу адміністратора передачі даних, інформацію щодо господарсько-торговельних операцій на оптовому енергетичному ринку, які стосуються оптових енергетичних продуктів, включаючи пропозиції (заявки), у порядку, встановленому законом</w:t>
                  </w:r>
                </w:p>
              </w:tc>
              <w:tc>
                <w:tcPr>
                  <w:tcW w:w="231" w:type="dxa"/>
                </w:tcPr>
                <w:p w:rsidR="007F4594" w:rsidRPr="00C72833" w:rsidRDefault="007F4594" w:rsidP="007F4594">
                  <w:pPr>
                    <w:keepNext/>
                    <w:ind w:left="-28" w:right="-28"/>
                    <w:jc w:val="center"/>
                    <w:rPr>
                      <w:bCs/>
                      <w:lang w:eastAsia="uk-UA"/>
                    </w:rPr>
                  </w:pPr>
                </w:p>
              </w:tc>
              <w:tc>
                <w:tcPr>
                  <w:tcW w:w="231" w:type="dxa"/>
                </w:tcPr>
                <w:p w:rsidR="007F4594" w:rsidRPr="00C72833" w:rsidRDefault="007F4594" w:rsidP="007F4594">
                  <w:pPr>
                    <w:keepNext/>
                    <w:ind w:left="-28" w:right="-28"/>
                    <w:jc w:val="center"/>
                    <w:rPr>
                      <w:bCs/>
                      <w:lang w:eastAsia="uk-UA"/>
                    </w:rPr>
                  </w:pPr>
                </w:p>
              </w:tc>
              <w:tc>
                <w:tcPr>
                  <w:tcW w:w="231" w:type="dxa"/>
                </w:tcPr>
                <w:p w:rsidR="007F4594" w:rsidRPr="00C72833" w:rsidRDefault="007F4594" w:rsidP="007F4594">
                  <w:pPr>
                    <w:keepNext/>
                    <w:ind w:left="-28" w:right="-28"/>
                    <w:jc w:val="center"/>
                    <w:rPr>
                      <w:bCs/>
                      <w:lang w:eastAsia="uk-UA"/>
                    </w:rPr>
                  </w:pPr>
                </w:p>
              </w:tc>
              <w:tc>
                <w:tcPr>
                  <w:tcW w:w="231" w:type="dxa"/>
                </w:tcPr>
                <w:p w:rsidR="007F4594" w:rsidRPr="00C72833" w:rsidRDefault="007F4594" w:rsidP="007F4594">
                  <w:pPr>
                    <w:keepNext/>
                    <w:ind w:left="-28" w:right="-28"/>
                    <w:jc w:val="center"/>
                    <w:rPr>
                      <w:bCs/>
                      <w:lang w:eastAsia="uk-UA"/>
                    </w:rPr>
                  </w:pPr>
                </w:p>
              </w:tc>
              <w:tc>
                <w:tcPr>
                  <w:tcW w:w="1474" w:type="dxa"/>
                </w:tcPr>
                <w:p w:rsidR="007F4594" w:rsidRPr="00C72833" w:rsidRDefault="007F4594" w:rsidP="007F4594">
                  <w:pPr>
                    <w:jc w:val="center"/>
                    <w:rPr>
                      <w:b/>
                      <w:bCs/>
                      <w:lang w:val="ru-RU"/>
                    </w:rPr>
                  </w:pPr>
                  <w:r w:rsidRPr="00C72833">
                    <w:rPr>
                      <w:b/>
                      <w:bCs/>
                    </w:rPr>
                    <w:t>Порядок реєстрації учасників оптового енергетичного ринку, затверджений постановою НКРЕКП від 04 жовтня 2023 року № 1812;</w:t>
                  </w:r>
                </w:p>
                <w:p w:rsidR="007F4594" w:rsidRPr="00C72833" w:rsidRDefault="007F4594" w:rsidP="007F4594">
                  <w:pPr>
                    <w:jc w:val="center"/>
                    <w:rPr>
                      <w:b/>
                      <w:bCs/>
                      <w:lang w:val="ru-RU"/>
                    </w:rPr>
                  </w:pPr>
                  <w:r w:rsidRPr="00C72833">
                    <w:rPr>
                      <w:b/>
                      <w:spacing w:val="-2"/>
                      <w:lang w:eastAsia="uk-UA"/>
                    </w:rPr>
                    <w:t xml:space="preserve">Пункти 4.1, 4.9, додаток 3 (пункт 9) </w:t>
                  </w:r>
                  <w:r w:rsidRPr="00C72833">
                    <w:rPr>
                      <w:b/>
                      <w:spacing w:val="-2"/>
                      <w:lang w:eastAsia="uk-UA"/>
                    </w:rPr>
                    <w:lastRenderedPageBreak/>
                    <w:t xml:space="preserve">Вимоги щодо забезпечення доброчесності та прозорості на оптовому енергетичному ринку,  </w:t>
                  </w:r>
                  <w:r w:rsidRPr="00C72833">
                    <w:rPr>
                      <w:b/>
                      <w:bCs/>
                    </w:rPr>
                    <w:t>затверджені постановою НКРЕКП</w:t>
                  </w:r>
                  <w:r w:rsidRPr="00C72833">
                    <w:rPr>
                      <w:b/>
                      <w:spacing w:val="-2"/>
                      <w:lang w:eastAsia="uk-UA"/>
                    </w:rPr>
                    <w:t xml:space="preserve"> від 27 березня 2024 року № 614;</w:t>
                  </w:r>
                </w:p>
                <w:p w:rsidR="007F4594" w:rsidRPr="00C72833" w:rsidRDefault="007F4594" w:rsidP="007F4594">
                  <w:pPr>
                    <w:jc w:val="center"/>
                  </w:pPr>
                  <w:r w:rsidRPr="00C72833">
                    <w:rPr>
                      <w:b/>
                      <w:bCs/>
                    </w:rPr>
                    <w:t>Порядок подання інформації про здійснені господарсько-торговельні операції, пов’язані з оптовими енергетичними продуктами, затверджений постановою НКРЕКП від 27 березня 2024 року № 618;</w:t>
                  </w:r>
                </w:p>
                <w:p w:rsidR="007F4594" w:rsidRPr="00C72833" w:rsidRDefault="007F4594" w:rsidP="007F4594">
                  <w:pPr>
                    <w:keepNext/>
                    <w:ind w:left="-28" w:right="-28"/>
                    <w:jc w:val="center"/>
                    <w:rPr>
                      <w:bCs/>
                      <w:lang w:eastAsia="uk-UA"/>
                    </w:rPr>
                  </w:pPr>
                  <w:r w:rsidRPr="00C72833">
                    <w:rPr>
                      <w:bCs/>
                      <w:lang w:eastAsia="uk-UA"/>
                    </w:rPr>
                    <w:t>підпункт 41 пункту 2.2 ЛУ № 1466</w:t>
                  </w:r>
                </w:p>
                <w:p w:rsidR="007F4594" w:rsidRPr="00C72833" w:rsidRDefault="007F4594" w:rsidP="007F4594">
                  <w:pPr>
                    <w:keepNext/>
                    <w:ind w:left="-28" w:right="-28"/>
                    <w:jc w:val="center"/>
                    <w:rPr>
                      <w:spacing w:val="-2"/>
                    </w:rPr>
                  </w:pPr>
                </w:p>
              </w:tc>
            </w:tr>
          </w:tbl>
          <w:p w:rsidR="007F4594" w:rsidRPr="00A46A8B" w:rsidRDefault="007F4594" w:rsidP="007F4594">
            <w:pPr>
              <w:ind w:firstLine="308"/>
              <w:jc w:val="both"/>
              <w:rPr>
                <w:i/>
                <w:sz w:val="22"/>
                <w:szCs w:val="22"/>
                <w:shd w:val="clear" w:color="auto" w:fill="FFFFFF"/>
              </w:rPr>
            </w:pPr>
          </w:p>
          <w:p w:rsidR="007F4594" w:rsidRPr="00A46A8B" w:rsidRDefault="007F4594" w:rsidP="007F4594">
            <w:pPr>
              <w:ind w:firstLine="308"/>
              <w:jc w:val="both"/>
              <w:rPr>
                <w:i/>
                <w:sz w:val="22"/>
                <w:szCs w:val="22"/>
                <w:shd w:val="clear" w:color="auto" w:fill="FFFFFF"/>
              </w:rPr>
            </w:pPr>
            <w:r>
              <w:rPr>
                <w:i/>
                <w:sz w:val="22"/>
                <w:szCs w:val="22"/>
                <w:shd w:val="clear" w:color="auto" w:fill="FFFFFF"/>
              </w:rPr>
              <w:t>ОБҐРУНТУВАННЯ</w:t>
            </w:r>
            <w:r w:rsidRPr="00A46A8B">
              <w:rPr>
                <w:i/>
                <w:sz w:val="22"/>
                <w:szCs w:val="22"/>
                <w:shd w:val="clear" w:color="auto" w:fill="FFFFFF"/>
              </w:rPr>
              <w:t>:</w:t>
            </w:r>
          </w:p>
          <w:p w:rsidR="007F4594" w:rsidRPr="009D3827" w:rsidRDefault="007F4594" w:rsidP="007F4594">
            <w:pPr>
              <w:ind w:firstLine="308"/>
              <w:jc w:val="both"/>
              <w:rPr>
                <w:i/>
                <w:sz w:val="22"/>
                <w:szCs w:val="22"/>
                <w:shd w:val="clear" w:color="auto" w:fill="FFFFFF"/>
              </w:rPr>
            </w:pPr>
            <w:r w:rsidRPr="000B3AF4">
              <w:rPr>
                <w:i/>
                <w:iCs/>
                <w:sz w:val="22"/>
                <w:szCs w:val="22"/>
                <w:lang w:eastAsia="uk-UA"/>
              </w:rPr>
              <w:t>Для</w:t>
            </w:r>
            <w:r w:rsidRPr="000B3AF4">
              <w:rPr>
                <w:i/>
                <w:iCs/>
                <w:sz w:val="22"/>
                <w:szCs w:val="22"/>
              </w:rPr>
              <w:t xml:space="preserve"> однозначного розуміння ліцензіатом та комісією з перевірки питань, що перевірятимуться,  пропонуємо у колонці «Нормативне обґрунтування» зазначити документи, що регламентують вимоги, дотримання яких </w:t>
            </w:r>
            <w:r w:rsidRPr="000B3AF4">
              <w:rPr>
                <w:i/>
                <w:iCs/>
                <w:sz w:val="22"/>
                <w:szCs w:val="22"/>
              </w:rPr>
              <w:lastRenderedPageBreak/>
              <w:t>оператором ринку буде досліджуватися (за аналогією з пунктами 3.22 та 3.23 Переліку питань).</w:t>
            </w:r>
          </w:p>
        </w:tc>
        <w:tc>
          <w:tcPr>
            <w:tcW w:w="5066" w:type="dxa"/>
            <w:shd w:val="clear" w:color="auto" w:fill="auto"/>
            <w:vAlign w:val="center"/>
          </w:tcPr>
          <w:p w:rsidR="007F4594" w:rsidRPr="009D3827" w:rsidRDefault="007F4594" w:rsidP="007F4594">
            <w:pPr>
              <w:rPr>
                <w:b/>
                <w:sz w:val="22"/>
                <w:szCs w:val="22"/>
              </w:rPr>
            </w:pPr>
            <w:r w:rsidRPr="00DE216B">
              <w:rPr>
                <w:b/>
                <w:sz w:val="22"/>
                <w:szCs w:val="22"/>
              </w:rPr>
              <w:lastRenderedPageBreak/>
              <w:t>Враховано</w:t>
            </w:r>
          </w:p>
        </w:tc>
      </w:tr>
      <w:tr w:rsidR="007F4594" w:rsidRPr="009D3827" w:rsidTr="00276080">
        <w:trPr>
          <w:trHeight w:val="595"/>
        </w:trPr>
        <w:tc>
          <w:tcPr>
            <w:tcW w:w="5065" w:type="dxa"/>
            <w:shd w:val="clear" w:color="auto" w:fill="auto"/>
          </w:tcPr>
          <w:p w:rsidR="007F4594" w:rsidRDefault="007F4594" w:rsidP="007F4594">
            <w:pPr>
              <w:ind w:firstLine="308"/>
              <w:jc w:val="both"/>
              <w:rPr>
                <w:sz w:val="22"/>
                <w:szCs w:val="22"/>
                <w:shd w:val="clear" w:color="auto" w:fill="FFFFFF"/>
              </w:rPr>
            </w:pPr>
          </w:p>
          <w:p w:rsidR="007F4594" w:rsidRDefault="007F4594" w:rsidP="007F4594">
            <w:pPr>
              <w:ind w:firstLine="308"/>
              <w:jc w:val="both"/>
              <w:rPr>
                <w:sz w:val="22"/>
                <w:szCs w:val="22"/>
                <w:shd w:val="clear" w:color="auto" w:fill="FFFFFF"/>
              </w:rPr>
            </w:pPr>
          </w:p>
          <w:tbl>
            <w:tblPr>
              <w:tblW w:w="48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561"/>
              <w:gridCol w:w="2211"/>
              <w:gridCol w:w="454"/>
              <w:gridCol w:w="190"/>
              <w:gridCol w:w="190"/>
              <w:gridCol w:w="190"/>
              <w:gridCol w:w="1020"/>
            </w:tblGrid>
            <w:tr w:rsidR="007F4594" w:rsidRPr="006F331A" w:rsidTr="00F62F22">
              <w:trPr>
                <w:trHeight w:val="20"/>
              </w:trPr>
              <w:tc>
                <w:tcPr>
                  <w:tcW w:w="561" w:type="dxa"/>
                </w:tcPr>
                <w:p w:rsidR="007F4594" w:rsidRPr="006F331A" w:rsidRDefault="007F4594" w:rsidP="007F4594">
                  <w:pPr>
                    <w:ind w:right="-82"/>
                    <w:jc w:val="center"/>
                    <w:rPr>
                      <w:lang w:eastAsia="uk-UA"/>
                    </w:rPr>
                  </w:pPr>
                  <w:r w:rsidRPr="006F331A">
                    <w:rPr>
                      <w:lang w:eastAsia="uk-UA"/>
                    </w:rPr>
                    <w:t>3.21</w:t>
                  </w:r>
                </w:p>
              </w:tc>
              <w:tc>
                <w:tcPr>
                  <w:tcW w:w="2211" w:type="dxa"/>
                </w:tcPr>
                <w:p w:rsidR="007F4594" w:rsidRPr="006F331A" w:rsidRDefault="007F4594" w:rsidP="007F4594">
                  <w:pPr>
                    <w:ind w:left="-83" w:right="-85"/>
                    <w:jc w:val="center"/>
                    <w:rPr>
                      <w:lang w:eastAsia="uk-UA"/>
                    </w:rPr>
                  </w:pPr>
                  <w:r w:rsidRPr="006F331A">
                    <w:rPr>
                      <w:lang w:eastAsia="uk-UA"/>
                    </w:rPr>
                    <w:t xml:space="preserve">Ліцензіат має систему спостереження за роботою ринку </w:t>
                  </w:r>
                  <w:r>
                    <w:rPr>
                      <w:lang w:eastAsia="uk-UA"/>
                    </w:rPr>
                    <w:t>«</w:t>
                  </w:r>
                  <w:r w:rsidRPr="006F331A">
                    <w:rPr>
                      <w:lang w:eastAsia="uk-UA"/>
                    </w:rPr>
                    <w:t>на добу наперед</w:t>
                  </w:r>
                  <w:r>
                    <w:rPr>
                      <w:lang w:eastAsia="uk-UA"/>
                    </w:rPr>
                    <w:t>»</w:t>
                  </w:r>
                  <w:r w:rsidRPr="006F331A">
                    <w:rPr>
                      <w:lang w:eastAsia="uk-UA"/>
                    </w:rPr>
                    <w:t xml:space="preserve">, внутрішньодобового ринку, організованими ним електронними аукціонами з купівлі-продажу електричної енергії, відповідно до визначених НКРЕКП вимог, про результати функціонування якої повідомив НКРЕКП у визначеному нею порядку невідкладно, але не пізніше наступного робочого дня після появи обґрунтованих підстав вважати, що операції на ринку </w:t>
                  </w:r>
                  <w:r>
                    <w:rPr>
                      <w:lang w:eastAsia="uk-UA"/>
                    </w:rPr>
                    <w:t>«</w:t>
                  </w:r>
                  <w:r w:rsidRPr="006F331A">
                    <w:rPr>
                      <w:lang w:eastAsia="uk-UA"/>
                    </w:rPr>
                    <w:t>на добу наперед</w:t>
                  </w:r>
                  <w:r>
                    <w:rPr>
                      <w:lang w:eastAsia="uk-UA"/>
                    </w:rPr>
                    <w:t>»</w:t>
                  </w:r>
                  <w:r w:rsidRPr="006F331A">
                    <w:rPr>
                      <w:lang w:eastAsia="uk-UA"/>
                    </w:rPr>
                    <w:t xml:space="preserve"> або внутрішньодобовому ринку здійснені з порушенням встановлених обмежень щодо поводження з </w:t>
                  </w:r>
                  <w:proofErr w:type="spellStart"/>
                  <w:r w:rsidRPr="006F331A">
                    <w:rPr>
                      <w:lang w:eastAsia="uk-UA"/>
                    </w:rPr>
                    <w:t>інсайдерською</w:t>
                  </w:r>
                  <w:proofErr w:type="spellEnd"/>
                  <w:r w:rsidRPr="006F331A">
                    <w:rPr>
                      <w:lang w:eastAsia="uk-UA"/>
                    </w:rPr>
                    <w:t xml:space="preserve"> інформацією або такі операції мають ознаки маніпулювання чи спроби маніпулювання на ринку електричної енергії</w:t>
                  </w:r>
                </w:p>
              </w:tc>
              <w:tc>
                <w:tcPr>
                  <w:tcW w:w="454" w:type="dxa"/>
                </w:tcPr>
                <w:p w:rsidR="007F4594" w:rsidRPr="006F331A" w:rsidRDefault="007F4594" w:rsidP="007F4594">
                  <w:pPr>
                    <w:keepNext/>
                    <w:ind w:left="-28" w:right="-28"/>
                    <w:jc w:val="center"/>
                    <w:rPr>
                      <w:bCs/>
                      <w:lang w:eastAsia="uk-UA"/>
                    </w:rPr>
                  </w:pPr>
                </w:p>
              </w:tc>
              <w:tc>
                <w:tcPr>
                  <w:tcW w:w="190" w:type="dxa"/>
                </w:tcPr>
                <w:p w:rsidR="007F4594" w:rsidRPr="006F331A" w:rsidRDefault="007F4594" w:rsidP="007F4594">
                  <w:pPr>
                    <w:keepNext/>
                    <w:ind w:left="-28" w:right="-28"/>
                    <w:jc w:val="center"/>
                    <w:rPr>
                      <w:bCs/>
                      <w:lang w:eastAsia="uk-UA"/>
                    </w:rPr>
                  </w:pPr>
                </w:p>
              </w:tc>
              <w:tc>
                <w:tcPr>
                  <w:tcW w:w="190" w:type="dxa"/>
                </w:tcPr>
                <w:p w:rsidR="007F4594" w:rsidRPr="006F331A" w:rsidRDefault="007F4594" w:rsidP="007F4594">
                  <w:pPr>
                    <w:keepNext/>
                    <w:ind w:left="-28" w:right="-28"/>
                    <w:jc w:val="center"/>
                    <w:rPr>
                      <w:bCs/>
                      <w:lang w:eastAsia="uk-UA"/>
                    </w:rPr>
                  </w:pPr>
                </w:p>
              </w:tc>
              <w:tc>
                <w:tcPr>
                  <w:tcW w:w="190" w:type="dxa"/>
                </w:tcPr>
                <w:p w:rsidR="007F4594" w:rsidRPr="006F331A" w:rsidRDefault="007F4594" w:rsidP="007F4594">
                  <w:pPr>
                    <w:keepNext/>
                    <w:ind w:left="-28" w:right="-28"/>
                    <w:jc w:val="center"/>
                    <w:rPr>
                      <w:bCs/>
                      <w:lang w:eastAsia="uk-UA"/>
                    </w:rPr>
                  </w:pPr>
                </w:p>
              </w:tc>
              <w:tc>
                <w:tcPr>
                  <w:tcW w:w="1020" w:type="dxa"/>
                </w:tcPr>
                <w:p w:rsidR="007F4594" w:rsidRPr="006F331A" w:rsidRDefault="007F4594" w:rsidP="007F4594">
                  <w:pPr>
                    <w:keepNext/>
                    <w:ind w:left="-28" w:right="-28"/>
                    <w:jc w:val="center"/>
                    <w:rPr>
                      <w:bCs/>
                      <w:lang w:eastAsia="uk-UA"/>
                    </w:rPr>
                  </w:pPr>
                  <w:r w:rsidRPr="006F331A">
                    <w:rPr>
                      <w:bCs/>
                      <w:lang w:eastAsia="uk-UA"/>
                    </w:rPr>
                    <w:t>підпункт 42 пункту 2.2 ЛУ № 1466</w:t>
                  </w:r>
                </w:p>
              </w:tc>
            </w:tr>
          </w:tbl>
          <w:p w:rsidR="007F4594" w:rsidRDefault="007F4594" w:rsidP="007F4594">
            <w:pPr>
              <w:ind w:firstLine="308"/>
              <w:jc w:val="both"/>
              <w:rPr>
                <w:sz w:val="22"/>
                <w:szCs w:val="22"/>
                <w:shd w:val="clear" w:color="auto" w:fill="FFFFFF"/>
              </w:rPr>
            </w:pPr>
          </w:p>
          <w:p w:rsidR="007F4594" w:rsidRDefault="007F4594" w:rsidP="007F4594">
            <w:pPr>
              <w:ind w:firstLine="308"/>
              <w:jc w:val="both"/>
              <w:rPr>
                <w:sz w:val="22"/>
                <w:szCs w:val="22"/>
                <w:shd w:val="clear" w:color="auto" w:fill="FFFFFF"/>
              </w:rPr>
            </w:pPr>
          </w:p>
          <w:p w:rsidR="007F4594" w:rsidRPr="009D3827" w:rsidRDefault="007F4594" w:rsidP="007F4594">
            <w:pPr>
              <w:ind w:firstLine="308"/>
              <w:jc w:val="both"/>
              <w:rPr>
                <w:sz w:val="22"/>
                <w:szCs w:val="22"/>
                <w:shd w:val="clear" w:color="auto" w:fill="FFFFFF"/>
              </w:rPr>
            </w:pPr>
          </w:p>
        </w:tc>
        <w:tc>
          <w:tcPr>
            <w:tcW w:w="5066" w:type="dxa"/>
            <w:shd w:val="clear" w:color="auto" w:fill="auto"/>
          </w:tcPr>
          <w:p w:rsidR="007F4594" w:rsidRPr="00A46A8B" w:rsidRDefault="007F4594" w:rsidP="007F4594">
            <w:pPr>
              <w:ind w:firstLine="308"/>
              <w:jc w:val="both"/>
              <w:rPr>
                <w:i/>
                <w:sz w:val="22"/>
                <w:szCs w:val="22"/>
                <w:shd w:val="clear" w:color="auto" w:fill="FFFFFF"/>
              </w:rPr>
            </w:pPr>
            <w:r w:rsidRPr="00A46A8B">
              <w:rPr>
                <w:i/>
                <w:sz w:val="22"/>
                <w:szCs w:val="22"/>
                <w:shd w:val="clear" w:color="auto" w:fill="FFFFFF"/>
              </w:rPr>
              <w:t>АТ «ОПЕРАТОР РИНКУ»</w:t>
            </w:r>
          </w:p>
          <w:p w:rsidR="007F4594" w:rsidRPr="00A46A8B" w:rsidRDefault="007F4594" w:rsidP="007F4594">
            <w:pPr>
              <w:ind w:firstLine="308"/>
              <w:jc w:val="both"/>
              <w:rPr>
                <w:i/>
                <w:sz w:val="22"/>
                <w:szCs w:val="22"/>
                <w:shd w:val="clear" w:color="auto" w:fill="FFFFFF"/>
              </w:rPr>
            </w:pPr>
          </w:p>
          <w:tbl>
            <w:tblPr>
              <w:tblW w:w="48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551"/>
              <w:gridCol w:w="1814"/>
              <w:gridCol w:w="190"/>
              <w:gridCol w:w="190"/>
              <w:gridCol w:w="190"/>
              <w:gridCol w:w="190"/>
              <w:gridCol w:w="1701"/>
            </w:tblGrid>
            <w:tr w:rsidR="007F4594" w:rsidRPr="00C72833" w:rsidTr="00F62F22">
              <w:trPr>
                <w:trHeight w:val="20"/>
              </w:trPr>
              <w:tc>
                <w:tcPr>
                  <w:tcW w:w="551" w:type="dxa"/>
                </w:tcPr>
                <w:p w:rsidR="007F4594" w:rsidRPr="00C72833" w:rsidRDefault="007F4594" w:rsidP="007F4594">
                  <w:pPr>
                    <w:ind w:right="-82"/>
                    <w:jc w:val="center"/>
                    <w:rPr>
                      <w:lang w:eastAsia="uk-UA"/>
                    </w:rPr>
                  </w:pPr>
                  <w:r w:rsidRPr="00C72833">
                    <w:rPr>
                      <w:lang w:eastAsia="uk-UA"/>
                    </w:rPr>
                    <w:t>3.21</w:t>
                  </w:r>
                </w:p>
              </w:tc>
              <w:tc>
                <w:tcPr>
                  <w:tcW w:w="1814" w:type="dxa"/>
                </w:tcPr>
                <w:p w:rsidR="007F4594" w:rsidRPr="00C72833" w:rsidRDefault="007F4594" w:rsidP="007F4594">
                  <w:pPr>
                    <w:ind w:left="-83" w:right="-85"/>
                    <w:jc w:val="center"/>
                    <w:rPr>
                      <w:lang w:eastAsia="uk-UA"/>
                    </w:rPr>
                  </w:pPr>
                  <w:r w:rsidRPr="00C72833">
                    <w:rPr>
                      <w:lang w:eastAsia="uk-UA"/>
                    </w:rPr>
                    <w:t>Ліцензіат має систему спостереження за роботою ринку «на добу наперед», внутрішньодобового ринку, організованими ним електронними аукціонами з купівлі-продажу електричної енергії, відповідно до визначених НКРЕКП вимог, про результати функціонування якої повідомив НКРЕКП у визначеному нею порядку</w:t>
                  </w:r>
                  <w:r w:rsidRPr="00C72833">
                    <w:rPr>
                      <w:b/>
                      <w:bCs/>
                      <w:lang w:eastAsia="uk-UA"/>
                    </w:rPr>
                    <w:t>.</w:t>
                  </w:r>
                  <w:r w:rsidRPr="00C72833">
                    <w:rPr>
                      <w:lang w:eastAsia="uk-UA"/>
                    </w:rPr>
                    <w:t xml:space="preserve"> </w:t>
                  </w:r>
                  <w:r w:rsidRPr="00C72833">
                    <w:rPr>
                      <w:b/>
                      <w:bCs/>
                      <w:strike/>
                      <w:lang w:eastAsia="uk-UA"/>
                    </w:rPr>
                    <w:t xml:space="preserve">невідкладно, але не пізніше наступного робочого дня після появи обґрунтованих підстав вважати, що операції на ринку «на добу наперед» або внутрішньодобовому ринку здійснені з порушенням встановлених обмежень щодо поводження з </w:t>
                  </w:r>
                  <w:proofErr w:type="spellStart"/>
                  <w:r w:rsidRPr="00C72833">
                    <w:rPr>
                      <w:b/>
                      <w:bCs/>
                      <w:strike/>
                      <w:lang w:eastAsia="uk-UA"/>
                    </w:rPr>
                    <w:t>інсайдерською</w:t>
                  </w:r>
                  <w:proofErr w:type="spellEnd"/>
                  <w:r w:rsidRPr="00C72833">
                    <w:rPr>
                      <w:b/>
                      <w:bCs/>
                      <w:strike/>
                      <w:lang w:eastAsia="uk-UA"/>
                    </w:rPr>
                    <w:t xml:space="preserve"> інформацією або </w:t>
                  </w:r>
                  <w:r w:rsidRPr="00C72833">
                    <w:rPr>
                      <w:b/>
                      <w:bCs/>
                      <w:strike/>
                      <w:lang w:eastAsia="uk-UA"/>
                    </w:rPr>
                    <w:lastRenderedPageBreak/>
                    <w:t>такі операції мають ознаки маніпулювання чи спроби маніпулювання на ринку електричної енергії</w:t>
                  </w:r>
                </w:p>
              </w:tc>
              <w:tc>
                <w:tcPr>
                  <w:tcW w:w="190" w:type="dxa"/>
                </w:tcPr>
                <w:p w:rsidR="007F4594" w:rsidRPr="00C72833" w:rsidRDefault="007F4594" w:rsidP="007F4594">
                  <w:pPr>
                    <w:keepNext/>
                    <w:ind w:left="-28" w:right="-28"/>
                    <w:jc w:val="center"/>
                    <w:rPr>
                      <w:bCs/>
                      <w:lang w:eastAsia="uk-UA"/>
                    </w:rPr>
                  </w:pPr>
                </w:p>
              </w:tc>
              <w:tc>
                <w:tcPr>
                  <w:tcW w:w="190" w:type="dxa"/>
                </w:tcPr>
                <w:p w:rsidR="007F4594" w:rsidRPr="00C72833" w:rsidRDefault="007F4594" w:rsidP="007F4594">
                  <w:pPr>
                    <w:keepNext/>
                    <w:ind w:left="-28" w:right="-28"/>
                    <w:jc w:val="center"/>
                    <w:rPr>
                      <w:bCs/>
                      <w:lang w:eastAsia="uk-UA"/>
                    </w:rPr>
                  </w:pPr>
                </w:p>
              </w:tc>
              <w:tc>
                <w:tcPr>
                  <w:tcW w:w="190" w:type="dxa"/>
                </w:tcPr>
                <w:p w:rsidR="007F4594" w:rsidRPr="00C72833" w:rsidRDefault="007F4594" w:rsidP="007F4594">
                  <w:pPr>
                    <w:keepNext/>
                    <w:ind w:left="-28" w:right="-28"/>
                    <w:jc w:val="center"/>
                    <w:rPr>
                      <w:bCs/>
                      <w:lang w:eastAsia="uk-UA"/>
                    </w:rPr>
                  </w:pPr>
                </w:p>
              </w:tc>
              <w:tc>
                <w:tcPr>
                  <w:tcW w:w="190" w:type="dxa"/>
                </w:tcPr>
                <w:p w:rsidR="007F4594" w:rsidRPr="00C72833" w:rsidRDefault="007F4594" w:rsidP="007F4594">
                  <w:pPr>
                    <w:keepNext/>
                    <w:ind w:left="-28" w:right="-28"/>
                    <w:jc w:val="center"/>
                    <w:rPr>
                      <w:bCs/>
                      <w:lang w:eastAsia="uk-UA"/>
                    </w:rPr>
                  </w:pPr>
                </w:p>
              </w:tc>
              <w:tc>
                <w:tcPr>
                  <w:tcW w:w="1701" w:type="dxa"/>
                </w:tcPr>
                <w:p w:rsidR="007F4594" w:rsidRPr="00732E05" w:rsidRDefault="007F4594" w:rsidP="007F4594">
                  <w:pPr>
                    <w:jc w:val="center"/>
                    <w:rPr>
                      <w:b/>
                      <w:bCs/>
                    </w:rPr>
                  </w:pPr>
                  <w:r w:rsidRPr="00C72833">
                    <w:rPr>
                      <w:b/>
                      <w:spacing w:val="-2"/>
                      <w:lang w:eastAsia="uk-UA"/>
                    </w:rPr>
                    <w:t xml:space="preserve">Пункти 5.1, 5.2 та 5.4 глави 5 Вимог щодо забезпечення доброчесності та прозорості на оптовому енергетичному ринку,  </w:t>
                  </w:r>
                  <w:r w:rsidRPr="00C72833">
                    <w:rPr>
                      <w:b/>
                      <w:bCs/>
                    </w:rPr>
                    <w:t>затверджені постановою НКРЕКП</w:t>
                  </w:r>
                  <w:r w:rsidRPr="00C72833">
                    <w:rPr>
                      <w:b/>
                      <w:spacing w:val="-2"/>
                      <w:lang w:eastAsia="uk-UA"/>
                    </w:rPr>
                    <w:t xml:space="preserve"> від 27 березня 2024 року № 614;</w:t>
                  </w:r>
                </w:p>
                <w:p w:rsidR="007F4594" w:rsidRPr="00C72833" w:rsidRDefault="007F4594" w:rsidP="007F4594">
                  <w:pPr>
                    <w:keepNext/>
                    <w:ind w:left="-28" w:right="-28"/>
                    <w:jc w:val="center"/>
                    <w:rPr>
                      <w:bCs/>
                      <w:lang w:eastAsia="uk-UA"/>
                    </w:rPr>
                  </w:pPr>
                  <w:r w:rsidRPr="00C72833">
                    <w:rPr>
                      <w:bCs/>
                      <w:lang w:eastAsia="uk-UA"/>
                    </w:rPr>
                    <w:t>підпункт 42 пункту 2.2 ЛУ № 1466</w:t>
                  </w:r>
                </w:p>
              </w:tc>
            </w:tr>
          </w:tbl>
          <w:p w:rsidR="007F4594" w:rsidRDefault="007F4594" w:rsidP="007F4594">
            <w:pPr>
              <w:ind w:firstLine="308"/>
              <w:jc w:val="both"/>
              <w:rPr>
                <w:i/>
                <w:sz w:val="22"/>
                <w:szCs w:val="22"/>
                <w:shd w:val="clear" w:color="auto" w:fill="FFFFFF"/>
              </w:rPr>
            </w:pPr>
          </w:p>
          <w:p w:rsidR="007F4594" w:rsidRPr="00A46A8B" w:rsidRDefault="007F4594" w:rsidP="007F4594">
            <w:pPr>
              <w:ind w:firstLine="308"/>
              <w:jc w:val="both"/>
              <w:rPr>
                <w:i/>
                <w:sz w:val="22"/>
                <w:szCs w:val="22"/>
                <w:shd w:val="clear" w:color="auto" w:fill="FFFFFF"/>
              </w:rPr>
            </w:pPr>
            <w:r>
              <w:rPr>
                <w:i/>
                <w:sz w:val="22"/>
                <w:szCs w:val="22"/>
                <w:shd w:val="clear" w:color="auto" w:fill="FFFFFF"/>
              </w:rPr>
              <w:t>ОБҐРУНТУВАННЯ</w:t>
            </w:r>
            <w:r w:rsidRPr="00A46A8B">
              <w:rPr>
                <w:i/>
                <w:sz w:val="22"/>
                <w:szCs w:val="22"/>
                <w:shd w:val="clear" w:color="auto" w:fill="FFFFFF"/>
              </w:rPr>
              <w:t>:</w:t>
            </w:r>
          </w:p>
          <w:p w:rsidR="007F4594" w:rsidRPr="00F62F22" w:rsidRDefault="007F4594" w:rsidP="007F4594">
            <w:pPr>
              <w:ind w:firstLine="308"/>
              <w:jc w:val="both"/>
              <w:rPr>
                <w:i/>
                <w:sz w:val="22"/>
                <w:szCs w:val="22"/>
                <w:lang w:eastAsia="uk-UA"/>
              </w:rPr>
            </w:pPr>
            <w:r w:rsidRPr="00F62F22">
              <w:rPr>
                <w:i/>
                <w:iCs/>
                <w:sz w:val="22"/>
                <w:szCs w:val="22"/>
                <w:lang w:eastAsia="uk-UA"/>
              </w:rPr>
              <w:t>В</w:t>
            </w:r>
            <w:r w:rsidRPr="00F62F22">
              <w:rPr>
                <w:i/>
                <w:sz w:val="22"/>
                <w:szCs w:val="22"/>
                <w:lang w:eastAsia="uk-UA"/>
              </w:rPr>
              <w:t>имога цього  пункту в частині порядку повідомлення НКРЕКП є прямою колізією із пунктом 5.7 глави 5 Вимог щодо забезпечення доброчесності та прозорості на оптовому енергетичному ринку, а також положення пункту 3.14 запропонованої редакції Переліку питань вже передбачає питання щодо</w:t>
            </w:r>
          </w:p>
          <w:p w:rsidR="007F4594" w:rsidRPr="00F62F22" w:rsidRDefault="007F4594" w:rsidP="007F4594">
            <w:pPr>
              <w:spacing w:after="120"/>
              <w:jc w:val="both"/>
              <w:rPr>
                <w:i/>
                <w:sz w:val="22"/>
                <w:szCs w:val="22"/>
                <w:lang w:eastAsia="uk-UA"/>
              </w:rPr>
            </w:pPr>
            <w:r w:rsidRPr="00F62F22">
              <w:rPr>
                <w:i/>
                <w:iCs/>
                <w:sz w:val="22"/>
                <w:szCs w:val="22"/>
              </w:rPr>
              <w:t>здійснення оператором ринку спостереження</w:t>
            </w:r>
            <w:r w:rsidRPr="00F62F22">
              <w:rPr>
                <w:sz w:val="22"/>
                <w:szCs w:val="22"/>
              </w:rPr>
              <w:t xml:space="preserve"> </w:t>
            </w:r>
            <w:r w:rsidRPr="00F62F22">
              <w:rPr>
                <w:i/>
                <w:iCs/>
                <w:sz w:val="22"/>
                <w:szCs w:val="22"/>
              </w:rPr>
              <w:t>за операціями учасників ринку «на добу наперед» та внутрішньодобовому ринку і повідомлення НКРЕКП про результати такого спостереження</w:t>
            </w:r>
            <w:r w:rsidRPr="00F62F22">
              <w:rPr>
                <w:i/>
                <w:sz w:val="22"/>
                <w:szCs w:val="22"/>
                <w:lang w:eastAsia="uk-UA"/>
              </w:rPr>
              <w:t>.</w:t>
            </w:r>
          </w:p>
          <w:p w:rsidR="007F4594" w:rsidRPr="00F62F22" w:rsidRDefault="007F4594" w:rsidP="007F4594">
            <w:pPr>
              <w:ind w:firstLine="308"/>
              <w:jc w:val="both"/>
              <w:rPr>
                <w:i/>
                <w:sz w:val="22"/>
                <w:szCs w:val="22"/>
                <w:lang w:eastAsia="uk-UA"/>
              </w:rPr>
            </w:pPr>
            <w:r w:rsidRPr="00F62F22">
              <w:rPr>
                <w:i/>
                <w:sz w:val="22"/>
                <w:szCs w:val="22"/>
                <w:lang w:eastAsia="uk-UA"/>
              </w:rPr>
              <w:t>У зв’язку з цим пропонуємо  положення п.3.21 запропонованої редакції Переліку питань закінчити словами «</w:t>
            </w:r>
            <w:r w:rsidRPr="00F62F22">
              <w:rPr>
                <w:i/>
                <w:sz w:val="22"/>
                <w:szCs w:val="22"/>
                <w:u w:val="single"/>
                <w:lang w:eastAsia="uk-UA"/>
              </w:rPr>
              <w:t>повідомив НКРЕКП у визначеному нею порядку</w:t>
            </w:r>
            <w:r w:rsidRPr="00F62F22">
              <w:rPr>
                <w:i/>
                <w:sz w:val="22"/>
                <w:szCs w:val="22"/>
                <w:lang w:eastAsia="uk-UA"/>
              </w:rPr>
              <w:t>».</w:t>
            </w:r>
          </w:p>
          <w:p w:rsidR="007F4594" w:rsidRPr="00F62F22" w:rsidRDefault="007F4594" w:rsidP="007F4594">
            <w:pPr>
              <w:pStyle w:val="af0"/>
              <w:spacing w:after="120"/>
              <w:jc w:val="both"/>
              <w:rPr>
                <w:b/>
                <w:bCs/>
                <w:i/>
                <w:iCs/>
                <w:sz w:val="22"/>
                <w:szCs w:val="22"/>
              </w:rPr>
            </w:pPr>
            <w:r w:rsidRPr="00F62F22">
              <w:rPr>
                <w:i/>
                <w:sz w:val="22"/>
                <w:szCs w:val="22"/>
                <w:lang w:eastAsia="uk-UA"/>
              </w:rPr>
              <w:t xml:space="preserve">Таким чином, відповідно до цього питання під час перевірок буде досліджуватися впровадження </w:t>
            </w:r>
            <w:r w:rsidRPr="00F62F22">
              <w:rPr>
                <w:i/>
                <w:iCs/>
                <w:sz w:val="22"/>
                <w:szCs w:val="22"/>
              </w:rPr>
              <w:t>та підтримування ефективних механізмів, заходів та процедур</w:t>
            </w:r>
            <w:r w:rsidRPr="00F62F22">
              <w:rPr>
                <w:b/>
                <w:bCs/>
                <w:i/>
                <w:iCs/>
                <w:sz w:val="22"/>
                <w:szCs w:val="22"/>
              </w:rPr>
              <w:t>, у тому числі системи спостереження (тобто наявність такої системи)</w:t>
            </w:r>
            <w:r w:rsidRPr="00F62F22">
              <w:rPr>
                <w:i/>
                <w:iCs/>
                <w:sz w:val="22"/>
                <w:szCs w:val="22"/>
              </w:rPr>
              <w:t>, для виявлення підозрілої поведінки на ринку «на добу наперед», внутрішньодобовому ринку, організованих оператором ринку електронних аукціонах з купівлі-продажу електричної енергії, а також інформування НКРЕКП про</w:t>
            </w:r>
            <w:r w:rsidRPr="00F62F22">
              <w:rPr>
                <w:sz w:val="22"/>
                <w:szCs w:val="22"/>
              </w:rPr>
              <w:t xml:space="preserve"> </w:t>
            </w:r>
            <w:r w:rsidRPr="00F62F22">
              <w:rPr>
                <w:i/>
                <w:iCs/>
                <w:sz w:val="22"/>
                <w:szCs w:val="22"/>
              </w:rPr>
              <w:t xml:space="preserve">відповідність та пропорційність механізмів, заходів та процедур для виявлення підозрілої поведінки на оптовому енергетичному ринку відносно масштабу, розміру та характеру діяльності оператора ринку, включаючи інформацію про рівень автоматизації в </w:t>
            </w:r>
            <w:r w:rsidRPr="00F62F22">
              <w:rPr>
                <w:i/>
                <w:iCs/>
                <w:sz w:val="22"/>
                <w:szCs w:val="22"/>
              </w:rPr>
              <w:lastRenderedPageBreak/>
              <w:t xml:space="preserve">таких система </w:t>
            </w:r>
            <w:r w:rsidRPr="00F62F22">
              <w:rPr>
                <w:b/>
                <w:bCs/>
                <w:i/>
                <w:iCs/>
                <w:sz w:val="22"/>
                <w:szCs w:val="22"/>
              </w:rPr>
              <w:t xml:space="preserve">(тобто </w:t>
            </w:r>
            <w:r w:rsidRPr="00F62F22">
              <w:rPr>
                <w:b/>
                <w:bCs/>
                <w:i/>
                <w:sz w:val="22"/>
                <w:szCs w:val="22"/>
                <w:lang w:eastAsia="uk-UA"/>
              </w:rPr>
              <w:t>повідомлення НКРЕКП про функціонування системи спостереження)</w:t>
            </w:r>
            <w:r w:rsidRPr="00F62F22">
              <w:rPr>
                <w:b/>
                <w:bCs/>
                <w:i/>
                <w:iCs/>
                <w:sz w:val="22"/>
                <w:szCs w:val="22"/>
              </w:rPr>
              <w:t>.</w:t>
            </w:r>
          </w:p>
          <w:p w:rsidR="007F4594" w:rsidRDefault="007F4594" w:rsidP="007F4594">
            <w:pPr>
              <w:ind w:firstLine="308"/>
              <w:jc w:val="both"/>
              <w:rPr>
                <w:i/>
                <w:sz w:val="22"/>
                <w:szCs w:val="22"/>
                <w:shd w:val="clear" w:color="auto" w:fill="FFFFFF"/>
              </w:rPr>
            </w:pPr>
            <w:r w:rsidRPr="00F62F22">
              <w:rPr>
                <w:i/>
                <w:iCs/>
                <w:sz w:val="22"/>
                <w:szCs w:val="22"/>
              </w:rPr>
              <w:t>Враховуючи наведене, вважаємо за необхідне також уточнити відповідні положення, що містяться у  Ліцензійних умовах оператора ринку.</w:t>
            </w:r>
          </w:p>
          <w:p w:rsidR="007F4594"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tc>
        <w:tc>
          <w:tcPr>
            <w:tcW w:w="5066" w:type="dxa"/>
            <w:shd w:val="clear" w:color="auto" w:fill="auto"/>
            <w:vAlign w:val="center"/>
          </w:tcPr>
          <w:p w:rsidR="007F4594" w:rsidRPr="00DE216B" w:rsidRDefault="007F4594" w:rsidP="007F4594">
            <w:pPr>
              <w:rPr>
                <w:b/>
                <w:sz w:val="22"/>
                <w:szCs w:val="22"/>
              </w:rPr>
            </w:pPr>
            <w:r w:rsidRPr="00DE216B">
              <w:rPr>
                <w:b/>
                <w:sz w:val="22"/>
                <w:szCs w:val="22"/>
              </w:rPr>
              <w:lastRenderedPageBreak/>
              <w:t>Враховано лише в частині нормативного обґрунтування</w:t>
            </w:r>
          </w:p>
          <w:p w:rsidR="007F4594" w:rsidRPr="009D3827" w:rsidRDefault="007F4594" w:rsidP="007F4594">
            <w:pPr>
              <w:rPr>
                <w:b/>
                <w:sz w:val="22"/>
                <w:szCs w:val="22"/>
              </w:rPr>
            </w:pPr>
            <w:r w:rsidRPr="00DE216B">
              <w:rPr>
                <w:b/>
                <w:sz w:val="22"/>
                <w:szCs w:val="22"/>
              </w:rPr>
              <w:t>Не враховано в частині самого питання, оскільки не відповідає вимогам ліцензійних умов.</w:t>
            </w:r>
          </w:p>
        </w:tc>
      </w:tr>
      <w:tr w:rsidR="007F4594" w:rsidRPr="009D3827" w:rsidTr="00BF5C81">
        <w:trPr>
          <w:trHeight w:val="595"/>
        </w:trPr>
        <w:tc>
          <w:tcPr>
            <w:tcW w:w="15197" w:type="dxa"/>
            <w:gridSpan w:val="3"/>
            <w:shd w:val="clear" w:color="auto" w:fill="FFD966" w:themeFill="accent4" w:themeFillTint="99"/>
          </w:tcPr>
          <w:p w:rsidR="007F4594" w:rsidRPr="009D3827" w:rsidRDefault="007F4594" w:rsidP="007F4594">
            <w:pPr>
              <w:jc w:val="center"/>
              <w:rPr>
                <w:b/>
                <w:sz w:val="22"/>
                <w:szCs w:val="22"/>
              </w:rPr>
            </w:pPr>
            <w:r w:rsidRPr="009D3827">
              <w:rPr>
                <w:b/>
                <w:sz w:val="22"/>
                <w:szCs w:val="22"/>
              </w:rPr>
              <w:lastRenderedPageBreak/>
              <w:t>Додаток 8</w:t>
            </w:r>
          </w:p>
          <w:p w:rsidR="007F4594" w:rsidRPr="009D3827" w:rsidRDefault="007F4594" w:rsidP="007F4594">
            <w:pPr>
              <w:jc w:val="center"/>
              <w:rPr>
                <w:b/>
                <w:sz w:val="22"/>
                <w:szCs w:val="22"/>
              </w:rPr>
            </w:pPr>
          </w:p>
          <w:p w:rsidR="007F4594" w:rsidRPr="009D3827" w:rsidRDefault="007F4594" w:rsidP="007F4594">
            <w:pPr>
              <w:jc w:val="center"/>
              <w:rPr>
                <w:b/>
                <w:sz w:val="22"/>
                <w:szCs w:val="22"/>
              </w:rPr>
            </w:pPr>
            <w:r w:rsidRPr="009D3827">
              <w:rPr>
                <w:b/>
                <w:sz w:val="22"/>
                <w:szCs w:val="22"/>
              </w:rPr>
              <w:t>Перелік питань для перевірки дотримання вимог законодавства та ліцензійних умов суб’єктами господарської діяльності, які здійснюють постачання електричної енергії споживачу</w:t>
            </w:r>
          </w:p>
        </w:tc>
      </w:tr>
      <w:tr w:rsidR="007F4594" w:rsidRPr="009D3827" w:rsidTr="00276080">
        <w:trPr>
          <w:trHeight w:val="595"/>
        </w:trPr>
        <w:tc>
          <w:tcPr>
            <w:tcW w:w="5065" w:type="dxa"/>
            <w:shd w:val="clear" w:color="auto" w:fill="auto"/>
          </w:tcPr>
          <w:p w:rsidR="007F4594" w:rsidRDefault="007F4594" w:rsidP="007F4594">
            <w:pPr>
              <w:ind w:firstLine="308"/>
              <w:jc w:val="both"/>
              <w:rPr>
                <w:sz w:val="22"/>
                <w:szCs w:val="22"/>
                <w:shd w:val="clear" w:color="auto" w:fill="FFFFFF"/>
              </w:rPr>
            </w:pPr>
          </w:p>
          <w:p w:rsidR="007F4594" w:rsidRDefault="007F4594" w:rsidP="007F4594">
            <w:pPr>
              <w:ind w:firstLine="308"/>
              <w:jc w:val="both"/>
              <w:rPr>
                <w:sz w:val="22"/>
                <w:szCs w:val="22"/>
                <w:shd w:val="clear" w:color="auto" w:fill="FFFFFF"/>
              </w:rPr>
            </w:pPr>
          </w:p>
          <w:tbl>
            <w:tblPr>
              <w:tblW w:w="4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397"/>
              <w:gridCol w:w="1417"/>
              <w:gridCol w:w="737"/>
              <w:gridCol w:w="221"/>
              <w:gridCol w:w="222"/>
              <w:gridCol w:w="223"/>
              <w:gridCol w:w="1587"/>
            </w:tblGrid>
            <w:tr w:rsidR="007F4594" w:rsidRPr="007B12DF" w:rsidTr="00A32689">
              <w:trPr>
                <w:trHeight w:val="20"/>
              </w:trPr>
              <w:tc>
                <w:tcPr>
                  <w:tcW w:w="413" w:type="pct"/>
                </w:tcPr>
                <w:p w:rsidR="007F4594" w:rsidRPr="007B12DF" w:rsidRDefault="007F4594" w:rsidP="007F4594">
                  <w:pPr>
                    <w:ind w:left="-28" w:right="-28"/>
                    <w:jc w:val="center"/>
                    <w:rPr>
                      <w:lang w:eastAsia="uk-UA"/>
                    </w:rPr>
                  </w:pPr>
                  <w:r w:rsidRPr="007B12DF">
                    <w:rPr>
                      <w:lang w:eastAsia="uk-UA"/>
                    </w:rPr>
                    <w:t>1.6</w:t>
                  </w:r>
                </w:p>
              </w:tc>
              <w:tc>
                <w:tcPr>
                  <w:tcW w:w="1475" w:type="pct"/>
                </w:tcPr>
                <w:p w:rsidR="007F4594" w:rsidRPr="007B12DF" w:rsidRDefault="007F4594" w:rsidP="007F4594">
                  <w:pPr>
                    <w:ind w:left="-57" w:right="-57"/>
                    <w:jc w:val="center"/>
                    <w:rPr>
                      <w:lang w:eastAsia="uk-UA"/>
                    </w:rPr>
                  </w:pPr>
                  <w:r w:rsidRPr="007B12DF">
                    <w:t>Ліцензіат виконує рішення НКРЕКП у строки, встановлені відповідними рішеннями та законодавством</w:t>
                  </w:r>
                </w:p>
              </w:tc>
              <w:tc>
                <w:tcPr>
                  <w:tcW w:w="767" w:type="pct"/>
                </w:tcPr>
                <w:p w:rsidR="007F4594" w:rsidRPr="007B12DF" w:rsidRDefault="007F4594" w:rsidP="007F4594">
                  <w:pPr>
                    <w:ind w:right="-28"/>
                    <w:jc w:val="center"/>
                    <w:rPr>
                      <w:spacing w:val="-2"/>
                    </w:rPr>
                  </w:pPr>
                </w:p>
              </w:tc>
              <w:tc>
                <w:tcPr>
                  <w:tcW w:w="230" w:type="pct"/>
                </w:tcPr>
                <w:p w:rsidR="007F4594" w:rsidRPr="007B12DF" w:rsidRDefault="007F4594" w:rsidP="007F4594">
                  <w:pPr>
                    <w:ind w:right="-28"/>
                    <w:jc w:val="center"/>
                    <w:rPr>
                      <w:spacing w:val="-2"/>
                    </w:rPr>
                  </w:pPr>
                </w:p>
              </w:tc>
              <w:tc>
                <w:tcPr>
                  <w:tcW w:w="231" w:type="pct"/>
                </w:tcPr>
                <w:p w:rsidR="007F4594" w:rsidRPr="007B12DF" w:rsidRDefault="007F4594" w:rsidP="007F4594">
                  <w:pPr>
                    <w:ind w:right="-28"/>
                    <w:jc w:val="center"/>
                    <w:rPr>
                      <w:spacing w:val="-2"/>
                    </w:rPr>
                  </w:pPr>
                </w:p>
              </w:tc>
              <w:tc>
                <w:tcPr>
                  <w:tcW w:w="232" w:type="pct"/>
                </w:tcPr>
                <w:p w:rsidR="007F4594" w:rsidRPr="007B12DF" w:rsidRDefault="007F4594" w:rsidP="007F4594">
                  <w:pPr>
                    <w:ind w:right="-28"/>
                    <w:jc w:val="center"/>
                    <w:rPr>
                      <w:spacing w:val="-2"/>
                    </w:rPr>
                  </w:pPr>
                </w:p>
              </w:tc>
              <w:tc>
                <w:tcPr>
                  <w:tcW w:w="1652" w:type="pct"/>
                </w:tcPr>
                <w:p w:rsidR="007F4594" w:rsidRPr="007B12DF" w:rsidRDefault="007F4594" w:rsidP="007F4594">
                  <w:pPr>
                    <w:ind w:right="-28"/>
                    <w:jc w:val="center"/>
                    <w:rPr>
                      <w:spacing w:val="-2"/>
                    </w:rPr>
                  </w:pPr>
                  <w:r w:rsidRPr="007B12DF">
                    <w:rPr>
                      <w:spacing w:val="-2"/>
                    </w:rPr>
                    <w:t xml:space="preserve">пункт 4 частини четвертої статті 6 </w:t>
                  </w:r>
                </w:p>
                <w:p w:rsidR="007F4594" w:rsidRPr="007B12DF" w:rsidRDefault="007F4594" w:rsidP="007F4594">
                  <w:pPr>
                    <w:ind w:right="-28"/>
                    <w:jc w:val="center"/>
                    <w:rPr>
                      <w:spacing w:val="-2"/>
                    </w:rPr>
                  </w:pPr>
                  <w:r w:rsidRPr="007B12DF">
                    <w:t>ЗУ № 2019-VIII</w:t>
                  </w:r>
                  <w:r w:rsidRPr="007B12DF">
                    <w:rPr>
                      <w:spacing w:val="-2"/>
                    </w:rPr>
                    <w:t>;</w:t>
                  </w:r>
                </w:p>
                <w:p w:rsidR="007F4594" w:rsidRPr="007B12DF" w:rsidRDefault="007F4594" w:rsidP="007F4594">
                  <w:pPr>
                    <w:ind w:right="-28"/>
                    <w:jc w:val="center"/>
                    <w:rPr>
                      <w:spacing w:val="-2"/>
                    </w:rPr>
                  </w:pPr>
                  <w:r w:rsidRPr="007B12DF">
                    <w:rPr>
                      <w:spacing w:val="-2"/>
                    </w:rPr>
                    <w:t xml:space="preserve">частина дев'ята статті 14, пункт 1 частини першої та пункт 1 частини другої статті 17 </w:t>
                  </w:r>
                </w:p>
                <w:p w:rsidR="007F4594" w:rsidRPr="007B12DF" w:rsidRDefault="007F4594" w:rsidP="007F4594">
                  <w:pPr>
                    <w:ind w:right="-28"/>
                    <w:jc w:val="center"/>
                    <w:rPr>
                      <w:spacing w:val="-2"/>
                    </w:rPr>
                  </w:pPr>
                  <w:r w:rsidRPr="007B12DF">
                    <w:t>ЗУ № 1540-VIII;</w:t>
                  </w:r>
                </w:p>
                <w:p w:rsidR="007F4594" w:rsidRPr="007B12DF" w:rsidRDefault="007F4594" w:rsidP="007F4594">
                  <w:pPr>
                    <w:ind w:right="-28"/>
                    <w:jc w:val="center"/>
                    <w:rPr>
                      <w:bCs/>
                      <w:lang w:eastAsia="uk-UA"/>
                    </w:rPr>
                  </w:pPr>
                  <w:r w:rsidRPr="007B12DF">
                    <w:rPr>
                      <w:spacing w:val="-2"/>
                    </w:rPr>
                    <w:t>підпункт 5 пункту 2.2 ЛУ</w:t>
                  </w:r>
                  <w:r w:rsidRPr="007B12DF">
                    <w:t xml:space="preserve"> № 1469</w:t>
                  </w:r>
                </w:p>
              </w:tc>
            </w:tr>
          </w:tbl>
          <w:p w:rsidR="007F4594" w:rsidRDefault="007F4594" w:rsidP="007F4594">
            <w:pPr>
              <w:ind w:firstLine="308"/>
              <w:jc w:val="both"/>
              <w:rPr>
                <w:sz w:val="22"/>
                <w:szCs w:val="22"/>
                <w:shd w:val="clear" w:color="auto" w:fill="FFFFFF"/>
              </w:rPr>
            </w:pPr>
          </w:p>
          <w:p w:rsidR="007F4594" w:rsidRDefault="007F4594" w:rsidP="007F4594">
            <w:pPr>
              <w:ind w:firstLine="308"/>
              <w:jc w:val="both"/>
              <w:rPr>
                <w:sz w:val="22"/>
                <w:szCs w:val="22"/>
                <w:shd w:val="clear" w:color="auto" w:fill="FFFFFF"/>
              </w:rPr>
            </w:pPr>
          </w:p>
          <w:p w:rsidR="007F4594" w:rsidRPr="009D3827" w:rsidRDefault="007F4594" w:rsidP="007F4594">
            <w:pPr>
              <w:ind w:firstLine="308"/>
              <w:jc w:val="both"/>
              <w:rPr>
                <w:sz w:val="22"/>
                <w:szCs w:val="22"/>
                <w:shd w:val="clear" w:color="auto" w:fill="FFFFFF"/>
              </w:rPr>
            </w:pPr>
          </w:p>
        </w:tc>
        <w:tc>
          <w:tcPr>
            <w:tcW w:w="5066" w:type="dxa"/>
            <w:shd w:val="clear" w:color="auto" w:fill="auto"/>
          </w:tcPr>
          <w:p w:rsidR="007F4594" w:rsidRPr="00A32689" w:rsidRDefault="007F4594" w:rsidP="007F4594">
            <w:pPr>
              <w:ind w:firstLine="308"/>
              <w:jc w:val="both"/>
              <w:rPr>
                <w:i/>
                <w:sz w:val="22"/>
                <w:szCs w:val="22"/>
                <w:shd w:val="clear" w:color="auto" w:fill="FFFFFF"/>
              </w:rPr>
            </w:pPr>
            <w:r w:rsidRPr="00A32689">
              <w:rPr>
                <w:i/>
                <w:sz w:val="22"/>
                <w:szCs w:val="22"/>
                <w:shd w:val="clear" w:color="auto" w:fill="FFFFFF"/>
              </w:rPr>
              <w:t>ДПЗД «УКРІНТЕРЕНЕРГО»</w:t>
            </w:r>
          </w:p>
          <w:p w:rsidR="007F4594" w:rsidRPr="00A32689" w:rsidRDefault="007F4594" w:rsidP="007F4594">
            <w:pPr>
              <w:ind w:firstLine="308"/>
              <w:jc w:val="both"/>
              <w:rPr>
                <w:i/>
                <w:sz w:val="22"/>
                <w:szCs w:val="22"/>
                <w:shd w:val="clear" w:color="auto" w:fill="FFFFFF"/>
              </w:rPr>
            </w:pPr>
          </w:p>
          <w:p w:rsidR="007F4594" w:rsidRPr="00A32689" w:rsidRDefault="007F4594" w:rsidP="007F4594">
            <w:pPr>
              <w:ind w:firstLine="308"/>
              <w:jc w:val="both"/>
              <w:rPr>
                <w:sz w:val="22"/>
                <w:szCs w:val="22"/>
              </w:rPr>
            </w:pPr>
            <w:r w:rsidRPr="00A32689">
              <w:rPr>
                <w:sz w:val="22"/>
                <w:szCs w:val="22"/>
              </w:rPr>
              <w:t xml:space="preserve">1.6. </w:t>
            </w:r>
            <w:r w:rsidRPr="00A32689">
              <w:rPr>
                <w:i/>
                <w:iCs/>
                <w:sz w:val="22"/>
                <w:szCs w:val="22"/>
              </w:rPr>
              <w:t>Ліцензіат</w:t>
            </w:r>
            <w:r w:rsidRPr="00A32689">
              <w:rPr>
                <w:sz w:val="22"/>
                <w:szCs w:val="22"/>
              </w:rPr>
              <w:t xml:space="preserve"> виконує рішення НКРЕКП у строки, встановлені відповідними рішеннями та законодавством.</w:t>
            </w:r>
          </w:p>
          <w:p w:rsidR="007F4594" w:rsidRPr="00A32689" w:rsidRDefault="007F4594" w:rsidP="007F4594">
            <w:pPr>
              <w:ind w:firstLine="308"/>
              <w:jc w:val="both"/>
              <w:rPr>
                <w:i/>
                <w:sz w:val="22"/>
                <w:szCs w:val="22"/>
                <w:shd w:val="clear" w:color="auto" w:fill="FFFFFF"/>
              </w:rPr>
            </w:pPr>
            <w:r w:rsidRPr="00A32689">
              <w:rPr>
                <w:b/>
                <w:bCs/>
                <w:sz w:val="22"/>
                <w:szCs w:val="22"/>
              </w:rPr>
              <w:t>Виконання рішень НКРЕКП постачальником «останньої надії» перевіряється з урахуванням об’єктивно можливих та виконаних постачальником електричної енергії заходів з виконання рішень НКРЕКП та вимог законодавства</w:t>
            </w:r>
          </w:p>
          <w:p w:rsidR="007F4594" w:rsidRDefault="007F4594" w:rsidP="007F4594">
            <w:pPr>
              <w:ind w:firstLine="308"/>
              <w:jc w:val="both"/>
              <w:rPr>
                <w:i/>
                <w:sz w:val="22"/>
                <w:szCs w:val="22"/>
                <w:shd w:val="clear" w:color="auto" w:fill="FFFFFF"/>
              </w:rPr>
            </w:pPr>
          </w:p>
          <w:p w:rsidR="007F4594" w:rsidRPr="00682EAB" w:rsidRDefault="007F4594" w:rsidP="007F4594">
            <w:pPr>
              <w:ind w:firstLine="308"/>
              <w:jc w:val="both"/>
              <w:rPr>
                <w:i/>
                <w:sz w:val="22"/>
                <w:szCs w:val="22"/>
                <w:shd w:val="clear" w:color="auto" w:fill="FFFFFF"/>
              </w:rPr>
            </w:pPr>
            <w:r w:rsidRPr="00682EAB">
              <w:rPr>
                <w:i/>
                <w:sz w:val="22"/>
                <w:szCs w:val="22"/>
                <w:shd w:val="clear" w:color="auto" w:fill="FFFFFF"/>
              </w:rPr>
              <w:t>ОБҐРУНТУВАННЯ:</w:t>
            </w:r>
          </w:p>
          <w:p w:rsidR="007F4594" w:rsidRPr="00A32689" w:rsidRDefault="007F4594" w:rsidP="007F4594">
            <w:pPr>
              <w:ind w:firstLine="308"/>
              <w:jc w:val="both"/>
              <w:rPr>
                <w:i/>
                <w:sz w:val="22"/>
                <w:szCs w:val="22"/>
                <w:shd w:val="clear" w:color="auto" w:fill="FFFFFF"/>
              </w:rPr>
            </w:pPr>
            <w:r w:rsidRPr="00682EAB">
              <w:rPr>
                <w:i/>
                <w:sz w:val="22"/>
                <w:szCs w:val="22"/>
              </w:rPr>
              <w:t xml:space="preserve">Оскільки питання, які стосуються перевірки дотримання вимог законодавства та ліцензійних умов постачальником  «останньої надії»,  зазначені у додатку 8 окремо від цього загального для постачальників електричної енергії переліку питань для перевірки, вважаємо за необхідне додати абзац  у наведеній редакції. Виконати рішення НКРЕКП прийняті за результатом перевірок постачальника «останньої надії» у більшості випадків зафіксованих в актах перевірок порушень не є можливим об’єктивно, попри вжиття всіх необхідних заходів з виконання рішень НКРЕКП. Зокрема врегулювати питання взаєморозрахунків з ПРАТ НЕК «Укренерго» у </w:t>
            </w:r>
            <w:r w:rsidRPr="00682EAB">
              <w:rPr>
                <w:i/>
                <w:sz w:val="22"/>
                <w:szCs w:val="22"/>
              </w:rPr>
              <w:lastRenderedPageBreak/>
              <w:t>встановлені постановами та розпорядженнями НКРЕКП за наслідками перевірок провадження діяльності постачальника «останньої надії» неможливо у зв’язку із  тривалим, протягом років, розглядом спорів в судах всіх інстанцій та поверненнями справ на новий розгляд за нововиявленими обставинами.</w:t>
            </w:r>
          </w:p>
        </w:tc>
        <w:tc>
          <w:tcPr>
            <w:tcW w:w="5066" w:type="dxa"/>
            <w:shd w:val="clear" w:color="auto" w:fill="auto"/>
            <w:vAlign w:val="center"/>
          </w:tcPr>
          <w:p w:rsidR="007F4594" w:rsidRPr="00EB305A" w:rsidRDefault="007F4594" w:rsidP="007F4594">
            <w:pPr>
              <w:rPr>
                <w:b/>
                <w:sz w:val="22"/>
                <w:szCs w:val="22"/>
              </w:rPr>
            </w:pPr>
            <w:r w:rsidRPr="00EB305A">
              <w:rPr>
                <w:b/>
                <w:sz w:val="22"/>
                <w:szCs w:val="22"/>
              </w:rPr>
              <w:lastRenderedPageBreak/>
              <w:t>Не враховано</w:t>
            </w:r>
          </w:p>
          <w:p w:rsidR="007F4594" w:rsidRPr="00EB305A" w:rsidRDefault="007F4594" w:rsidP="007F4594">
            <w:pPr>
              <w:rPr>
                <w:sz w:val="22"/>
                <w:szCs w:val="22"/>
              </w:rPr>
            </w:pPr>
            <w:r w:rsidRPr="00EB305A">
              <w:rPr>
                <w:sz w:val="22"/>
                <w:szCs w:val="22"/>
              </w:rPr>
              <w:t>Загальний підхід до усіх учасників ринку.</w:t>
            </w:r>
          </w:p>
          <w:p w:rsidR="007F4594" w:rsidRDefault="007F4594" w:rsidP="007F4594">
            <w:pPr>
              <w:rPr>
                <w:sz w:val="22"/>
                <w:szCs w:val="22"/>
              </w:rPr>
            </w:pPr>
          </w:p>
          <w:p w:rsidR="007F4594" w:rsidRDefault="007F4594" w:rsidP="007F4594">
            <w:pPr>
              <w:rPr>
                <w:sz w:val="22"/>
                <w:szCs w:val="22"/>
              </w:rPr>
            </w:pPr>
          </w:p>
          <w:p w:rsidR="007F4594" w:rsidRPr="00DE216B" w:rsidRDefault="007F4594" w:rsidP="007F4594">
            <w:pPr>
              <w:rPr>
                <w:sz w:val="22"/>
                <w:szCs w:val="22"/>
              </w:rPr>
            </w:pPr>
          </w:p>
          <w:p w:rsidR="007F4594" w:rsidRPr="00DE216B" w:rsidRDefault="007F4594" w:rsidP="007F4594">
            <w:pPr>
              <w:rPr>
                <w:sz w:val="22"/>
                <w:szCs w:val="22"/>
              </w:rPr>
            </w:pPr>
            <w:r w:rsidRPr="00DE216B">
              <w:rPr>
                <w:b/>
                <w:sz w:val="22"/>
                <w:szCs w:val="22"/>
              </w:rPr>
              <w:t>Не враховано, оскільки не відповідає вимогам ліцензійних умов.</w:t>
            </w:r>
            <w:r w:rsidRPr="00DE216B">
              <w:rPr>
                <w:b/>
                <w:sz w:val="22"/>
                <w:szCs w:val="22"/>
              </w:rPr>
              <w:br/>
              <w:t>При цьому, у разі об’єктивної неможливості виконати рішення НКРЕКП, Ліцензіат має право звернутися до НКРЕКП із проханням про продовження строку виконання такого рішення</w:t>
            </w:r>
          </w:p>
          <w:p w:rsidR="007F4594" w:rsidRPr="00DE216B" w:rsidRDefault="007F4594" w:rsidP="007F4594">
            <w:pPr>
              <w:rPr>
                <w:sz w:val="22"/>
                <w:szCs w:val="22"/>
              </w:rPr>
            </w:pPr>
          </w:p>
          <w:p w:rsidR="007F4594" w:rsidRPr="00DE216B" w:rsidRDefault="007F4594" w:rsidP="007F4594">
            <w:pPr>
              <w:rPr>
                <w:sz w:val="22"/>
                <w:szCs w:val="22"/>
              </w:rPr>
            </w:pPr>
          </w:p>
          <w:p w:rsidR="007F4594" w:rsidRDefault="007F4594" w:rsidP="007F4594">
            <w:pPr>
              <w:rPr>
                <w:sz w:val="22"/>
                <w:szCs w:val="22"/>
              </w:rPr>
            </w:pPr>
          </w:p>
          <w:p w:rsidR="007F4594" w:rsidRDefault="007F4594" w:rsidP="007F4594">
            <w:pPr>
              <w:rPr>
                <w:sz w:val="22"/>
                <w:szCs w:val="22"/>
              </w:rPr>
            </w:pPr>
          </w:p>
          <w:p w:rsidR="007F4594" w:rsidRDefault="007F4594" w:rsidP="007F4594">
            <w:pPr>
              <w:rPr>
                <w:sz w:val="22"/>
                <w:szCs w:val="22"/>
              </w:rPr>
            </w:pPr>
          </w:p>
          <w:p w:rsidR="007F4594" w:rsidRDefault="007F4594" w:rsidP="007F4594">
            <w:pPr>
              <w:rPr>
                <w:sz w:val="22"/>
                <w:szCs w:val="22"/>
              </w:rPr>
            </w:pPr>
          </w:p>
          <w:p w:rsidR="007F4594" w:rsidRDefault="007F4594" w:rsidP="007F4594">
            <w:pPr>
              <w:rPr>
                <w:sz w:val="22"/>
                <w:szCs w:val="22"/>
              </w:rPr>
            </w:pPr>
          </w:p>
          <w:p w:rsidR="007F4594" w:rsidRDefault="007F4594" w:rsidP="007F4594">
            <w:pPr>
              <w:rPr>
                <w:sz w:val="22"/>
                <w:szCs w:val="22"/>
              </w:rPr>
            </w:pPr>
          </w:p>
          <w:p w:rsidR="007F4594" w:rsidRDefault="007F4594" w:rsidP="007F4594">
            <w:pPr>
              <w:rPr>
                <w:sz w:val="22"/>
                <w:szCs w:val="22"/>
              </w:rPr>
            </w:pPr>
          </w:p>
          <w:p w:rsidR="007F4594" w:rsidRDefault="007F4594" w:rsidP="007F4594">
            <w:pPr>
              <w:rPr>
                <w:sz w:val="22"/>
                <w:szCs w:val="22"/>
              </w:rPr>
            </w:pPr>
          </w:p>
          <w:p w:rsidR="007F4594" w:rsidRDefault="007F4594" w:rsidP="007F4594">
            <w:pPr>
              <w:rPr>
                <w:sz w:val="22"/>
                <w:szCs w:val="22"/>
              </w:rPr>
            </w:pPr>
          </w:p>
          <w:p w:rsidR="007F4594" w:rsidRDefault="007F4594" w:rsidP="007F4594">
            <w:pPr>
              <w:rPr>
                <w:sz w:val="22"/>
                <w:szCs w:val="22"/>
              </w:rPr>
            </w:pPr>
          </w:p>
          <w:p w:rsidR="007F4594" w:rsidRDefault="007F4594" w:rsidP="007F4594">
            <w:pPr>
              <w:rPr>
                <w:sz w:val="22"/>
                <w:szCs w:val="22"/>
              </w:rPr>
            </w:pPr>
          </w:p>
          <w:p w:rsidR="007F4594" w:rsidRDefault="007F4594" w:rsidP="007F4594">
            <w:pPr>
              <w:rPr>
                <w:sz w:val="22"/>
                <w:szCs w:val="22"/>
              </w:rPr>
            </w:pPr>
          </w:p>
          <w:p w:rsidR="007F4594" w:rsidRDefault="007F4594" w:rsidP="007F4594">
            <w:pPr>
              <w:rPr>
                <w:sz w:val="22"/>
                <w:szCs w:val="22"/>
              </w:rPr>
            </w:pPr>
          </w:p>
          <w:p w:rsidR="007F4594" w:rsidRDefault="007F4594" w:rsidP="007F4594">
            <w:pPr>
              <w:rPr>
                <w:sz w:val="22"/>
                <w:szCs w:val="22"/>
              </w:rPr>
            </w:pPr>
          </w:p>
          <w:p w:rsidR="007F4594" w:rsidRDefault="007F4594" w:rsidP="007F4594">
            <w:pPr>
              <w:rPr>
                <w:sz w:val="22"/>
                <w:szCs w:val="22"/>
              </w:rPr>
            </w:pPr>
          </w:p>
          <w:p w:rsidR="007F4594" w:rsidRDefault="007F4594" w:rsidP="007F4594">
            <w:pPr>
              <w:rPr>
                <w:sz w:val="22"/>
                <w:szCs w:val="22"/>
              </w:rPr>
            </w:pPr>
          </w:p>
          <w:p w:rsidR="007F4594" w:rsidRPr="00BC5EE2" w:rsidRDefault="007F4594" w:rsidP="007F4594">
            <w:pPr>
              <w:rPr>
                <w:sz w:val="22"/>
                <w:szCs w:val="22"/>
              </w:rPr>
            </w:pPr>
          </w:p>
        </w:tc>
      </w:tr>
      <w:tr w:rsidR="007F4594" w:rsidRPr="009D3827" w:rsidTr="00276080">
        <w:trPr>
          <w:trHeight w:val="595"/>
        </w:trPr>
        <w:tc>
          <w:tcPr>
            <w:tcW w:w="5065" w:type="dxa"/>
            <w:shd w:val="clear" w:color="auto" w:fill="auto"/>
          </w:tcPr>
          <w:p w:rsidR="007F4594" w:rsidRDefault="007F4594" w:rsidP="007F4594">
            <w:pPr>
              <w:ind w:firstLine="308"/>
              <w:jc w:val="both"/>
              <w:rPr>
                <w:sz w:val="22"/>
                <w:szCs w:val="22"/>
                <w:shd w:val="clear" w:color="auto" w:fill="FFFFFF"/>
              </w:rPr>
            </w:pPr>
          </w:p>
          <w:p w:rsidR="007F4594" w:rsidRDefault="007F4594" w:rsidP="007F4594">
            <w:pPr>
              <w:ind w:firstLine="308"/>
              <w:jc w:val="both"/>
              <w:rPr>
                <w:sz w:val="22"/>
                <w:szCs w:val="22"/>
                <w:shd w:val="clear" w:color="auto" w:fill="FFFFFF"/>
              </w:rPr>
            </w:pPr>
          </w:p>
          <w:tbl>
            <w:tblPr>
              <w:tblW w:w="4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398"/>
              <w:gridCol w:w="1814"/>
              <w:gridCol w:w="680"/>
              <w:gridCol w:w="221"/>
              <w:gridCol w:w="222"/>
              <w:gridCol w:w="223"/>
              <w:gridCol w:w="1218"/>
            </w:tblGrid>
            <w:tr w:rsidR="007F4594" w:rsidRPr="007B12DF" w:rsidTr="007D2605">
              <w:trPr>
                <w:trHeight w:val="20"/>
              </w:trPr>
              <w:tc>
                <w:tcPr>
                  <w:tcW w:w="417" w:type="pct"/>
                </w:tcPr>
                <w:p w:rsidR="007F4594" w:rsidRPr="007B12DF" w:rsidRDefault="007F4594" w:rsidP="007F4594">
                  <w:pPr>
                    <w:ind w:left="-28" w:right="-28"/>
                    <w:jc w:val="center"/>
                    <w:rPr>
                      <w:lang w:eastAsia="uk-UA"/>
                    </w:rPr>
                  </w:pPr>
                  <w:r w:rsidRPr="007B12DF">
                    <w:rPr>
                      <w:lang w:eastAsia="uk-UA"/>
                    </w:rPr>
                    <w:t>3.2</w:t>
                  </w:r>
                </w:p>
              </w:tc>
              <w:tc>
                <w:tcPr>
                  <w:tcW w:w="1899" w:type="pct"/>
                </w:tcPr>
                <w:p w:rsidR="007F4594" w:rsidRPr="007B12DF" w:rsidRDefault="007F4594" w:rsidP="007F4594">
                  <w:pPr>
                    <w:ind w:left="-57" w:right="-57"/>
                    <w:jc w:val="center"/>
                    <w:rPr>
                      <w:lang w:eastAsia="uk-UA"/>
                    </w:rPr>
                  </w:pPr>
                  <w:r w:rsidRPr="007B12DF">
                    <w:t>Ліцензіат провадить діяльність за наявності договорів, укладення яких є обов’язковим для здійснення діяльності на ринку електричної енергії, виконує умови цих договорів</w:t>
                  </w:r>
                  <w:r w:rsidRPr="007B12DF">
                    <w:rPr>
                      <w:lang w:eastAsia="uk-UA"/>
                    </w:rPr>
                    <w:t>, не надає пропозиції та не укладає договори, які містять положення, що суперечать Закону України "Про ринок електричної енергії" та цим Ліцензійним умовам, а також своєчасно та в повному обсязі сплачує за електричну енергію, куплену на ринку електричної енергії, та послуги, що надаються на ринку електричної енергії.</w:t>
                  </w:r>
                </w:p>
                <w:p w:rsidR="007F4594" w:rsidRPr="007B12DF" w:rsidRDefault="007F4594" w:rsidP="007F4594">
                  <w:pPr>
                    <w:ind w:left="-57" w:right="-57"/>
                    <w:jc w:val="center"/>
                    <w:rPr>
                      <w:lang w:eastAsia="uk-UA"/>
                    </w:rPr>
                  </w:pPr>
                  <w:r w:rsidRPr="007B12DF">
                    <w:rPr>
                      <w:lang w:eastAsia="uk-UA"/>
                    </w:rPr>
                    <w:t xml:space="preserve">При проведенні розрахунків за отримані послуги з передачі та розподілу </w:t>
                  </w:r>
                  <w:r w:rsidRPr="007B12DF">
                    <w:rPr>
                      <w:lang w:eastAsia="uk-UA"/>
                    </w:rPr>
                    <w:lastRenderedPageBreak/>
                    <w:t>електричної енергії Ліцензіат забезпечує недискримінаційність та пропорційність розрахунків перед операторами систем за відповідний розрахунковий період (місяць)</w:t>
                  </w:r>
                </w:p>
              </w:tc>
              <w:tc>
                <w:tcPr>
                  <w:tcW w:w="712" w:type="pct"/>
                </w:tcPr>
                <w:p w:rsidR="007F4594" w:rsidRPr="007B12DF" w:rsidRDefault="007F4594" w:rsidP="007F4594">
                  <w:pPr>
                    <w:keepNext/>
                    <w:ind w:left="-28" w:right="-28"/>
                    <w:jc w:val="center"/>
                    <w:rPr>
                      <w:bCs/>
                      <w:lang w:eastAsia="uk-UA"/>
                    </w:rPr>
                  </w:pPr>
                </w:p>
              </w:tc>
              <w:tc>
                <w:tcPr>
                  <w:tcW w:w="231" w:type="pct"/>
                </w:tcPr>
                <w:p w:rsidR="007F4594" w:rsidRPr="007B12DF" w:rsidRDefault="007F4594" w:rsidP="007F4594">
                  <w:pPr>
                    <w:keepNext/>
                    <w:ind w:left="-28" w:right="-28"/>
                    <w:jc w:val="center"/>
                    <w:rPr>
                      <w:bCs/>
                      <w:lang w:eastAsia="uk-UA"/>
                    </w:rPr>
                  </w:pPr>
                </w:p>
              </w:tc>
              <w:tc>
                <w:tcPr>
                  <w:tcW w:w="232" w:type="pct"/>
                </w:tcPr>
                <w:p w:rsidR="007F4594" w:rsidRPr="007B12DF" w:rsidRDefault="007F4594" w:rsidP="007F4594">
                  <w:pPr>
                    <w:keepNext/>
                    <w:ind w:left="-28" w:right="-28"/>
                    <w:jc w:val="center"/>
                    <w:rPr>
                      <w:bCs/>
                      <w:lang w:eastAsia="uk-UA"/>
                    </w:rPr>
                  </w:pPr>
                </w:p>
              </w:tc>
              <w:tc>
                <w:tcPr>
                  <w:tcW w:w="233" w:type="pct"/>
                </w:tcPr>
                <w:p w:rsidR="007F4594" w:rsidRPr="007B12DF" w:rsidRDefault="007F4594" w:rsidP="007F4594">
                  <w:pPr>
                    <w:keepNext/>
                    <w:ind w:left="-28" w:right="-28"/>
                    <w:jc w:val="center"/>
                    <w:rPr>
                      <w:bCs/>
                      <w:lang w:eastAsia="uk-UA"/>
                    </w:rPr>
                  </w:pPr>
                </w:p>
              </w:tc>
              <w:tc>
                <w:tcPr>
                  <w:tcW w:w="1275" w:type="pct"/>
                </w:tcPr>
                <w:p w:rsidR="007F4594" w:rsidRPr="007B12DF" w:rsidRDefault="007F4594" w:rsidP="007F4594">
                  <w:pPr>
                    <w:keepNext/>
                    <w:ind w:left="-28" w:right="-28"/>
                    <w:jc w:val="center"/>
                    <w:rPr>
                      <w:bCs/>
                      <w:lang w:eastAsia="uk-UA"/>
                    </w:rPr>
                  </w:pPr>
                  <w:r w:rsidRPr="007B12DF">
                    <w:rPr>
                      <w:bCs/>
                      <w:lang w:eastAsia="uk-UA"/>
                    </w:rPr>
                    <w:t xml:space="preserve">стаття 66 </w:t>
                  </w:r>
                </w:p>
                <w:p w:rsidR="007F4594" w:rsidRPr="007B12DF" w:rsidRDefault="007F4594" w:rsidP="007F4594">
                  <w:pPr>
                    <w:keepNext/>
                    <w:ind w:left="-28" w:right="-28"/>
                    <w:jc w:val="center"/>
                    <w:rPr>
                      <w:bCs/>
                      <w:lang w:eastAsia="uk-UA"/>
                    </w:rPr>
                  </w:pPr>
                  <w:r w:rsidRPr="007B12DF">
                    <w:t>ЗУ № 2019-VIII</w:t>
                  </w:r>
                  <w:r w:rsidRPr="007B12DF">
                    <w:rPr>
                      <w:bCs/>
                      <w:lang w:eastAsia="uk-UA"/>
                    </w:rPr>
                    <w:t>;</w:t>
                  </w:r>
                </w:p>
                <w:p w:rsidR="007F4594" w:rsidRPr="007B12DF" w:rsidRDefault="007F4594" w:rsidP="007F4594">
                  <w:pPr>
                    <w:keepNext/>
                    <w:ind w:left="-28" w:right="-28"/>
                    <w:jc w:val="center"/>
                    <w:rPr>
                      <w:bCs/>
                      <w:lang w:eastAsia="uk-UA"/>
                    </w:rPr>
                  </w:pPr>
                  <w:r w:rsidRPr="007B12DF">
                    <w:rPr>
                      <w:bCs/>
                      <w:lang w:eastAsia="uk-UA"/>
                    </w:rPr>
                    <w:t>підпункти 13, 22, 29 пункту 2.2 ЛУ № 1469</w:t>
                  </w:r>
                </w:p>
              </w:tc>
            </w:tr>
          </w:tbl>
          <w:p w:rsidR="007F4594" w:rsidRPr="009D3827" w:rsidRDefault="007F4594" w:rsidP="007F4594">
            <w:pPr>
              <w:jc w:val="both"/>
              <w:rPr>
                <w:sz w:val="22"/>
                <w:szCs w:val="22"/>
                <w:shd w:val="clear" w:color="auto" w:fill="FFFFFF"/>
              </w:rPr>
            </w:pPr>
          </w:p>
        </w:tc>
        <w:tc>
          <w:tcPr>
            <w:tcW w:w="5066" w:type="dxa"/>
            <w:shd w:val="clear" w:color="auto" w:fill="auto"/>
          </w:tcPr>
          <w:p w:rsidR="007F4594" w:rsidRPr="00A1470B" w:rsidRDefault="007F4594" w:rsidP="007F4594">
            <w:pPr>
              <w:ind w:firstLine="308"/>
              <w:jc w:val="both"/>
              <w:rPr>
                <w:i/>
                <w:sz w:val="22"/>
                <w:szCs w:val="22"/>
                <w:shd w:val="clear" w:color="auto" w:fill="FFFFFF"/>
              </w:rPr>
            </w:pPr>
            <w:r w:rsidRPr="00A1470B">
              <w:rPr>
                <w:i/>
                <w:sz w:val="22"/>
                <w:szCs w:val="22"/>
                <w:shd w:val="clear" w:color="auto" w:fill="FFFFFF"/>
              </w:rPr>
              <w:lastRenderedPageBreak/>
              <w:t>ДПЗД «УКРІНТЕРЕНЕРГО»</w:t>
            </w:r>
          </w:p>
          <w:p w:rsidR="007F4594" w:rsidRPr="00A1470B" w:rsidRDefault="007F4594" w:rsidP="007F4594">
            <w:pPr>
              <w:ind w:firstLine="308"/>
              <w:jc w:val="both"/>
              <w:rPr>
                <w:i/>
                <w:sz w:val="22"/>
                <w:szCs w:val="22"/>
                <w:shd w:val="clear" w:color="auto" w:fill="FFFFFF"/>
              </w:rPr>
            </w:pPr>
          </w:p>
          <w:p w:rsidR="007F4594" w:rsidRPr="00A1470B" w:rsidRDefault="007F4594" w:rsidP="007F4594">
            <w:pPr>
              <w:ind w:firstLine="308"/>
              <w:jc w:val="both"/>
              <w:rPr>
                <w:sz w:val="22"/>
                <w:szCs w:val="22"/>
              </w:rPr>
            </w:pPr>
            <w:r w:rsidRPr="00A1470B">
              <w:rPr>
                <w:sz w:val="22"/>
                <w:szCs w:val="22"/>
              </w:rPr>
              <w:t>3.2. Ліцензіат провадить діяльність за наявності договорів, укладення яких є обов’язковим для здійснення діяльності на ринку електричної енергії, виконує умови цих договорів, не надає пропозиції та не укладає договори, які містять положення, що суперечать Закону України "Про ринок електричної енергії" та цим Ліцензійним умовам, а також своєчасно та в повному обсязі сплачує за електричну енергію, куплену на ринку електричної енергії, та послуги, що надаються на ринку електричної енергії.</w:t>
            </w:r>
          </w:p>
          <w:p w:rsidR="007F4594" w:rsidRPr="00A1470B" w:rsidRDefault="007F4594" w:rsidP="007F4594">
            <w:pPr>
              <w:ind w:firstLine="308"/>
              <w:jc w:val="both"/>
              <w:rPr>
                <w:b/>
                <w:bCs/>
                <w:sz w:val="22"/>
                <w:szCs w:val="22"/>
              </w:rPr>
            </w:pPr>
            <w:r w:rsidRPr="00A1470B">
              <w:rPr>
                <w:b/>
                <w:sz w:val="22"/>
                <w:szCs w:val="22"/>
              </w:rPr>
              <w:t>Виконання</w:t>
            </w:r>
            <w:r w:rsidRPr="00A1470B">
              <w:rPr>
                <w:b/>
                <w:bCs/>
                <w:sz w:val="22"/>
                <w:szCs w:val="22"/>
              </w:rPr>
              <w:t xml:space="preserve"> постачальником «останньої надії» умов договорів, укладення яких є обов’язковим для здійснення діяльності на ринку електричної енергії,  своєчасність та  оплату у повному обсязі електричної енергії оцінюються з урахуванням стану розрахунків споживачів постачальника «останньої надії», вірності визначення операторами системи періодів та сум постачання електричної енергії постачальником «останньої надії», наявності та стану   судових проваджень з питань оскарження дій операторів системи та споживачів постачальника «останньої надії».</w:t>
            </w:r>
          </w:p>
          <w:p w:rsidR="007F4594" w:rsidRPr="00A1470B" w:rsidRDefault="007F4594" w:rsidP="007F4594">
            <w:pPr>
              <w:ind w:firstLine="308"/>
              <w:jc w:val="both"/>
              <w:rPr>
                <w:i/>
                <w:sz w:val="22"/>
                <w:szCs w:val="22"/>
                <w:shd w:val="clear" w:color="auto" w:fill="FFFFFF"/>
              </w:rPr>
            </w:pPr>
            <w:r w:rsidRPr="00A1470B">
              <w:rPr>
                <w:sz w:val="22"/>
                <w:szCs w:val="22"/>
              </w:rPr>
              <w:t>При проведенні розрахунків за отримані послуги з передачі та розподілу електричної енергії Ліцензіат забезпечує недискримінаційність та пропорційність розрахунків перед операторами систем за відповідний розрахунковий період (місяць).</w:t>
            </w:r>
          </w:p>
          <w:p w:rsidR="007F4594" w:rsidRPr="00A1470B" w:rsidRDefault="007F4594" w:rsidP="007F4594">
            <w:pPr>
              <w:ind w:firstLine="308"/>
              <w:jc w:val="both"/>
              <w:rPr>
                <w:i/>
                <w:sz w:val="22"/>
                <w:szCs w:val="22"/>
                <w:shd w:val="clear" w:color="auto" w:fill="FFFFFF"/>
              </w:rPr>
            </w:pPr>
          </w:p>
          <w:p w:rsidR="007F4594" w:rsidRPr="00682EAB" w:rsidRDefault="007F4594" w:rsidP="007F4594">
            <w:pPr>
              <w:ind w:firstLine="308"/>
              <w:jc w:val="both"/>
              <w:rPr>
                <w:sz w:val="22"/>
                <w:szCs w:val="22"/>
                <w:shd w:val="clear" w:color="auto" w:fill="FFFFFF"/>
              </w:rPr>
            </w:pPr>
            <w:r w:rsidRPr="00682EAB">
              <w:rPr>
                <w:sz w:val="22"/>
                <w:szCs w:val="22"/>
                <w:shd w:val="clear" w:color="auto" w:fill="FFFFFF"/>
              </w:rPr>
              <w:t>ОБҐРУНТУВАННЯ:</w:t>
            </w:r>
          </w:p>
          <w:p w:rsidR="007F4594" w:rsidRPr="00A1470B" w:rsidRDefault="007F4594" w:rsidP="007F4594">
            <w:pPr>
              <w:ind w:firstLine="308"/>
              <w:jc w:val="both"/>
              <w:rPr>
                <w:i/>
                <w:sz w:val="22"/>
                <w:szCs w:val="22"/>
                <w:shd w:val="clear" w:color="auto" w:fill="FFFFFF"/>
              </w:rPr>
            </w:pPr>
            <w:r w:rsidRPr="00682EAB">
              <w:rPr>
                <w:sz w:val="22"/>
                <w:szCs w:val="22"/>
              </w:rPr>
              <w:t>Обґрунтування наведено вище. Також вважаємо, що умисне перекладення обсягів постачання в Датахаб на постачальника останньої надії операторами системи є також фактором та підставою, яка має бути оцінена саме для постачальника «останньої надії» як виключення.</w:t>
            </w:r>
          </w:p>
        </w:tc>
        <w:tc>
          <w:tcPr>
            <w:tcW w:w="5066" w:type="dxa"/>
            <w:shd w:val="clear" w:color="auto" w:fill="auto"/>
            <w:vAlign w:val="center"/>
          </w:tcPr>
          <w:p w:rsidR="007F4594" w:rsidRPr="00C1599C" w:rsidRDefault="007F4594" w:rsidP="007F4594">
            <w:pPr>
              <w:rPr>
                <w:b/>
                <w:color w:val="FF0000"/>
                <w:sz w:val="22"/>
                <w:szCs w:val="22"/>
              </w:rPr>
            </w:pPr>
            <w:r w:rsidRPr="00DE216B">
              <w:rPr>
                <w:b/>
                <w:sz w:val="22"/>
                <w:szCs w:val="22"/>
              </w:rPr>
              <w:lastRenderedPageBreak/>
              <w:t>Не враховано, оскільки суперечить вимогам Ліцензійних умов та законодавству</w:t>
            </w:r>
          </w:p>
        </w:tc>
      </w:tr>
      <w:tr w:rsidR="007F4594" w:rsidRPr="009D3827" w:rsidTr="00276080">
        <w:trPr>
          <w:trHeight w:val="595"/>
        </w:trPr>
        <w:tc>
          <w:tcPr>
            <w:tcW w:w="5065" w:type="dxa"/>
            <w:shd w:val="clear" w:color="auto" w:fill="auto"/>
          </w:tcPr>
          <w:p w:rsidR="007F4594" w:rsidRPr="009D3827" w:rsidRDefault="007F4594" w:rsidP="007F4594">
            <w:pPr>
              <w:ind w:firstLine="308"/>
              <w:jc w:val="both"/>
              <w:rPr>
                <w:sz w:val="22"/>
                <w:szCs w:val="22"/>
                <w:shd w:val="clear" w:color="auto" w:fill="FFFFFF"/>
              </w:rPr>
            </w:pPr>
          </w:p>
          <w:p w:rsidR="007F4594" w:rsidRPr="009D3827" w:rsidRDefault="007F4594" w:rsidP="007F4594">
            <w:pPr>
              <w:ind w:firstLine="308"/>
              <w:jc w:val="both"/>
              <w:rPr>
                <w:sz w:val="22"/>
                <w:szCs w:val="22"/>
                <w:shd w:val="clear" w:color="auto" w:fill="FFFFFF"/>
              </w:rPr>
            </w:pPr>
          </w:p>
          <w:tbl>
            <w:tblPr>
              <w:tblW w:w="47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488"/>
              <w:gridCol w:w="1825"/>
              <w:gridCol w:w="567"/>
              <w:gridCol w:w="221"/>
              <w:gridCol w:w="223"/>
              <w:gridCol w:w="223"/>
              <w:gridCol w:w="1246"/>
            </w:tblGrid>
            <w:tr w:rsidR="007F4594" w:rsidRPr="009D3827" w:rsidTr="00DE1A9D">
              <w:trPr>
                <w:trHeight w:val="20"/>
              </w:trPr>
              <w:tc>
                <w:tcPr>
                  <w:tcW w:w="508" w:type="pct"/>
                </w:tcPr>
                <w:p w:rsidR="007F4594" w:rsidRPr="009D3827" w:rsidRDefault="007F4594" w:rsidP="007F4594">
                  <w:pPr>
                    <w:ind w:left="-28" w:right="-28"/>
                    <w:jc w:val="center"/>
                    <w:rPr>
                      <w:lang w:eastAsia="uk-UA"/>
                    </w:rPr>
                  </w:pPr>
                  <w:r w:rsidRPr="009D3827">
                    <w:rPr>
                      <w:lang w:eastAsia="uk-UA"/>
                    </w:rPr>
                    <w:t>3.3</w:t>
                  </w:r>
                </w:p>
              </w:tc>
              <w:tc>
                <w:tcPr>
                  <w:tcW w:w="1904" w:type="pct"/>
                </w:tcPr>
                <w:p w:rsidR="007F4594" w:rsidRPr="009D3827" w:rsidRDefault="007F4594" w:rsidP="007F4594">
                  <w:pPr>
                    <w:ind w:left="-57" w:right="-57"/>
                    <w:jc w:val="center"/>
                    <w:rPr>
                      <w:lang w:eastAsia="uk-UA"/>
                    </w:rPr>
                  </w:pPr>
                  <w:r w:rsidRPr="009D3827">
                    <w:t xml:space="preserve">Ліцензіат укладає двосторонні договори з урахуванням обмежень, передбачених статтею 66 Закону України "Про ринок електричної енергії", на строк, що не перевищує максимальний строк дії двосторонніх договорів, установлений НКРЕКП, інформує НКРЕКП про укладення двостороннього договору, якщо сторони договору входять до складу одного вертикально інтегрованого суб'єкта, або є афілійованими між собою, у порядку та строки, встановлені НКРЕКП, а також зберігає всі </w:t>
                  </w:r>
                  <w:r w:rsidRPr="009D3827">
                    <w:lastRenderedPageBreak/>
                    <w:t>відомості про укладені двосторонні договори та договори купівлі-продажу електричної енергії на організованих сегментах ринку та імпорту, експорту протягом п'яти років</w:t>
                  </w:r>
                </w:p>
              </w:tc>
              <w:tc>
                <w:tcPr>
                  <w:tcW w:w="591" w:type="pct"/>
                </w:tcPr>
                <w:p w:rsidR="007F4594" w:rsidRPr="009D3827" w:rsidRDefault="007F4594" w:rsidP="007F4594">
                  <w:pPr>
                    <w:keepNext/>
                    <w:ind w:left="-28" w:right="-28"/>
                    <w:jc w:val="center"/>
                    <w:rPr>
                      <w:bCs/>
                      <w:lang w:eastAsia="uk-UA"/>
                    </w:rPr>
                  </w:pPr>
                </w:p>
              </w:tc>
              <w:tc>
                <w:tcPr>
                  <w:tcW w:w="231" w:type="pct"/>
                </w:tcPr>
                <w:p w:rsidR="007F4594" w:rsidRPr="009D3827" w:rsidRDefault="007F4594" w:rsidP="007F4594">
                  <w:pPr>
                    <w:keepNext/>
                    <w:ind w:left="-28" w:right="-28"/>
                    <w:jc w:val="center"/>
                    <w:rPr>
                      <w:bCs/>
                      <w:lang w:eastAsia="uk-UA"/>
                    </w:rPr>
                  </w:pPr>
                </w:p>
              </w:tc>
              <w:tc>
                <w:tcPr>
                  <w:tcW w:w="233" w:type="pct"/>
                </w:tcPr>
                <w:p w:rsidR="007F4594" w:rsidRPr="009D3827" w:rsidRDefault="007F4594" w:rsidP="007F4594">
                  <w:pPr>
                    <w:keepNext/>
                    <w:ind w:left="-28" w:right="-28"/>
                    <w:jc w:val="center"/>
                    <w:rPr>
                      <w:bCs/>
                      <w:lang w:eastAsia="uk-UA"/>
                    </w:rPr>
                  </w:pPr>
                </w:p>
              </w:tc>
              <w:tc>
                <w:tcPr>
                  <w:tcW w:w="233" w:type="pct"/>
                </w:tcPr>
                <w:p w:rsidR="007F4594" w:rsidRPr="009D3827" w:rsidRDefault="007F4594" w:rsidP="007F4594">
                  <w:pPr>
                    <w:keepNext/>
                    <w:ind w:left="-28" w:right="-28"/>
                    <w:jc w:val="center"/>
                    <w:rPr>
                      <w:bCs/>
                      <w:lang w:eastAsia="uk-UA"/>
                    </w:rPr>
                  </w:pPr>
                </w:p>
              </w:tc>
              <w:tc>
                <w:tcPr>
                  <w:tcW w:w="1301" w:type="pct"/>
                </w:tcPr>
                <w:p w:rsidR="007F4594" w:rsidRPr="009D3827" w:rsidRDefault="007F4594" w:rsidP="007F4594">
                  <w:pPr>
                    <w:keepNext/>
                    <w:ind w:left="-28" w:right="-28"/>
                    <w:jc w:val="center"/>
                    <w:rPr>
                      <w:bCs/>
                      <w:lang w:eastAsia="uk-UA"/>
                    </w:rPr>
                  </w:pPr>
                  <w:r w:rsidRPr="009D3827">
                    <w:rPr>
                      <w:bCs/>
                      <w:lang w:eastAsia="uk-UA"/>
                    </w:rPr>
                    <w:t xml:space="preserve">стаття 73 </w:t>
                  </w:r>
                  <w:r w:rsidRPr="009D3827">
                    <w:br/>
                  </w:r>
                  <w:r w:rsidRPr="009D3827">
                    <w:rPr>
                      <w:bCs/>
                      <w:lang w:eastAsia="uk-UA"/>
                    </w:rPr>
                    <w:t>ЗУ № 2019-VIII;</w:t>
                  </w:r>
                </w:p>
                <w:p w:rsidR="007F4594" w:rsidRPr="009D3827" w:rsidRDefault="007F4594" w:rsidP="007F4594">
                  <w:pPr>
                    <w:keepNext/>
                    <w:ind w:left="-28" w:right="-28"/>
                    <w:jc w:val="center"/>
                    <w:rPr>
                      <w:bCs/>
                      <w:lang w:eastAsia="uk-UA"/>
                    </w:rPr>
                  </w:pPr>
                  <w:r w:rsidRPr="009D3827">
                    <w:rPr>
                      <w:bCs/>
                      <w:lang w:eastAsia="uk-UA"/>
                    </w:rPr>
                    <w:t xml:space="preserve">підпункти 18, 19, 21, 28 </w:t>
                  </w:r>
                  <w:r w:rsidRPr="009D3827">
                    <w:rPr>
                      <w:bCs/>
                      <w:lang w:eastAsia="uk-UA"/>
                    </w:rPr>
                    <w:br/>
                    <w:t>пункту 2.2 ЛУ № 1469</w:t>
                  </w:r>
                </w:p>
              </w:tc>
            </w:tr>
          </w:tbl>
          <w:p w:rsidR="007F4594" w:rsidRPr="009D3827" w:rsidRDefault="007F4594" w:rsidP="007F4594">
            <w:pPr>
              <w:ind w:firstLine="308"/>
              <w:jc w:val="both"/>
              <w:rPr>
                <w:sz w:val="22"/>
                <w:szCs w:val="22"/>
                <w:shd w:val="clear" w:color="auto" w:fill="FFFFFF"/>
              </w:rPr>
            </w:pPr>
          </w:p>
          <w:p w:rsidR="007F4594" w:rsidRPr="009D3827" w:rsidRDefault="007F4594" w:rsidP="007F4594">
            <w:pPr>
              <w:ind w:firstLine="308"/>
              <w:jc w:val="both"/>
              <w:rPr>
                <w:sz w:val="22"/>
                <w:szCs w:val="22"/>
                <w:shd w:val="clear" w:color="auto" w:fill="FFFFFF"/>
              </w:rPr>
            </w:pPr>
          </w:p>
          <w:p w:rsidR="007F4594" w:rsidRPr="009D3827" w:rsidRDefault="007F4594" w:rsidP="007F4594">
            <w:pPr>
              <w:ind w:firstLine="308"/>
              <w:jc w:val="both"/>
              <w:rPr>
                <w:sz w:val="22"/>
                <w:szCs w:val="22"/>
                <w:shd w:val="clear" w:color="auto" w:fill="FFFFFF"/>
              </w:rPr>
            </w:pPr>
          </w:p>
        </w:tc>
        <w:tc>
          <w:tcPr>
            <w:tcW w:w="5066" w:type="dxa"/>
            <w:shd w:val="clear" w:color="auto" w:fill="auto"/>
          </w:tcPr>
          <w:p w:rsidR="007F4594" w:rsidRPr="009D3827" w:rsidRDefault="007F4594" w:rsidP="007F4594">
            <w:pPr>
              <w:ind w:firstLine="308"/>
              <w:jc w:val="both"/>
              <w:rPr>
                <w:i/>
                <w:sz w:val="22"/>
                <w:szCs w:val="22"/>
                <w:shd w:val="clear" w:color="auto" w:fill="FFFFFF"/>
              </w:rPr>
            </w:pPr>
            <w:r w:rsidRPr="009D3827">
              <w:rPr>
                <w:i/>
                <w:sz w:val="22"/>
                <w:szCs w:val="22"/>
                <w:shd w:val="clear" w:color="auto" w:fill="FFFFFF"/>
              </w:rPr>
              <w:lastRenderedPageBreak/>
              <w:t>ТОВ «Д.ТРЕЙДІНГ»</w:t>
            </w:r>
          </w:p>
          <w:p w:rsidR="007F4594" w:rsidRPr="009D3827" w:rsidRDefault="007F4594" w:rsidP="007F4594">
            <w:pPr>
              <w:ind w:firstLine="308"/>
              <w:jc w:val="both"/>
              <w:rPr>
                <w:i/>
                <w:sz w:val="22"/>
                <w:szCs w:val="22"/>
                <w:shd w:val="clear" w:color="auto" w:fill="FFFFFF"/>
              </w:rPr>
            </w:pPr>
          </w:p>
          <w:tbl>
            <w:tblPr>
              <w:tblW w:w="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491"/>
              <w:gridCol w:w="1826"/>
              <w:gridCol w:w="567"/>
              <w:gridCol w:w="221"/>
              <w:gridCol w:w="221"/>
              <w:gridCol w:w="221"/>
              <w:gridCol w:w="1245"/>
            </w:tblGrid>
            <w:tr w:rsidR="007F4594" w:rsidRPr="009D3827" w:rsidTr="00DE1A9D">
              <w:trPr>
                <w:trHeight w:val="20"/>
              </w:trPr>
              <w:tc>
                <w:tcPr>
                  <w:tcW w:w="511" w:type="pct"/>
                </w:tcPr>
                <w:p w:rsidR="007F4594" w:rsidRPr="009D3827" w:rsidRDefault="007F4594" w:rsidP="007F4594">
                  <w:pPr>
                    <w:ind w:left="-28" w:right="-28"/>
                    <w:jc w:val="both"/>
                    <w:rPr>
                      <w:lang w:eastAsia="uk-UA"/>
                    </w:rPr>
                  </w:pPr>
                  <w:r w:rsidRPr="009D3827">
                    <w:rPr>
                      <w:lang w:eastAsia="uk-UA"/>
                    </w:rPr>
                    <w:t>3.3</w:t>
                  </w:r>
                </w:p>
              </w:tc>
              <w:tc>
                <w:tcPr>
                  <w:tcW w:w="1905" w:type="pct"/>
                </w:tcPr>
                <w:p w:rsidR="007F4594" w:rsidRPr="009D3827" w:rsidRDefault="007F4594" w:rsidP="007F4594">
                  <w:pPr>
                    <w:keepNext/>
                    <w:ind w:left="-57" w:right="-57"/>
                    <w:jc w:val="center"/>
                    <w:rPr>
                      <w:bCs/>
                      <w:lang w:eastAsia="uk-UA"/>
                    </w:rPr>
                  </w:pPr>
                  <w:r w:rsidRPr="009D3827">
                    <w:t>Ліцензіат укладає двосторонні договори з урахуванням обмежень, передбачених статтею 66 Закону України "Про ринок електричної енергії", на строк, що не перевищує максимальний строк дії двосторонніх договорів, установлений НКРЕКП, інформує НКРЕКП про укладення двостороннього договору, якщо сторони договору входять до складу одного вертикально інтегрованого суб'єкта, або є афілійованими між собою, у порядку та строки, встановлені НКРЕКП</w:t>
                  </w:r>
                  <w:r w:rsidRPr="009D3827">
                    <w:rPr>
                      <w:color w:val="333333"/>
                      <w:shd w:val="clear" w:color="auto" w:fill="FFFFFF"/>
                    </w:rPr>
                    <w:t xml:space="preserve"> </w:t>
                  </w:r>
                  <w:r w:rsidRPr="009D3827">
                    <w:rPr>
                      <w:b/>
                      <w:bCs/>
                    </w:rPr>
                    <w:t xml:space="preserve">відповідно до </w:t>
                  </w:r>
                  <w:r w:rsidRPr="009D3827">
                    <w:rPr>
                      <w:b/>
                      <w:bCs/>
                    </w:rPr>
                    <w:lastRenderedPageBreak/>
                    <w:t>порядку подання інформації про здійснені господарсько-торговельні операції, пов’язані з оптовими енергетичними продуктами,</w:t>
                  </w:r>
                  <w:r w:rsidRPr="009D3827">
                    <w:t xml:space="preserve"> а також зберігає всі відомості про укладені двосторонні договори та договори купівлі-продажу електричної енергії на організованих сегментах ринку та імпорту, експорту протягом п'яти років</w:t>
                  </w:r>
                </w:p>
              </w:tc>
              <w:tc>
                <w:tcPr>
                  <w:tcW w:w="592" w:type="pct"/>
                </w:tcPr>
                <w:p w:rsidR="007F4594" w:rsidRPr="009D3827" w:rsidRDefault="007F4594" w:rsidP="007F4594">
                  <w:pPr>
                    <w:ind w:left="-28" w:right="-84"/>
                    <w:jc w:val="both"/>
                  </w:pPr>
                </w:p>
              </w:tc>
              <w:tc>
                <w:tcPr>
                  <w:tcW w:w="231" w:type="pct"/>
                </w:tcPr>
                <w:p w:rsidR="007F4594" w:rsidRPr="009D3827" w:rsidRDefault="007F4594" w:rsidP="007F4594">
                  <w:pPr>
                    <w:ind w:left="-28" w:right="-84"/>
                    <w:jc w:val="both"/>
                  </w:pPr>
                </w:p>
              </w:tc>
              <w:tc>
                <w:tcPr>
                  <w:tcW w:w="231" w:type="pct"/>
                </w:tcPr>
                <w:p w:rsidR="007F4594" w:rsidRPr="009D3827" w:rsidRDefault="007F4594" w:rsidP="007F4594">
                  <w:pPr>
                    <w:ind w:left="-28" w:right="-84"/>
                    <w:jc w:val="both"/>
                  </w:pPr>
                </w:p>
              </w:tc>
              <w:tc>
                <w:tcPr>
                  <w:tcW w:w="231" w:type="pct"/>
                </w:tcPr>
                <w:p w:rsidR="007F4594" w:rsidRPr="009D3827" w:rsidRDefault="007F4594" w:rsidP="007F4594">
                  <w:pPr>
                    <w:ind w:left="-28" w:right="-84"/>
                    <w:jc w:val="both"/>
                  </w:pPr>
                </w:p>
              </w:tc>
              <w:tc>
                <w:tcPr>
                  <w:tcW w:w="1300" w:type="pct"/>
                </w:tcPr>
                <w:p w:rsidR="007F4594" w:rsidRPr="009D3827" w:rsidRDefault="007F4594" w:rsidP="007F4594">
                  <w:pPr>
                    <w:keepNext/>
                    <w:ind w:left="-28" w:right="-28"/>
                    <w:jc w:val="both"/>
                    <w:rPr>
                      <w:bCs/>
                      <w:lang w:eastAsia="uk-UA"/>
                    </w:rPr>
                  </w:pPr>
                  <w:r w:rsidRPr="009D3827">
                    <w:rPr>
                      <w:bCs/>
                      <w:lang w:eastAsia="uk-UA"/>
                    </w:rPr>
                    <w:t xml:space="preserve">стаття 73, стаття 66 </w:t>
                  </w:r>
                  <w:r w:rsidRPr="009D3827">
                    <w:br/>
                  </w:r>
                  <w:r w:rsidRPr="009D3827">
                    <w:rPr>
                      <w:bCs/>
                      <w:lang w:eastAsia="uk-UA"/>
                    </w:rPr>
                    <w:t>ЗУ № 2019-VIII;</w:t>
                  </w:r>
                </w:p>
                <w:p w:rsidR="007F4594" w:rsidRPr="009D3827" w:rsidRDefault="007F4594" w:rsidP="007F4594">
                  <w:pPr>
                    <w:ind w:left="-28" w:right="-28"/>
                    <w:jc w:val="both"/>
                    <w:rPr>
                      <w:bCs/>
                      <w:lang w:eastAsia="uk-UA"/>
                    </w:rPr>
                  </w:pPr>
                  <w:r w:rsidRPr="009D3827">
                    <w:rPr>
                      <w:bCs/>
                      <w:lang w:eastAsia="uk-UA"/>
                    </w:rPr>
                    <w:t xml:space="preserve">підпункти 18, 19, 21, 28 </w:t>
                  </w:r>
                  <w:r w:rsidRPr="009D3827">
                    <w:rPr>
                      <w:bCs/>
                      <w:lang w:eastAsia="uk-UA"/>
                    </w:rPr>
                    <w:br/>
                    <w:t>пункту 2.2 ЛУ № 1469</w:t>
                  </w:r>
                </w:p>
              </w:tc>
            </w:tr>
          </w:tbl>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r>
              <w:rPr>
                <w:i/>
                <w:sz w:val="22"/>
                <w:szCs w:val="22"/>
                <w:shd w:val="clear" w:color="auto" w:fill="FFFFFF"/>
              </w:rPr>
              <w:t>ОБҐРУНТУВАННЯ</w:t>
            </w:r>
            <w:r w:rsidRPr="009D3827">
              <w:rPr>
                <w:i/>
                <w:sz w:val="22"/>
                <w:szCs w:val="22"/>
                <w:shd w:val="clear" w:color="auto" w:fill="FFFFFF"/>
              </w:rPr>
              <w:t>:</w:t>
            </w:r>
          </w:p>
          <w:p w:rsidR="007F4594" w:rsidRPr="00682EAB" w:rsidRDefault="007F4594" w:rsidP="007F4594">
            <w:pPr>
              <w:ind w:firstLine="308"/>
              <w:jc w:val="both"/>
              <w:rPr>
                <w:i/>
                <w:sz w:val="22"/>
                <w:szCs w:val="22"/>
                <w:shd w:val="clear" w:color="auto" w:fill="FFFFFF"/>
              </w:rPr>
            </w:pPr>
            <w:r w:rsidRPr="00682EAB">
              <w:rPr>
                <w:i/>
                <w:sz w:val="22"/>
              </w:rPr>
              <w:t>Приведення у відповідність до статті 66 Закону країни «Про ринок електричної енергії»</w:t>
            </w:r>
          </w:p>
        </w:tc>
        <w:tc>
          <w:tcPr>
            <w:tcW w:w="5066" w:type="dxa"/>
            <w:shd w:val="clear" w:color="auto" w:fill="auto"/>
            <w:vAlign w:val="center"/>
          </w:tcPr>
          <w:p w:rsidR="007F4594" w:rsidRPr="00DE216B" w:rsidRDefault="007F4594" w:rsidP="007F4594">
            <w:pPr>
              <w:rPr>
                <w:b/>
                <w:sz w:val="22"/>
                <w:szCs w:val="22"/>
              </w:rPr>
            </w:pPr>
            <w:r w:rsidRPr="00DE216B">
              <w:rPr>
                <w:b/>
                <w:sz w:val="22"/>
                <w:szCs w:val="22"/>
              </w:rPr>
              <w:lastRenderedPageBreak/>
              <w:t>Не враховано, оскільки в тексті питання зазначено «у порядку та строки, встановлені НКРЕКП»</w:t>
            </w:r>
          </w:p>
          <w:p w:rsidR="007F4594" w:rsidRPr="009D3827" w:rsidRDefault="007F4594" w:rsidP="007F4594">
            <w:pPr>
              <w:rPr>
                <w:b/>
                <w:sz w:val="22"/>
                <w:szCs w:val="22"/>
              </w:rPr>
            </w:pPr>
            <w:r w:rsidRPr="00DE216B">
              <w:rPr>
                <w:b/>
                <w:sz w:val="22"/>
                <w:szCs w:val="22"/>
              </w:rPr>
              <w:t xml:space="preserve">Натомість пропонуємо доповнити нормативне обґрунтування </w:t>
            </w:r>
            <w:r w:rsidRPr="00DE216B">
              <w:rPr>
                <w:b/>
                <w:bCs/>
                <w:sz w:val="22"/>
                <w:szCs w:val="22"/>
              </w:rPr>
              <w:t>Порядком подання інформації про здійснені господарсько-торговельні операції, пов’язані з оптовими енергетичними продуктами, затвердженим постановою НКРЕКП від 27 березня 2024 року № 618</w:t>
            </w:r>
          </w:p>
        </w:tc>
      </w:tr>
      <w:tr w:rsidR="007F4594" w:rsidRPr="009D3827" w:rsidTr="00276080">
        <w:trPr>
          <w:trHeight w:val="595"/>
        </w:trPr>
        <w:tc>
          <w:tcPr>
            <w:tcW w:w="5065" w:type="dxa"/>
            <w:shd w:val="clear" w:color="auto" w:fill="auto"/>
          </w:tcPr>
          <w:p w:rsidR="007F4594" w:rsidRPr="009D3827" w:rsidRDefault="007F4594" w:rsidP="007F4594">
            <w:pPr>
              <w:ind w:firstLine="308"/>
              <w:jc w:val="both"/>
              <w:rPr>
                <w:sz w:val="22"/>
                <w:szCs w:val="22"/>
                <w:shd w:val="clear" w:color="auto" w:fill="FFFFFF"/>
              </w:rPr>
            </w:pPr>
          </w:p>
          <w:p w:rsidR="007F4594" w:rsidRPr="009D3827" w:rsidRDefault="007F4594" w:rsidP="007F4594">
            <w:pPr>
              <w:ind w:firstLine="308"/>
              <w:jc w:val="both"/>
              <w:rPr>
                <w:sz w:val="22"/>
                <w:szCs w:val="22"/>
                <w:shd w:val="clear" w:color="auto" w:fill="FFFFFF"/>
              </w:rPr>
            </w:pPr>
          </w:p>
          <w:tbl>
            <w:tblPr>
              <w:tblW w:w="4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454"/>
              <w:gridCol w:w="2010"/>
              <w:gridCol w:w="510"/>
              <w:gridCol w:w="221"/>
              <w:gridCol w:w="222"/>
              <w:gridCol w:w="223"/>
              <w:gridCol w:w="1219"/>
            </w:tblGrid>
            <w:tr w:rsidR="007F4594" w:rsidRPr="009D3827" w:rsidTr="003D7B01">
              <w:trPr>
                <w:trHeight w:val="20"/>
              </w:trPr>
              <w:tc>
                <w:tcPr>
                  <w:tcW w:w="468" w:type="pct"/>
                </w:tcPr>
                <w:p w:rsidR="007F4594" w:rsidRPr="009D3827" w:rsidRDefault="007F4594" w:rsidP="007F4594">
                  <w:pPr>
                    <w:ind w:left="-28" w:right="-28"/>
                    <w:jc w:val="center"/>
                    <w:rPr>
                      <w:lang w:eastAsia="uk-UA"/>
                    </w:rPr>
                  </w:pPr>
                  <w:r w:rsidRPr="009D3827">
                    <w:rPr>
                      <w:lang w:eastAsia="uk-UA"/>
                    </w:rPr>
                    <w:t>3.7</w:t>
                  </w:r>
                </w:p>
              </w:tc>
              <w:tc>
                <w:tcPr>
                  <w:tcW w:w="2068" w:type="pct"/>
                </w:tcPr>
                <w:p w:rsidR="007F4594" w:rsidRPr="009D3827" w:rsidRDefault="007F4594" w:rsidP="007F4594">
                  <w:pPr>
                    <w:keepNext/>
                    <w:ind w:left="-57" w:right="-57"/>
                    <w:jc w:val="center"/>
                  </w:pPr>
                  <w:r w:rsidRPr="009D3827">
                    <w:t>Ліцензіат надає оператору системи передачі повідомлення про використання придбаної ним пропускної спроможності відповідно до правил ринку.</w:t>
                  </w:r>
                </w:p>
              </w:tc>
              <w:tc>
                <w:tcPr>
                  <w:tcW w:w="525" w:type="pct"/>
                </w:tcPr>
                <w:p w:rsidR="007F4594" w:rsidRPr="009D3827" w:rsidRDefault="007F4594" w:rsidP="007F4594">
                  <w:pPr>
                    <w:ind w:right="-28"/>
                    <w:jc w:val="center"/>
                    <w:rPr>
                      <w:spacing w:val="-2"/>
                    </w:rPr>
                  </w:pPr>
                </w:p>
              </w:tc>
              <w:tc>
                <w:tcPr>
                  <w:tcW w:w="227" w:type="pct"/>
                </w:tcPr>
                <w:p w:rsidR="007F4594" w:rsidRPr="009D3827" w:rsidRDefault="007F4594" w:rsidP="007F4594">
                  <w:pPr>
                    <w:ind w:right="-28"/>
                    <w:jc w:val="center"/>
                    <w:rPr>
                      <w:spacing w:val="-2"/>
                    </w:rPr>
                  </w:pPr>
                </w:p>
              </w:tc>
              <w:tc>
                <w:tcPr>
                  <w:tcW w:w="228" w:type="pct"/>
                </w:tcPr>
                <w:p w:rsidR="007F4594" w:rsidRPr="009D3827" w:rsidRDefault="007F4594" w:rsidP="007F4594">
                  <w:pPr>
                    <w:ind w:right="-28"/>
                    <w:jc w:val="center"/>
                    <w:rPr>
                      <w:spacing w:val="-2"/>
                    </w:rPr>
                  </w:pPr>
                </w:p>
              </w:tc>
              <w:tc>
                <w:tcPr>
                  <w:tcW w:w="229" w:type="pct"/>
                </w:tcPr>
                <w:p w:rsidR="007F4594" w:rsidRPr="009D3827" w:rsidRDefault="007F4594" w:rsidP="007F4594">
                  <w:pPr>
                    <w:ind w:right="-28"/>
                    <w:jc w:val="center"/>
                    <w:rPr>
                      <w:spacing w:val="-2"/>
                    </w:rPr>
                  </w:pPr>
                </w:p>
              </w:tc>
              <w:tc>
                <w:tcPr>
                  <w:tcW w:w="1253" w:type="pct"/>
                </w:tcPr>
                <w:p w:rsidR="007F4594" w:rsidRPr="009D3827" w:rsidRDefault="007F4594" w:rsidP="007F4594">
                  <w:pPr>
                    <w:keepNext/>
                    <w:ind w:left="-28" w:right="-28"/>
                    <w:jc w:val="center"/>
                    <w:rPr>
                      <w:bCs/>
                      <w:lang w:eastAsia="uk-UA"/>
                    </w:rPr>
                  </w:pPr>
                  <w:r w:rsidRPr="009D3827">
                    <w:t xml:space="preserve">пункт 1 частини другої статті 57 </w:t>
                  </w:r>
                  <w:r w:rsidRPr="009D3827">
                    <w:br/>
                  </w:r>
                  <w:r w:rsidRPr="009D3827">
                    <w:rPr>
                      <w:bCs/>
                      <w:lang w:eastAsia="uk-UA"/>
                    </w:rPr>
                    <w:t>ЗУ № 2019-VIII;</w:t>
                  </w:r>
                </w:p>
                <w:p w:rsidR="007F4594" w:rsidRPr="009D3827" w:rsidRDefault="007F4594" w:rsidP="007F4594">
                  <w:pPr>
                    <w:keepNext/>
                    <w:ind w:left="-28" w:right="-28"/>
                    <w:jc w:val="center"/>
                    <w:rPr>
                      <w:spacing w:val="-2"/>
                    </w:rPr>
                  </w:pPr>
                  <w:r w:rsidRPr="009D3827">
                    <w:rPr>
                      <w:bCs/>
                      <w:lang w:eastAsia="uk-UA"/>
                    </w:rPr>
                    <w:t>ПРЕЕ;</w:t>
                  </w:r>
                </w:p>
                <w:p w:rsidR="007F4594" w:rsidRPr="009D3827" w:rsidRDefault="007F4594" w:rsidP="007F4594">
                  <w:pPr>
                    <w:keepNext/>
                    <w:ind w:left="-28" w:right="-28"/>
                    <w:jc w:val="center"/>
                  </w:pPr>
                  <w:r w:rsidRPr="009D3827">
                    <w:rPr>
                      <w:spacing w:val="-2"/>
                    </w:rPr>
                    <w:t>підпункт 59 пункту 2.2 ЛУ № 1469</w:t>
                  </w:r>
                </w:p>
              </w:tc>
            </w:tr>
          </w:tbl>
          <w:p w:rsidR="007F4594" w:rsidRPr="009D3827" w:rsidRDefault="007F4594" w:rsidP="007F4594">
            <w:pPr>
              <w:ind w:firstLine="308"/>
              <w:jc w:val="both"/>
              <w:rPr>
                <w:sz w:val="22"/>
                <w:szCs w:val="22"/>
                <w:shd w:val="clear" w:color="auto" w:fill="FFFFFF"/>
              </w:rPr>
            </w:pPr>
          </w:p>
          <w:p w:rsidR="007F4594" w:rsidRPr="009D3827" w:rsidRDefault="007F4594" w:rsidP="007F4594">
            <w:pPr>
              <w:ind w:firstLine="308"/>
              <w:jc w:val="both"/>
              <w:rPr>
                <w:sz w:val="22"/>
                <w:szCs w:val="22"/>
                <w:shd w:val="clear" w:color="auto" w:fill="FFFFFF"/>
              </w:rPr>
            </w:pPr>
          </w:p>
        </w:tc>
        <w:tc>
          <w:tcPr>
            <w:tcW w:w="5066" w:type="dxa"/>
            <w:shd w:val="clear" w:color="auto" w:fill="auto"/>
          </w:tcPr>
          <w:p w:rsidR="007F4594" w:rsidRPr="009D3827" w:rsidRDefault="007F4594" w:rsidP="007F4594">
            <w:pPr>
              <w:ind w:firstLine="308"/>
              <w:jc w:val="both"/>
              <w:rPr>
                <w:i/>
                <w:sz w:val="22"/>
                <w:szCs w:val="22"/>
                <w:shd w:val="clear" w:color="auto" w:fill="FFFFFF"/>
              </w:rPr>
            </w:pPr>
            <w:r w:rsidRPr="009D3827">
              <w:rPr>
                <w:i/>
                <w:sz w:val="22"/>
                <w:szCs w:val="22"/>
                <w:shd w:val="clear" w:color="auto" w:fill="FFFFFF"/>
              </w:rPr>
              <w:t>ТОВ «Д.ТРЕЙДІНГ»</w:t>
            </w: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r w:rsidRPr="009D3827">
              <w:rPr>
                <w:b/>
                <w:bCs/>
                <w:sz w:val="22"/>
                <w:szCs w:val="22"/>
              </w:rPr>
              <w:t>Вилучити пункт 3.7</w:t>
            </w:r>
          </w:p>
          <w:p w:rsidR="007F4594" w:rsidRPr="009D3827" w:rsidRDefault="007F4594" w:rsidP="007F4594">
            <w:pPr>
              <w:ind w:firstLine="308"/>
              <w:jc w:val="both"/>
              <w:rPr>
                <w:i/>
                <w:sz w:val="22"/>
                <w:szCs w:val="22"/>
                <w:shd w:val="clear" w:color="auto" w:fill="FFFFFF"/>
              </w:rPr>
            </w:pPr>
          </w:p>
          <w:p w:rsidR="007F4594" w:rsidRPr="00682EAB" w:rsidRDefault="007F4594" w:rsidP="007F4594">
            <w:pPr>
              <w:ind w:firstLine="308"/>
              <w:jc w:val="both"/>
              <w:rPr>
                <w:sz w:val="22"/>
                <w:szCs w:val="22"/>
                <w:shd w:val="clear" w:color="auto" w:fill="FFFFFF"/>
              </w:rPr>
            </w:pPr>
            <w:r w:rsidRPr="00682EAB">
              <w:rPr>
                <w:sz w:val="22"/>
                <w:szCs w:val="22"/>
                <w:shd w:val="clear" w:color="auto" w:fill="FFFFFF"/>
              </w:rPr>
              <w:t>ОБҐРУНТУВАННЯ:</w:t>
            </w:r>
          </w:p>
          <w:p w:rsidR="007F4594" w:rsidRPr="009D3827" w:rsidRDefault="007F4594" w:rsidP="007F4594">
            <w:pPr>
              <w:ind w:firstLine="308"/>
              <w:jc w:val="both"/>
              <w:rPr>
                <w:i/>
                <w:sz w:val="22"/>
                <w:szCs w:val="22"/>
                <w:shd w:val="clear" w:color="auto" w:fill="FFFFFF"/>
              </w:rPr>
            </w:pPr>
            <w:r w:rsidRPr="00682EAB">
              <w:rPr>
                <w:rStyle w:val="cf01"/>
                <w:rFonts w:ascii="Times New Roman" w:hAnsi="Times New Roman" w:cs="Times New Roman"/>
                <w:sz w:val="22"/>
                <w:szCs w:val="22"/>
              </w:rPr>
              <w:t>Відповідно до Правил ринку учасники ринку, які отримали ФПП, зобов'язані надати ОСП графік експорту та/або імпорту для кожного міждержавного перетину, за яким учасник ринку планує здійснення операцій з експорту та/або імпорту, що передбачено пунктом 3.6 Переліку питань.</w:t>
            </w:r>
          </w:p>
        </w:tc>
        <w:tc>
          <w:tcPr>
            <w:tcW w:w="5066" w:type="dxa"/>
            <w:shd w:val="clear" w:color="auto" w:fill="auto"/>
            <w:vAlign w:val="center"/>
          </w:tcPr>
          <w:p w:rsidR="007F4594" w:rsidRPr="00F705AE" w:rsidRDefault="007F4594" w:rsidP="007F4594">
            <w:pPr>
              <w:rPr>
                <w:b/>
                <w:color w:val="FF0000"/>
                <w:sz w:val="22"/>
                <w:szCs w:val="22"/>
              </w:rPr>
            </w:pPr>
            <w:r w:rsidRPr="00DE216B">
              <w:rPr>
                <w:b/>
                <w:sz w:val="22"/>
                <w:szCs w:val="22"/>
              </w:rPr>
              <w:t>Не враховано, оскільки питання 3.6 та 3.7 мають різний зміст досліджень, а також підпункт 59 пункту 2.2 Ліцензійних умов є чинним та не підлягає виключенню із переліку питань</w:t>
            </w:r>
          </w:p>
        </w:tc>
      </w:tr>
      <w:tr w:rsidR="007F4594" w:rsidRPr="009D3827" w:rsidTr="00276080">
        <w:trPr>
          <w:trHeight w:val="595"/>
        </w:trPr>
        <w:tc>
          <w:tcPr>
            <w:tcW w:w="5065" w:type="dxa"/>
            <w:shd w:val="clear" w:color="auto" w:fill="auto"/>
          </w:tcPr>
          <w:p w:rsidR="007F4594" w:rsidRDefault="007F4594" w:rsidP="007F4594">
            <w:pPr>
              <w:ind w:firstLine="308"/>
              <w:jc w:val="both"/>
              <w:rPr>
                <w:sz w:val="22"/>
                <w:szCs w:val="22"/>
                <w:shd w:val="clear" w:color="auto" w:fill="FFFFFF"/>
              </w:rPr>
            </w:pPr>
          </w:p>
          <w:tbl>
            <w:tblPr>
              <w:tblW w:w="48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514"/>
              <w:gridCol w:w="1984"/>
              <w:gridCol w:w="510"/>
              <w:gridCol w:w="221"/>
              <w:gridCol w:w="222"/>
              <w:gridCol w:w="223"/>
              <w:gridCol w:w="1132"/>
            </w:tblGrid>
            <w:tr w:rsidR="007F4594" w:rsidRPr="007B12DF" w:rsidTr="00682EAB">
              <w:trPr>
                <w:trHeight w:val="20"/>
              </w:trPr>
              <w:tc>
                <w:tcPr>
                  <w:tcW w:w="534" w:type="pct"/>
                </w:tcPr>
                <w:p w:rsidR="007F4594" w:rsidRPr="007B12DF" w:rsidRDefault="007F4594" w:rsidP="007F4594">
                  <w:pPr>
                    <w:ind w:right="-28"/>
                    <w:jc w:val="center"/>
                    <w:rPr>
                      <w:lang w:eastAsia="uk-UA"/>
                    </w:rPr>
                  </w:pPr>
                  <w:r w:rsidRPr="007B12DF">
                    <w:rPr>
                      <w:lang w:eastAsia="uk-UA"/>
                    </w:rPr>
                    <w:t>3.11</w:t>
                  </w:r>
                </w:p>
              </w:tc>
              <w:tc>
                <w:tcPr>
                  <w:tcW w:w="2064" w:type="pct"/>
                </w:tcPr>
                <w:p w:rsidR="007F4594" w:rsidRPr="007B12DF" w:rsidRDefault="007F4594" w:rsidP="007F4594">
                  <w:pPr>
                    <w:keepNext/>
                    <w:ind w:left="-57" w:right="-57"/>
                    <w:jc w:val="center"/>
                    <w:rPr>
                      <w:bCs/>
                      <w:lang w:eastAsia="uk-UA"/>
                    </w:rPr>
                  </w:pPr>
                  <w:r w:rsidRPr="007B12DF">
                    <w:t>Ліцензіат є стороною, відповідальною за баланс своїх споживачів на роздрібному ринку, та несе фінансову відповідальність за небаланси електричної енергії за цінами, визначеними відповідно до правил ринку, у разі невиконання ним акцептованих оператором системи передачі погодинних графіків електричної енергії</w:t>
                  </w:r>
                </w:p>
              </w:tc>
              <w:tc>
                <w:tcPr>
                  <w:tcW w:w="531" w:type="pct"/>
                </w:tcPr>
                <w:p w:rsidR="007F4594" w:rsidRPr="007B12DF" w:rsidRDefault="007F4594" w:rsidP="007F4594">
                  <w:pPr>
                    <w:ind w:right="-28"/>
                    <w:jc w:val="center"/>
                    <w:rPr>
                      <w:bCs/>
                      <w:lang w:eastAsia="uk-UA"/>
                    </w:rPr>
                  </w:pPr>
                </w:p>
              </w:tc>
              <w:tc>
                <w:tcPr>
                  <w:tcW w:w="230" w:type="pct"/>
                </w:tcPr>
                <w:p w:rsidR="007F4594" w:rsidRPr="007B12DF" w:rsidRDefault="007F4594" w:rsidP="007F4594">
                  <w:pPr>
                    <w:ind w:right="-28"/>
                    <w:jc w:val="center"/>
                    <w:rPr>
                      <w:bCs/>
                      <w:lang w:eastAsia="uk-UA"/>
                    </w:rPr>
                  </w:pPr>
                </w:p>
              </w:tc>
              <w:tc>
                <w:tcPr>
                  <w:tcW w:w="231" w:type="pct"/>
                </w:tcPr>
                <w:p w:rsidR="007F4594" w:rsidRPr="007B12DF" w:rsidRDefault="007F4594" w:rsidP="007F4594">
                  <w:pPr>
                    <w:ind w:right="-28"/>
                    <w:jc w:val="center"/>
                    <w:rPr>
                      <w:bCs/>
                      <w:lang w:eastAsia="uk-UA"/>
                    </w:rPr>
                  </w:pPr>
                </w:p>
              </w:tc>
              <w:tc>
                <w:tcPr>
                  <w:tcW w:w="232" w:type="pct"/>
                </w:tcPr>
                <w:p w:rsidR="007F4594" w:rsidRPr="007B12DF" w:rsidRDefault="007F4594" w:rsidP="007F4594">
                  <w:pPr>
                    <w:ind w:right="-28"/>
                    <w:jc w:val="center"/>
                    <w:rPr>
                      <w:bCs/>
                      <w:lang w:eastAsia="uk-UA"/>
                    </w:rPr>
                  </w:pPr>
                </w:p>
              </w:tc>
              <w:tc>
                <w:tcPr>
                  <w:tcW w:w="1179" w:type="pct"/>
                </w:tcPr>
                <w:p w:rsidR="007F4594" w:rsidRPr="007B12DF" w:rsidRDefault="007F4594" w:rsidP="007F4594">
                  <w:pPr>
                    <w:keepNext/>
                    <w:ind w:left="-28" w:right="-28"/>
                    <w:jc w:val="center"/>
                    <w:rPr>
                      <w:bCs/>
                      <w:lang w:eastAsia="uk-UA"/>
                    </w:rPr>
                  </w:pPr>
                  <w:r w:rsidRPr="007B12DF">
                    <w:t xml:space="preserve">пункт 1 частини другої статті 57 </w:t>
                  </w:r>
                  <w:r w:rsidRPr="007B12DF">
                    <w:br/>
                  </w:r>
                  <w:r w:rsidRPr="007B12DF">
                    <w:rPr>
                      <w:bCs/>
                      <w:lang w:eastAsia="uk-UA"/>
                    </w:rPr>
                    <w:t>ЗУ № 2019-VIII;</w:t>
                  </w:r>
                </w:p>
                <w:p w:rsidR="007F4594" w:rsidRPr="007B12DF" w:rsidRDefault="007F4594" w:rsidP="007F4594">
                  <w:pPr>
                    <w:ind w:right="-28"/>
                    <w:jc w:val="center"/>
                    <w:rPr>
                      <w:bCs/>
                      <w:lang w:eastAsia="uk-UA"/>
                    </w:rPr>
                  </w:pPr>
                  <w:r w:rsidRPr="007B12DF">
                    <w:rPr>
                      <w:bCs/>
                      <w:lang w:eastAsia="uk-UA"/>
                    </w:rPr>
                    <w:t xml:space="preserve">підпункти 24, 27 пункту 2.2 </w:t>
                  </w:r>
                </w:p>
                <w:p w:rsidR="007F4594" w:rsidRPr="007B12DF" w:rsidRDefault="007F4594" w:rsidP="007F4594">
                  <w:pPr>
                    <w:ind w:right="-28"/>
                    <w:jc w:val="center"/>
                    <w:rPr>
                      <w:spacing w:val="-2"/>
                    </w:rPr>
                  </w:pPr>
                  <w:r w:rsidRPr="007B12DF">
                    <w:rPr>
                      <w:bCs/>
                      <w:lang w:eastAsia="uk-UA"/>
                    </w:rPr>
                    <w:t>ЛУ № 1469</w:t>
                  </w:r>
                </w:p>
              </w:tc>
            </w:tr>
          </w:tbl>
          <w:p w:rsidR="007F4594" w:rsidRDefault="007F4594" w:rsidP="007F4594">
            <w:pPr>
              <w:ind w:firstLine="308"/>
              <w:jc w:val="both"/>
              <w:rPr>
                <w:sz w:val="22"/>
                <w:szCs w:val="22"/>
                <w:shd w:val="clear" w:color="auto" w:fill="FFFFFF"/>
              </w:rPr>
            </w:pPr>
          </w:p>
          <w:p w:rsidR="007F4594" w:rsidRDefault="007F4594" w:rsidP="007F4594">
            <w:pPr>
              <w:ind w:firstLine="308"/>
              <w:jc w:val="both"/>
              <w:rPr>
                <w:sz w:val="22"/>
                <w:szCs w:val="22"/>
                <w:shd w:val="clear" w:color="auto" w:fill="FFFFFF"/>
              </w:rPr>
            </w:pPr>
          </w:p>
          <w:p w:rsidR="007F4594" w:rsidRPr="009D3827" w:rsidRDefault="007F4594" w:rsidP="007F4594">
            <w:pPr>
              <w:ind w:firstLine="308"/>
              <w:jc w:val="both"/>
              <w:rPr>
                <w:sz w:val="22"/>
                <w:szCs w:val="22"/>
                <w:shd w:val="clear" w:color="auto" w:fill="FFFFFF"/>
              </w:rPr>
            </w:pPr>
          </w:p>
        </w:tc>
        <w:tc>
          <w:tcPr>
            <w:tcW w:w="5066" w:type="dxa"/>
            <w:shd w:val="clear" w:color="auto" w:fill="auto"/>
          </w:tcPr>
          <w:p w:rsidR="007F4594" w:rsidRPr="00E5550D" w:rsidRDefault="007F4594" w:rsidP="007F4594">
            <w:pPr>
              <w:ind w:firstLine="308"/>
              <w:jc w:val="both"/>
              <w:rPr>
                <w:i/>
                <w:sz w:val="22"/>
                <w:szCs w:val="22"/>
                <w:shd w:val="clear" w:color="auto" w:fill="FFFFFF"/>
              </w:rPr>
            </w:pPr>
            <w:r w:rsidRPr="00E5550D">
              <w:rPr>
                <w:i/>
                <w:sz w:val="22"/>
                <w:szCs w:val="22"/>
                <w:shd w:val="clear" w:color="auto" w:fill="FFFFFF"/>
              </w:rPr>
              <w:t>ДПЗД «УКРІНТЕРЕНЕРГО»</w:t>
            </w:r>
          </w:p>
          <w:p w:rsidR="007F4594" w:rsidRPr="00E5550D" w:rsidRDefault="007F4594" w:rsidP="007F4594">
            <w:pPr>
              <w:ind w:firstLine="308"/>
              <w:jc w:val="both"/>
              <w:rPr>
                <w:i/>
                <w:sz w:val="22"/>
                <w:szCs w:val="22"/>
                <w:shd w:val="clear" w:color="auto" w:fill="FFFFFF"/>
              </w:rPr>
            </w:pPr>
          </w:p>
          <w:p w:rsidR="007F4594" w:rsidRPr="00E5550D" w:rsidRDefault="007F4594" w:rsidP="007F4594">
            <w:pPr>
              <w:ind w:firstLine="308"/>
              <w:jc w:val="both"/>
              <w:rPr>
                <w:i/>
                <w:sz w:val="22"/>
                <w:szCs w:val="22"/>
                <w:shd w:val="clear" w:color="auto" w:fill="FFFFFF"/>
              </w:rPr>
            </w:pPr>
            <w:r w:rsidRPr="00E5550D">
              <w:rPr>
                <w:sz w:val="22"/>
                <w:szCs w:val="22"/>
              </w:rPr>
              <w:t>3.11. Ліцензіат є стороною, відповідальною за баланс своїх споживачів на роздрібному ринку, та несе фінансову відповідальність за небаланси електричної енергії за цінами, визначеними відповідно до правил ринку, у разі невиконання ним акцептованих оператором системи передачі погодинних графіків електричної енергії</w:t>
            </w:r>
            <w:r w:rsidRPr="00E5550D">
              <w:rPr>
                <w:b/>
                <w:bCs/>
                <w:sz w:val="22"/>
                <w:szCs w:val="22"/>
              </w:rPr>
              <w:t>, за виключенням постачальника «останньої надії».</w:t>
            </w:r>
          </w:p>
          <w:p w:rsidR="007F4594" w:rsidRPr="00E5550D" w:rsidRDefault="007F4594" w:rsidP="007F4594">
            <w:pPr>
              <w:ind w:firstLine="308"/>
              <w:jc w:val="both"/>
              <w:rPr>
                <w:i/>
                <w:sz w:val="22"/>
                <w:szCs w:val="22"/>
                <w:shd w:val="clear" w:color="auto" w:fill="FFFFFF"/>
              </w:rPr>
            </w:pPr>
          </w:p>
          <w:p w:rsidR="007F4594" w:rsidRPr="00682EAB" w:rsidRDefault="007F4594" w:rsidP="007F4594">
            <w:pPr>
              <w:ind w:firstLine="308"/>
              <w:jc w:val="both"/>
              <w:rPr>
                <w:i/>
                <w:sz w:val="22"/>
                <w:szCs w:val="22"/>
                <w:shd w:val="clear" w:color="auto" w:fill="FFFFFF"/>
              </w:rPr>
            </w:pPr>
            <w:r w:rsidRPr="00682EAB">
              <w:rPr>
                <w:i/>
                <w:sz w:val="22"/>
                <w:szCs w:val="22"/>
                <w:shd w:val="clear" w:color="auto" w:fill="FFFFFF"/>
              </w:rPr>
              <w:t>ОБҐРУНТУВАННЯ:</w:t>
            </w:r>
          </w:p>
          <w:p w:rsidR="007F4594" w:rsidRPr="00E5550D" w:rsidRDefault="007F4594" w:rsidP="007F4594">
            <w:pPr>
              <w:ind w:firstLine="308"/>
              <w:jc w:val="both"/>
              <w:rPr>
                <w:i/>
                <w:sz w:val="22"/>
                <w:szCs w:val="22"/>
                <w:shd w:val="clear" w:color="auto" w:fill="FFFFFF"/>
              </w:rPr>
            </w:pPr>
            <w:r w:rsidRPr="00682EAB">
              <w:rPr>
                <w:i/>
                <w:sz w:val="22"/>
                <w:szCs w:val="22"/>
              </w:rPr>
              <w:t>Недосконалість врегулювання питання розрахунків між постачальником «останньої надії», його   СВБ з оператором системи (АКО) та навмисне ігнорування операторами системи виконання вимог законодавства що регулює питання розрахунків на балансуючому ринку, не має бути питанням оцінки дотримання постачальником «останньої надії» ліцензійних умов та  підставою для висновку про порушення ним цих ліцензійних умов.</w:t>
            </w:r>
          </w:p>
        </w:tc>
        <w:tc>
          <w:tcPr>
            <w:tcW w:w="5066" w:type="dxa"/>
            <w:shd w:val="clear" w:color="auto" w:fill="auto"/>
            <w:vAlign w:val="center"/>
          </w:tcPr>
          <w:p w:rsidR="007F4594" w:rsidRPr="00EB305A" w:rsidRDefault="007F4594" w:rsidP="007F4594">
            <w:pPr>
              <w:rPr>
                <w:b/>
                <w:sz w:val="22"/>
                <w:szCs w:val="22"/>
              </w:rPr>
            </w:pPr>
            <w:r w:rsidRPr="00EB305A">
              <w:rPr>
                <w:b/>
                <w:sz w:val="22"/>
                <w:szCs w:val="22"/>
              </w:rPr>
              <w:t>Не враховано</w:t>
            </w:r>
          </w:p>
          <w:p w:rsidR="007F4594" w:rsidRDefault="007F4594" w:rsidP="007F4594">
            <w:pPr>
              <w:rPr>
                <w:sz w:val="22"/>
                <w:szCs w:val="22"/>
              </w:rPr>
            </w:pPr>
            <w:r w:rsidRPr="00EB305A">
              <w:rPr>
                <w:sz w:val="22"/>
                <w:szCs w:val="22"/>
              </w:rPr>
              <w:t>Загальний підхід до усіх учасників ринку.</w:t>
            </w:r>
          </w:p>
          <w:p w:rsidR="007F4594" w:rsidRPr="00DE216B" w:rsidRDefault="007F4594" w:rsidP="007F4594">
            <w:pPr>
              <w:rPr>
                <w:sz w:val="22"/>
                <w:szCs w:val="22"/>
              </w:rPr>
            </w:pPr>
          </w:p>
          <w:p w:rsidR="007F4594" w:rsidRPr="00DE216B" w:rsidRDefault="007F4594" w:rsidP="007F4594">
            <w:pPr>
              <w:rPr>
                <w:sz w:val="22"/>
                <w:szCs w:val="22"/>
              </w:rPr>
            </w:pPr>
            <w:r w:rsidRPr="00DE216B">
              <w:rPr>
                <w:b/>
                <w:sz w:val="22"/>
                <w:szCs w:val="22"/>
              </w:rPr>
              <w:t>Не враховано. Суперечить вимогам Ліцензійних умов</w:t>
            </w:r>
          </w:p>
          <w:p w:rsidR="007F4594" w:rsidRPr="00DE216B" w:rsidRDefault="007F4594" w:rsidP="007F4594">
            <w:pPr>
              <w:rPr>
                <w:b/>
                <w:sz w:val="22"/>
                <w:szCs w:val="22"/>
              </w:rPr>
            </w:pPr>
          </w:p>
          <w:p w:rsidR="007F4594" w:rsidRPr="00DE216B" w:rsidRDefault="007F4594" w:rsidP="007F4594">
            <w:pPr>
              <w:rPr>
                <w:b/>
                <w:sz w:val="22"/>
                <w:szCs w:val="22"/>
              </w:rPr>
            </w:pPr>
          </w:p>
          <w:p w:rsidR="007F4594" w:rsidRPr="00DE216B"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Pr="009D3827" w:rsidRDefault="007F4594" w:rsidP="007F4594">
            <w:pPr>
              <w:rPr>
                <w:b/>
                <w:sz w:val="22"/>
                <w:szCs w:val="22"/>
              </w:rPr>
            </w:pPr>
          </w:p>
        </w:tc>
      </w:tr>
      <w:tr w:rsidR="007F4594" w:rsidRPr="009D3827" w:rsidTr="00A80714">
        <w:trPr>
          <w:trHeight w:val="595"/>
        </w:trPr>
        <w:tc>
          <w:tcPr>
            <w:tcW w:w="15197" w:type="dxa"/>
            <w:gridSpan w:val="3"/>
            <w:shd w:val="clear" w:color="auto" w:fill="FFD966" w:themeFill="accent4" w:themeFillTint="99"/>
          </w:tcPr>
          <w:p w:rsidR="007F4594" w:rsidRPr="009D3827" w:rsidRDefault="007F4594" w:rsidP="007F4594">
            <w:pPr>
              <w:jc w:val="center"/>
              <w:rPr>
                <w:b/>
                <w:sz w:val="22"/>
                <w:szCs w:val="22"/>
              </w:rPr>
            </w:pPr>
            <w:r w:rsidRPr="009D3827">
              <w:rPr>
                <w:b/>
                <w:sz w:val="22"/>
                <w:szCs w:val="22"/>
              </w:rPr>
              <w:t>Додаток 9</w:t>
            </w:r>
          </w:p>
          <w:p w:rsidR="007F4594" w:rsidRPr="009D3827" w:rsidRDefault="007F4594" w:rsidP="007F4594">
            <w:pPr>
              <w:jc w:val="center"/>
              <w:rPr>
                <w:b/>
                <w:sz w:val="22"/>
                <w:szCs w:val="22"/>
              </w:rPr>
            </w:pPr>
          </w:p>
          <w:p w:rsidR="007F4594" w:rsidRPr="009D3827" w:rsidRDefault="007F4594" w:rsidP="007F4594">
            <w:pPr>
              <w:jc w:val="center"/>
              <w:rPr>
                <w:b/>
                <w:sz w:val="22"/>
                <w:szCs w:val="22"/>
              </w:rPr>
            </w:pPr>
            <w:r w:rsidRPr="009D3827">
              <w:rPr>
                <w:b/>
                <w:sz w:val="22"/>
                <w:szCs w:val="22"/>
              </w:rPr>
              <w:t>Перелік питань для перевірки дотримання вимог законодавства та ліцензійних умов провадження господарської діяльності з перепродажу електричної енергії (трейдерської діяльності)</w:t>
            </w:r>
          </w:p>
        </w:tc>
      </w:tr>
      <w:tr w:rsidR="007F4594" w:rsidRPr="009D3827" w:rsidTr="00276080">
        <w:trPr>
          <w:trHeight w:val="595"/>
        </w:trPr>
        <w:tc>
          <w:tcPr>
            <w:tcW w:w="5065" w:type="dxa"/>
            <w:shd w:val="clear" w:color="auto" w:fill="auto"/>
          </w:tcPr>
          <w:p w:rsidR="007F4594" w:rsidRPr="009D3827" w:rsidRDefault="007F4594" w:rsidP="007F4594">
            <w:pPr>
              <w:ind w:firstLine="308"/>
              <w:jc w:val="both"/>
              <w:rPr>
                <w:sz w:val="22"/>
                <w:szCs w:val="22"/>
                <w:shd w:val="clear" w:color="auto" w:fill="FFFFFF"/>
              </w:rPr>
            </w:pPr>
          </w:p>
          <w:p w:rsidR="007F4594" w:rsidRPr="009D3827" w:rsidRDefault="007F4594" w:rsidP="007F4594">
            <w:pPr>
              <w:ind w:firstLine="308"/>
              <w:jc w:val="both"/>
              <w:rPr>
                <w:sz w:val="22"/>
                <w:szCs w:val="22"/>
                <w:shd w:val="clear" w:color="auto" w:fill="FFFFFF"/>
              </w:rPr>
            </w:pPr>
          </w:p>
          <w:tbl>
            <w:tblPr>
              <w:tblpPr w:leftFromText="180" w:rightFromText="180" w:vertAnchor="text" w:tblpXSpec="center" w:tblpY="1"/>
              <w:tblOverlap w:val="never"/>
              <w:tblW w:w="48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569"/>
              <w:gridCol w:w="2098"/>
              <w:gridCol w:w="397"/>
              <w:gridCol w:w="190"/>
              <w:gridCol w:w="190"/>
              <w:gridCol w:w="190"/>
              <w:gridCol w:w="1191"/>
            </w:tblGrid>
            <w:tr w:rsidR="007F4594" w:rsidRPr="009D3827" w:rsidTr="00CA0021">
              <w:trPr>
                <w:cantSplit/>
              </w:trPr>
              <w:tc>
                <w:tcPr>
                  <w:tcW w:w="569" w:type="dxa"/>
                </w:tcPr>
                <w:p w:rsidR="007F4594" w:rsidRPr="009D3827" w:rsidRDefault="007F4594" w:rsidP="007F4594">
                  <w:pPr>
                    <w:ind w:right="-28"/>
                    <w:jc w:val="center"/>
                    <w:rPr>
                      <w:lang w:eastAsia="uk-UA"/>
                    </w:rPr>
                  </w:pPr>
                  <w:r w:rsidRPr="009D3827">
                    <w:rPr>
                      <w:lang w:eastAsia="uk-UA"/>
                    </w:rPr>
                    <w:t>3.3</w:t>
                  </w:r>
                </w:p>
              </w:tc>
              <w:tc>
                <w:tcPr>
                  <w:tcW w:w="2098" w:type="dxa"/>
                </w:tcPr>
                <w:p w:rsidR="007F4594" w:rsidRPr="009D3827" w:rsidRDefault="007F4594" w:rsidP="007F4594">
                  <w:pPr>
                    <w:jc w:val="center"/>
                    <w:rPr>
                      <w:lang w:eastAsia="uk-UA"/>
                    </w:rPr>
                  </w:pPr>
                  <w:r w:rsidRPr="009D3827">
                    <w:rPr>
                      <w:lang w:eastAsia="uk-UA"/>
                    </w:rPr>
                    <w:t xml:space="preserve">Ліцензіат інформує НКРЕКП про укладення двостороннього договору, якщо сторони договору входять до складу одного вертикально інтегрованого суб'єкта або є афілійованими між </w:t>
                  </w:r>
                  <w:r w:rsidRPr="009D3827">
                    <w:rPr>
                      <w:lang w:eastAsia="uk-UA"/>
                    </w:rPr>
                    <w:lastRenderedPageBreak/>
                    <w:t>собою, у порядку та строки, встановлені НКРЕКП</w:t>
                  </w:r>
                </w:p>
              </w:tc>
              <w:tc>
                <w:tcPr>
                  <w:tcW w:w="397" w:type="dxa"/>
                </w:tcPr>
                <w:p w:rsidR="007F4594" w:rsidRPr="009D3827" w:rsidRDefault="007F4594" w:rsidP="007F4594">
                  <w:pPr>
                    <w:keepNext/>
                    <w:ind w:left="-28" w:right="-28"/>
                    <w:jc w:val="center"/>
                  </w:pPr>
                </w:p>
              </w:tc>
              <w:tc>
                <w:tcPr>
                  <w:tcW w:w="190" w:type="dxa"/>
                </w:tcPr>
                <w:p w:rsidR="007F4594" w:rsidRPr="009D3827" w:rsidRDefault="007F4594" w:rsidP="007F4594">
                  <w:pPr>
                    <w:keepNext/>
                    <w:ind w:left="-28" w:right="-28"/>
                    <w:jc w:val="center"/>
                  </w:pPr>
                </w:p>
              </w:tc>
              <w:tc>
                <w:tcPr>
                  <w:tcW w:w="190" w:type="dxa"/>
                </w:tcPr>
                <w:p w:rsidR="007F4594" w:rsidRPr="009D3827" w:rsidRDefault="007F4594" w:rsidP="007F4594">
                  <w:pPr>
                    <w:keepNext/>
                    <w:ind w:left="-28" w:right="-28"/>
                    <w:jc w:val="center"/>
                  </w:pPr>
                </w:p>
              </w:tc>
              <w:tc>
                <w:tcPr>
                  <w:tcW w:w="190" w:type="dxa"/>
                </w:tcPr>
                <w:p w:rsidR="007F4594" w:rsidRPr="009D3827" w:rsidRDefault="007F4594" w:rsidP="007F4594">
                  <w:pPr>
                    <w:keepNext/>
                    <w:ind w:left="-28" w:right="-28"/>
                    <w:jc w:val="center"/>
                  </w:pPr>
                </w:p>
              </w:tc>
              <w:tc>
                <w:tcPr>
                  <w:tcW w:w="1191" w:type="dxa"/>
                </w:tcPr>
                <w:p w:rsidR="007F4594" w:rsidRPr="009D3827" w:rsidRDefault="007F4594" w:rsidP="007F4594">
                  <w:pPr>
                    <w:keepNext/>
                    <w:ind w:left="-28" w:right="-28"/>
                    <w:jc w:val="center"/>
                  </w:pPr>
                  <w:r w:rsidRPr="009D3827">
                    <w:t xml:space="preserve">підпункт 15 пункту 2.2 </w:t>
                  </w:r>
                </w:p>
                <w:p w:rsidR="007F4594" w:rsidRPr="009D3827" w:rsidRDefault="007F4594" w:rsidP="007F4594">
                  <w:pPr>
                    <w:keepNext/>
                    <w:ind w:left="-28" w:right="-28"/>
                    <w:jc w:val="center"/>
                    <w:rPr>
                      <w:spacing w:val="-2"/>
                    </w:rPr>
                  </w:pPr>
                  <w:r w:rsidRPr="009D3827">
                    <w:t>ЛУ № 1468</w:t>
                  </w:r>
                </w:p>
              </w:tc>
            </w:tr>
          </w:tbl>
          <w:p w:rsidR="007F4594" w:rsidRPr="009D3827" w:rsidRDefault="007F4594" w:rsidP="007F4594">
            <w:pPr>
              <w:ind w:firstLine="308"/>
              <w:jc w:val="both"/>
              <w:rPr>
                <w:sz w:val="22"/>
                <w:szCs w:val="22"/>
                <w:shd w:val="clear" w:color="auto" w:fill="FFFFFF"/>
              </w:rPr>
            </w:pPr>
          </w:p>
        </w:tc>
        <w:tc>
          <w:tcPr>
            <w:tcW w:w="5066" w:type="dxa"/>
            <w:shd w:val="clear" w:color="auto" w:fill="auto"/>
          </w:tcPr>
          <w:p w:rsidR="007F4594" w:rsidRPr="009D3827" w:rsidRDefault="007F4594" w:rsidP="007F4594">
            <w:pPr>
              <w:ind w:firstLine="308"/>
              <w:jc w:val="both"/>
              <w:rPr>
                <w:i/>
                <w:sz w:val="22"/>
                <w:szCs w:val="22"/>
                <w:shd w:val="clear" w:color="auto" w:fill="FFFFFF"/>
              </w:rPr>
            </w:pPr>
            <w:r w:rsidRPr="009D3827">
              <w:rPr>
                <w:i/>
                <w:sz w:val="22"/>
                <w:szCs w:val="22"/>
                <w:shd w:val="clear" w:color="auto" w:fill="FFFFFF"/>
              </w:rPr>
              <w:lastRenderedPageBreak/>
              <w:t>ТОВ «Д.ТРЕЙДІНГ»</w:t>
            </w:r>
          </w:p>
          <w:p w:rsidR="007F4594" w:rsidRPr="009D3827" w:rsidRDefault="007F4594" w:rsidP="007F4594">
            <w:pPr>
              <w:ind w:firstLine="308"/>
              <w:jc w:val="both"/>
              <w:rPr>
                <w:i/>
                <w:sz w:val="22"/>
                <w:szCs w:val="22"/>
                <w:shd w:val="clear" w:color="auto" w:fill="FFFFFF"/>
              </w:rPr>
            </w:pPr>
          </w:p>
          <w:tbl>
            <w:tblPr>
              <w:tblpPr w:leftFromText="180" w:rightFromText="180" w:vertAnchor="text" w:tblpXSpec="center" w:tblpY="1"/>
              <w:tblOverlap w:val="never"/>
              <w:tblW w:w="48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397"/>
              <w:gridCol w:w="2041"/>
              <w:gridCol w:w="190"/>
              <w:gridCol w:w="190"/>
              <w:gridCol w:w="190"/>
              <w:gridCol w:w="190"/>
              <w:gridCol w:w="1644"/>
            </w:tblGrid>
            <w:tr w:rsidR="007F4594" w:rsidRPr="009D3827" w:rsidTr="008C21AB">
              <w:trPr>
                <w:cantSplit/>
              </w:trPr>
              <w:tc>
                <w:tcPr>
                  <w:tcW w:w="397" w:type="dxa"/>
                </w:tcPr>
                <w:p w:rsidR="007F4594" w:rsidRPr="009D3827" w:rsidRDefault="007F4594" w:rsidP="007F4594">
                  <w:pPr>
                    <w:ind w:right="-28"/>
                    <w:jc w:val="center"/>
                    <w:rPr>
                      <w:lang w:eastAsia="uk-UA"/>
                    </w:rPr>
                  </w:pPr>
                  <w:r w:rsidRPr="009D3827">
                    <w:rPr>
                      <w:lang w:eastAsia="uk-UA"/>
                    </w:rPr>
                    <w:t>3.3</w:t>
                  </w:r>
                </w:p>
              </w:tc>
              <w:tc>
                <w:tcPr>
                  <w:tcW w:w="2041" w:type="dxa"/>
                </w:tcPr>
                <w:p w:rsidR="007F4594" w:rsidRPr="009D3827" w:rsidRDefault="007F4594" w:rsidP="007F4594">
                  <w:pPr>
                    <w:jc w:val="center"/>
                    <w:rPr>
                      <w:b/>
                      <w:bCs/>
                    </w:rPr>
                  </w:pPr>
                  <w:r w:rsidRPr="009D3827">
                    <w:rPr>
                      <w:lang w:eastAsia="uk-UA"/>
                    </w:rPr>
                    <w:t xml:space="preserve">Ліцензіат інформує НКРЕКП про укладення двостороннього договору, якщо сторони договору входять до складу одного вертикально інтегрованого суб'єкта або є афілійованими між </w:t>
                  </w:r>
                  <w:r w:rsidRPr="009D3827">
                    <w:rPr>
                      <w:lang w:eastAsia="uk-UA"/>
                    </w:rPr>
                    <w:lastRenderedPageBreak/>
                    <w:t xml:space="preserve">собою, у порядку та строки, встановлені НКРЕКП </w:t>
                  </w:r>
                  <w:r w:rsidRPr="009D3827">
                    <w:t xml:space="preserve">  </w:t>
                  </w:r>
                  <w:r w:rsidRPr="009D3827">
                    <w:rPr>
                      <w:b/>
                      <w:bCs/>
                    </w:rPr>
                    <w:t>відповідно до порядку подання інформації про здійснені господарсько-торговельні операції, пов’язані з оптовими енергетичними продуктами</w:t>
                  </w:r>
                </w:p>
                <w:p w:rsidR="007F4594" w:rsidRPr="009D3827" w:rsidRDefault="007F4594" w:rsidP="007F4594">
                  <w:pPr>
                    <w:jc w:val="center"/>
                    <w:rPr>
                      <w:lang w:eastAsia="uk-UA"/>
                    </w:rPr>
                  </w:pPr>
                </w:p>
              </w:tc>
              <w:tc>
                <w:tcPr>
                  <w:tcW w:w="190" w:type="dxa"/>
                </w:tcPr>
                <w:p w:rsidR="007F4594" w:rsidRPr="009D3827" w:rsidRDefault="007F4594" w:rsidP="007F4594">
                  <w:pPr>
                    <w:keepNext/>
                    <w:ind w:left="-28" w:right="-28"/>
                    <w:jc w:val="center"/>
                  </w:pPr>
                </w:p>
              </w:tc>
              <w:tc>
                <w:tcPr>
                  <w:tcW w:w="190" w:type="dxa"/>
                </w:tcPr>
                <w:p w:rsidR="007F4594" w:rsidRPr="009D3827" w:rsidRDefault="007F4594" w:rsidP="007F4594">
                  <w:pPr>
                    <w:keepNext/>
                    <w:ind w:left="-28" w:right="-28"/>
                    <w:jc w:val="center"/>
                  </w:pPr>
                </w:p>
              </w:tc>
              <w:tc>
                <w:tcPr>
                  <w:tcW w:w="190" w:type="dxa"/>
                </w:tcPr>
                <w:p w:rsidR="007F4594" w:rsidRPr="009D3827" w:rsidRDefault="007F4594" w:rsidP="007F4594">
                  <w:pPr>
                    <w:keepNext/>
                    <w:ind w:left="-28" w:right="-28"/>
                    <w:jc w:val="center"/>
                  </w:pPr>
                </w:p>
              </w:tc>
              <w:tc>
                <w:tcPr>
                  <w:tcW w:w="190" w:type="dxa"/>
                </w:tcPr>
                <w:p w:rsidR="007F4594" w:rsidRPr="009D3827" w:rsidRDefault="007F4594" w:rsidP="007F4594">
                  <w:pPr>
                    <w:keepNext/>
                    <w:ind w:left="-28" w:right="-28"/>
                    <w:jc w:val="center"/>
                  </w:pPr>
                </w:p>
              </w:tc>
              <w:tc>
                <w:tcPr>
                  <w:tcW w:w="1644" w:type="dxa"/>
                </w:tcPr>
                <w:p w:rsidR="007F4594" w:rsidRPr="009D3827" w:rsidRDefault="007F4594" w:rsidP="007F4594">
                  <w:pPr>
                    <w:keepNext/>
                    <w:ind w:left="-28" w:right="-28"/>
                    <w:jc w:val="center"/>
                    <w:rPr>
                      <w:b/>
                      <w:lang w:eastAsia="uk-UA"/>
                    </w:rPr>
                  </w:pPr>
                  <w:r w:rsidRPr="009D3827">
                    <w:rPr>
                      <w:b/>
                      <w:lang w:eastAsia="uk-UA"/>
                    </w:rPr>
                    <w:t xml:space="preserve">стаття 66 </w:t>
                  </w:r>
                  <w:r w:rsidRPr="009D3827">
                    <w:rPr>
                      <w:b/>
                    </w:rPr>
                    <w:br/>
                  </w:r>
                  <w:r w:rsidRPr="009D3827">
                    <w:rPr>
                      <w:b/>
                      <w:lang w:eastAsia="uk-UA"/>
                    </w:rPr>
                    <w:t>ЗУ № 2019-VIII;</w:t>
                  </w:r>
                </w:p>
                <w:p w:rsidR="007F4594" w:rsidRPr="009D3827" w:rsidRDefault="007F4594" w:rsidP="007F4594">
                  <w:pPr>
                    <w:keepNext/>
                    <w:ind w:left="-28" w:right="-28"/>
                    <w:jc w:val="center"/>
                  </w:pPr>
                  <w:r w:rsidRPr="009D3827">
                    <w:t xml:space="preserve">підпункт 15 пункту 2.2 </w:t>
                  </w:r>
                </w:p>
                <w:p w:rsidR="007F4594" w:rsidRPr="009D3827" w:rsidRDefault="007F4594" w:rsidP="007F4594">
                  <w:pPr>
                    <w:keepNext/>
                    <w:ind w:left="-28" w:right="-28"/>
                    <w:jc w:val="center"/>
                    <w:rPr>
                      <w:spacing w:val="-2"/>
                    </w:rPr>
                  </w:pPr>
                  <w:r w:rsidRPr="009D3827">
                    <w:t>ЛУ № 1468</w:t>
                  </w:r>
                </w:p>
              </w:tc>
            </w:tr>
          </w:tbl>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r>
              <w:rPr>
                <w:i/>
                <w:sz w:val="22"/>
                <w:szCs w:val="22"/>
                <w:shd w:val="clear" w:color="auto" w:fill="FFFFFF"/>
              </w:rPr>
              <w:t>ОБҐРУНТУВАННЯ</w:t>
            </w:r>
            <w:r w:rsidRPr="009D3827">
              <w:rPr>
                <w:i/>
                <w:sz w:val="22"/>
                <w:szCs w:val="22"/>
                <w:shd w:val="clear" w:color="auto" w:fill="FFFFFF"/>
              </w:rPr>
              <w:t>:</w:t>
            </w:r>
          </w:p>
          <w:p w:rsidR="007F4594" w:rsidRPr="00682EAB" w:rsidRDefault="007F4594" w:rsidP="007F4594">
            <w:pPr>
              <w:ind w:firstLine="308"/>
              <w:jc w:val="both"/>
              <w:rPr>
                <w:i/>
                <w:sz w:val="22"/>
                <w:szCs w:val="22"/>
                <w:shd w:val="clear" w:color="auto" w:fill="FFFFFF"/>
              </w:rPr>
            </w:pPr>
            <w:r w:rsidRPr="00682EAB">
              <w:rPr>
                <w:rStyle w:val="cf01"/>
                <w:rFonts w:ascii="Times New Roman" w:hAnsi="Times New Roman" w:cs="Times New Roman"/>
                <w:i/>
                <w:sz w:val="22"/>
                <w:szCs w:val="22"/>
              </w:rPr>
              <w:t>Приведення у відповідність до статті 66 Закону країни «Про ринок електричної енергії»</w:t>
            </w:r>
          </w:p>
        </w:tc>
        <w:tc>
          <w:tcPr>
            <w:tcW w:w="5066" w:type="dxa"/>
            <w:shd w:val="clear" w:color="auto" w:fill="auto"/>
            <w:vAlign w:val="center"/>
          </w:tcPr>
          <w:p w:rsidR="007F4594" w:rsidRPr="00DE216B" w:rsidRDefault="007F4594" w:rsidP="007F4594">
            <w:pPr>
              <w:rPr>
                <w:b/>
                <w:sz w:val="22"/>
                <w:szCs w:val="22"/>
              </w:rPr>
            </w:pPr>
            <w:r w:rsidRPr="00DE216B">
              <w:rPr>
                <w:b/>
                <w:sz w:val="22"/>
                <w:szCs w:val="22"/>
              </w:rPr>
              <w:lastRenderedPageBreak/>
              <w:t>Не враховано, оскільки в тексті питання зазначено «у порядку та строки, встановлені НКРЕКП»</w:t>
            </w:r>
          </w:p>
          <w:p w:rsidR="007F4594" w:rsidRPr="009D3827" w:rsidRDefault="007F4594" w:rsidP="007F4594">
            <w:pPr>
              <w:rPr>
                <w:b/>
                <w:sz w:val="22"/>
                <w:szCs w:val="22"/>
              </w:rPr>
            </w:pPr>
            <w:r w:rsidRPr="00DE216B">
              <w:rPr>
                <w:b/>
                <w:sz w:val="22"/>
                <w:szCs w:val="22"/>
              </w:rPr>
              <w:t xml:space="preserve">Натомість пропонуємо доповнити нормативне обґрунтування </w:t>
            </w:r>
            <w:r w:rsidRPr="00DE216B">
              <w:rPr>
                <w:b/>
                <w:bCs/>
                <w:sz w:val="22"/>
                <w:szCs w:val="22"/>
              </w:rPr>
              <w:t>Порядком подання інформації про здійснені господарсько-торговельні операції, пов’язані з оптовими енергетичними продуктами, затвердженим постановою НКРЕКП від 27 березня 2024 року № 618</w:t>
            </w:r>
          </w:p>
        </w:tc>
      </w:tr>
      <w:tr w:rsidR="007F4594" w:rsidRPr="009D3827" w:rsidTr="00276080">
        <w:trPr>
          <w:trHeight w:val="595"/>
        </w:trPr>
        <w:tc>
          <w:tcPr>
            <w:tcW w:w="5065" w:type="dxa"/>
            <w:shd w:val="clear" w:color="auto" w:fill="auto"/>
          </w:tcPr>
          <w:p w:rsidR="007F4594" w:rsidRPr="009D3827" w:rsidRDefault="007F4594" w:rsidP="007F4594">
            <w:pPr>
              <w:ind w:firstLine="308"/>
              <w:jc w:val="both"/>
              <w:rPr>
                <w:sz w:val="22"/>
                <w:szCs w:val="22"/>
                <w:shd w:val="clear" w:color="auto" w:fill="FFFFFF"/>
              </w:rPr>
            </w:pPr>
          </w:p>
          <w:p w:rsidR="007F4594" w:rsidRPr="009D3827" w:rsidRDefault="007F4594" w:rsidP="007F4594">
            <w:pPr>
              <w:ind w:firstLine="308"/>
              <w:jc w:val="both"/>
              <w:rPr>
                <w:sz w:val="22"/>
                <w:szCs w:val="22"/>
                <w:shd w:val="clear" w:color="auto" w:fill="FFFFFF"/>
              </w:rPr>
            </w:pPr>
          </w:p>
          <w:tbl>
            <w:tblPr>
              <w:tblpPr w:leftFromText="180" w:rightFromText="180" w:vertAnchor="text" w:tblpXSpec="center" w:tblpY="1"/>
              <w:tblOverlap w:val="never"/>
              <w:tblW w:w="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569"/>
              <w:gridCol w:w="1701"/>
              <w:gridCol w:w="397"/>
              <w:gridCol w:w="227"/>
              <w:gridCol w:w="227"/>
              <w:gridCol w:w="227"/>
              <w:gridCol w:w="1531"/>
            </w:tblGrid>
            <w:tr w:rsidR="007F4594" w:rsidRPr="009D3827" w:rsidTr="009723F1">
              <w:trPr>
                <w:cantSplit/>
              </w:trPr>
              <w:tc>
                <w:tcPr>
                  <w:tcW w:w="569" w:type="dxa"/>
                </w:tcPr>
                <w:p w:rsidR="007F4594" w:rsidRPr="009D3827" w:rsidRDefault="007F4594" w:rsidP="007F4594">
                  <w:pPr>
                    <w:ind w:right="-28"/>
                    <w:jc w:val="center"/>
                    <w:rPr>
                      <w:lang w:eastAsia="uk-UA"/>
                    </w:rPr>
                  </w:pPr>
                  <w:r w:rsidRPr="009D3827">
                    <w:rPr>
                      <w:lang w:eastAsia="uk-UA"/>
                    </w:rPr>
                    <w:t>3.13</w:t>
                  </w:r>
                </w:p>
              </w:tc>
              <w:tc>
                <w:tcPr>
                  <w:tcW w:w="1701" w:type="dxa"/>
                </w:tcPr>
                <w:p w:rsidR="007F4594" w:rsidRPr="009D3827" w:rsidRDefault="007F4594" w:rsidP="007F4594">
                  <w:pPr>
                    <w:jc w:val="center"/>
                  </w:pPr>
                  <w:r w:rsidRPr="009D3827">
                    <w:t>Ліцензіат надає  оператору системи передачі повідомлення про використання придбаної ним пропускної спроможності відповідно до правил ринку</w:t>
                  </w:r>
                </w:p>
              </w:tc>
              <w:tc>
                <w:tcPr>
                  <w:tcW w:w="397" w:type="dxa"/>
                </w:tcPr>
                <w:p w:rsidR="007F4594" w:rsidRPr="009D3827" w:rsidRDefault="007F4594" w:rsidP="007F4594">
                  <w:pPr>
                    <w:keepNext/>
                    <w:ind w:left="-28" w:right="-28"/>
                    <w:jc w:val="center"/>
                    <w:rPr>
                      <w:bCs/>
                      <w:lang w:eastAsia="uk-UA"/>
                    </w:rPr>
                  </w:pPr>
                </w:p>
              </w:tc>
              <w:tc>
                <w:tcPr>
                  <w:tcW w:w="227" w:type="dxa"/>
                </w:tcPr>
                <w:p w:rsidR="007F4594" w:rsidRPr="009D3827" w:rsidRDefault="007F4594" w:rsidP="007F4594">
                  <w:pPr>
                    <w:keepNext/>
                    <w:ind w:left="-28" w:right="-28"/>
                    <w:jc w:val="center"/>
                    <w:rPr>
                      <w:bCs/>
                      <w:lang w:eastAsia="uk-UA"/>
                    </w:rPr>
                  </w:pPr>
                </w:p>
              </w:tc>
              <w:tc>
                <w:tcPr>
                  <w:tcW w:w="227" w:type="dxa"/>
                </w:tcPr>
                <w:p w:rsidR="007F4594" w:rsidRPr="009D3827" w:rsidRDefault="007F4594" w:rsidP="007F4594">
                  <w:pPr>
                    <w:keepNext/>
                    <w:ind w:left="-28" w:right="-28"/>
                    <w:jc w:val="center"/>
                    <w:rPr>
                      <w:bCs/>
                      <w:lang w:eastAsia="uk-UA"/>
                    </w:rPr>
                  </w:pPr>
                </w:p>
              </w:tc>
              <w:tc>
                <w:tcPr>
                  <w:tcW w:w="227" w:type="dxa"/>
                </w:tcPr>
                <w:p w:rsidR="007F4594" w:rsidRPr="009D3827" w:rsidRDefault="007F4594" w:rsidP="007F4594">
                  <w:pPr>
                    <w:keepNext/>
                    <w:ind w:left="-28" w:right="-28"/>
                    <w:jc w:val="center"/>
                    <w:rPr>
                      <w:bCs/>
                      <w:lang w:eastAsia="uk-UA"/>
                    </w:rPr>
                  </w:pPr>
                </w:p>
              </w:tc>
              <w:tc>
                <w:tcPr>
                  <w:tcW w:w="1531" w:type="dxa"/>
                </w:tcPr>
                <w:p w:rsidR="007F4594" w:rsidRPr="009D3827" w:rsidRDefault="007F4594" w:rsidP="007F4594">
                  <w:pPr>
                    <w:keepNext/>
                    <w:ind w:left="-28" w:right="-28"/>
                    <w:jc w:val="center"/>
                    <w:rPr>
                      <w:bCs/>
                      <w:lang w:eastAsia="uk-UA"/>
                    </w:rPr>
                  </w:pPr>
                  <w:r w:rsidRPr="009D3827">
                    <w:rPr>
                      <w:bCs/>
                      <w:lang w:eastAsia="uk-UA"/>
                    </w:rPr>
                    <w:t xml:space="preserve">підпункт 31 пункту 2.2 </w:t>
                  </w:r>
                </w:p>
                <w:p w:rsidR="007F4594" w:rsidRPr="009D3827" w:rsidRDefault="007F4594" w:rsidP="007F4594">
                  <w:pPr>
                    <w:keepNext/>
                    <w:ind w:left="-28" w:right="-28"/>
                    <w:jc w:val="center"/>
                    <w:rPr>
                      <w:bCs/>
                      <w:lang w:eastAsia="uk-UA"/>
                    </w:rPr>
                  </w:pPr>
                  <w:r w:rsidRPr="009D3827">
                    <w:rPr>
                      <w:bCs/>
                      <w:lang w:eastAsia="uk-UA"/>
                    </w:rPr>
                    <w:t>ЛУ № 1468</w:t>
                  </w:r>
                </w:p>
              </w:tc>
            </w:tr>
          </w:tbl>
          <w:p w:rsidR="007F4594" w:rsidRPr="009D3827" w:rsidRDefault="007F4594" w:rsidP="007F4594">
            <w:pPr>
              <w:ind w:firstLine="308"/>
              <w:jc w:val="both"/>
              <w:rPr>
                <w:sz w:val="22"/>
                <w:szCs w:val="22"/>
                <w:shd w:val="clear" w:color="auto" w:fill="FFFFFF"/>
              </w:rPr>
            </w:pPr>
          </w:p>
        </w:tc>
        <w:tc>
          <w:tcPr>
            <w:tcW w:w="5066" w:type="dxa"/>
            <w:shd w:val="clear" w:color="auto" w:fill="auto"/>
          </w:tcPr>
          <w:p w:rsidR="007F4594" w:rsidRPr="009D3827" w:rsidRDefault="007F4594" w:rsidP="007F4594">
            <w:pPr>
              <w:ind w:firstLine="308"/>
              <w:jc w:val="both"/>
              <w:rPr>
                <w:i/>
                <w:sz w:val="22"/>
                <w:szCs w:val="22"/>
                <w:shd w:val="clear" w:color="auto" w:fill="FFFFFF"/>
              </w:rPr>
            </w:pPr>
            <w:r w:rsidRPr="009D3827">
              <w:rPr>
                <w:i/>
                <w:sz w:val="22"/>
                <w:szCs w:val="22"/>
                <w:shd w:val="clear" w:color="auto" w:fill="FFFFFF"/>
              </w:rPr>
              <w:t>ТОВ «Д.ТРЕЙДІНГ»</w:t>
            </w: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r w:rsidRPr="009D3827">
              <w:rPr>
                <w:b/>
                <w:bCs/>
                <w:sz w:val="22"/>
                <w:szCs w:val="22"/>
              </w:rPr>
              <w:t>Вилучити пункт 3.13</w:t>
            </w:r>
          </w:p>
          <w:p w:rsidR="007F4594" w:rsidRPr="009D3827" w:rsidRDefault="007F4594" w:rsidP="007F4594">
            <w:pPr>
              <w:ind w:firstLine="308"/>
              <w:jc w:val="both"/>
              <w:rPr>
                <w:i/>
                <w:sz w:val="22"/>
                <w:szCs w:val="22"/>
                <w:shd w:val="clear" w:color="auto" w:fill="FFFFFF"/>
              </w:rPr>
            </w:pPr>
          </w:p>
          <w:p w:rsidR="007F4594" w:rsidRPr="00682EAB" w:rsidRDefault="007F4594" w:rsidP="007F4594">
            <w:pPr>
              <w:ind w:firstLine="308"/>
              <w:jc w:val="both"/>
              <w:rPr>
                <w:i/>
                <w:sz w:val="22"/>
                <w:szCs w:val="22"/>
                <w:shd w:val="clear" w:color="auto" w:fill="FFFFFF"/>
              </w:rPr>
            </w:pPr>
            <w:r w:rsidRPr="00682EAB">
              <w:rPr>
                <w:i/>
                <w:sz w:val="22"/>
                <w:szCs w:val="22"/>
                <w:shd w:val="clear" w:color="auto" w:fill="FFFFFF"/>
              </w:rPr>
              <w:t>ОБҐРУНТУВАННЯ:</w:t>
            </w:r>
          </w:p>
          <w:p w:rsidR="007F4594" w:rsidRPr="009D3827" w:rsidRDefault="007F4594" w:rsidP="007F4594">
            <w:pPr>
              <w:ind w:firstLine="308"/>
              <w:jc w:val="both"/>
              <w:rPr>
                <w:i/>
                <w:sz w:val="22"/>
                <w:szCs w:val="22"/>
                <w:shd w:val="clear" w:color="auto" w:fill="FFFFFF"/>
              </w:rPr>
            </w:pPr>
            <w:r w:rsidRPr="00682EAB">
              <w:rPr>
                <w:rStyle w:val="cf01"/>
                <w:rFonts w:ascii="Times New Roman" w:hAnsi="Times New Roman" w:cs="Times New Roman"/>
                <w:i/>
                <w:sz w:val="22"/>
                <w:szCs w:val="22"/>
              </w:rPr>
              <w:t>Відповідно до Правил ринку учасники ринку, які отримали ФПП, зобов'язані надати ОСП графік експорту та/або імпорту для кожного міждержавного перетину, за яким учасник ринку планує здійснення операцій з експорту та/або імпорту, що передбачено пунктом 3.4 Переліку питань.</w:t>
            </w:r>
          </w:p>
        </w:tc>
        <w:tc>
          <w:tcPr>
            <w:tcW w:w="5066" w:type="dxa"/>
            <w:shd w:val="clear" w:color="auto" w:fill="auto"/>
            <w:vAlign w:val="center"/>
          </w:tcPr>
          <w:p w:rsidR="007F4594" w:rsidRPr="009D3827" w:rsidRDefault="007F4594" w:rsidP="007F4594">
            <w:pPr>
              <w:rPr>
                <w:b/>
                <w:sz w:val="22"/>
                <w:szCs w:val="22"/>
              </w:rPr>
            </w:pPr>
            <w:r w:rsidRPr="00DE216B">
              <w:rPr>
                <w:b/>
                <w:sz w:val="22"/>
                <w:szCs w:val="22"/>
              </w:rPr>
              <w:t>Не враховано, оскільки питання 3.6 та 3.7 мають різний зміст досліджень, а також підпункт 31 пункту 2.2 Ліцензійних умов є чинним та не підлягає виключенню із переліку питань</w:t>
            </w:r>
          </w:p>
        </w:tc>
      </w:tr>
      <w:tr w:rsidR="007F4594" w:rsidRPr="009D3827" w:rsidTr="00EC7524">
        <w:trPr>
          <w:trHeight w:val="595"/>
        </w:trPr>
        <w:tc>
          <w:tcPr>
            <w:tcW w:w="15197" w:type="dxa"/>
            <w:gridSpan w:val="3"/>
            <w:shd w:val="clear" w:color="auto" w:fill="FFD966" w:themeFill="accent4" w:themeFillTint="99"/>
          </w:tcPr>
          <w:p w:rsidR="007F4594" w:rsidRPr="009D3827" w:rsidRDefault="007F4594" w:rsidP="007F4594">
            <w:pPr>
              <w:jc w:val="center"/>
              <w:rPr>
                <w:b/>
                <w:sz w:val="22"/>
                <w:szCs w:val="22"/>
              </w:rPr>
            </w:pPr>
            <w:r w:rsidRPr="009D3827">
              <w:rPr>
                <w:b/>
                <w:sz w:val="22"/>
                <w:szCs w:val="22"/>
              </w:rPr>
              <w:t>Додаток 24</w:t>
            </w:r>
          </w:p>
          <w:p w:rsidR="007F4594" w:rsidRPr="009D3827" w:rsidRDefault="007F4594" w:rsidP="007F4594">
            <w:pPr>
              <w:jc w:val="center"/>
              <w:rPr>
                <w:b/>
                <w:sz w:val="22"/>
                <w:szCs w:val="22"/>
              </w:rPr>
            </w:pPr>
          </w:p>
          <w:p w:rsidR="007F4594" w:rsidRPr="009D3827" w:rsidRDefault="007F4594" w:rsidP="007F4594">
            <w:pPr>
              <w:jc w:val="center"/>
              <w:rPr>
                <w:b/>
                <w:sz w:val="22"/>
                <w:szCs w:val="22"/>
              </w:rPr>
            </w:pPr>
            <w:r w:rsidRPr="009D3827">
              <w:rPr>
                <w:b/>
                <w:sz w:val="22"/>
                <w:szCs w:val="22"/>
              </w:rPr>
              <w:t>Методика визначення сум надлишково отриманого або недоотриманого доходу від здійснення ліцензованої діяльності з розподілу електричної енергії</w:t>
            </w:r>
          </w:p>
        </w:tc>
      </w:tr>
      <w:tr w:rsidR="007F4594" w:rsidRPr="009D3827" w:rsidTr="00276080">
        <w:trPr>
          <w:trHeight w:val="595"/>
        </w:trPr>
        <w:tc>
          <w:tcPr>
            <w:tcW w:w="5065" w:type="dxa"/>
            <w:shd w:val="clear" w:color="auto" w:fill="auto"/>
          </w:tcPr>
          <w:p w:rsidR="007F4594" w:rsidRPr="009D3827" w:rsidRDefault="007F4594" w:rsidP="007F4594">
            <w:pPr>
              <w:ind w:firstLine="308"/>
              <w:jc w:val="both"/>
              <w:rPr>
                <w:sz w:val="22"/>
                <w:shd w:val="clear" w:color="auto" w:fill="FFFFFF"/>
              </w:rPr>
            </w:pPr>
          </w:p>
          <w:p w:rsidR="007F4594" w:rsidRPr="009D3827" w:rsidRDefault="007F4594" w:rsidP="007F4594">
            <w:pPr>
              <w:ind w:firstLine="308"/>
              <w:jc w:val="both"/>
              <w:rPr>
                <w:sz w:val="22"/>
                <w:shd w:val="clear" w:color="auto" w:fill="FFFFFF"/>
              </w:rPr>
            </w:pPr>
          </w:p>
          <w:p w:rsidR="007F4594" w:rsidRPr="009D3827" w:rsidRDefault="007F4594" w:rsidP="007F4594">
            <w:pPr>
              <w:ind w:firstLine="308"/>
              <w:jc w:val="both"/>
              <w:rPr>
                <w:sz w:val="22"/>
                <w:shd w:val="clear" w:color="auto" w:fill="FFFFFF"/>
              </w:rPr>
            </w:pPr>
            <w:r w:rsidRPr="009D3827">
              <w:rPr>
                <w:sz w:val="22"/>
                <w:shd w:val="clear" w:color="auto" w:fill="FFFFFF"/>
              </w:rPr>
              <w:t xml:space="preserve">4. З метою визначення об'єктивної суми коштів, отриманої для фінансування ліцензованої діяльності, при проведенні планових або </w:t>
            </w:r>
            <w:r w:rsidRPr="009D3827">
              <w:rPr>
                <w:sz w:val="22"/>
                <w:shd w:val="clear" w:color="auto" w:fill="FFFFFF"/>
              </w:rPr>
              <w:lastRenderedPageBreak/>
              <w:t>позапланових перевірок в акті перевірки фіксуються такі показники:</w:t>
            </w:r>
          </w:p>
          <w:p w:rsidR="007F4594" w:rsidRPr="009D3827" w:rsidRDefault="007F4594" w:rsidP="007F4594">
            <w:pPr>
              <w:ind w:firstLine="308"/>
              <w:jc w:val="both"/>
              <w:rPr>
                <w:sz w:val="22"/>
                <w:shd w:val="clear" w:color="auto" w:fill="FFFFFF"/>
              </w:rPr>
            </w:pPr>
          </w:p>
          <w:p w:rsidR="007F4594" w:rsidRPr="009D3827" w:rsidRDefault="007F4594" w:rsidP="007F4594">
            <w:pPr>
              <w:ind w:firstLine="308"/>
              <w:jc w:val="both"/>
              <w:rPr>
                <w:sz w:val="22"/>
                <w:shd w:val="clear" w:color="auto" w:fill="FFFFFF"/>
              </w:rPr>
            </w:pPr>
            <w:r w:rsidRPr="009D3827">
              <w:rPr>
                <w:sz w:val="22"/>
                <w:shd w:val="clear" w:color="auto" w:fill="FFFFFF"/>
              </w:rPr>
              <w:t>&lt;…&gt;</w:t>
            </w:r>
          </w:p>
          <w:p w:rsidR="007F4594" w:rsidRPr="009D3827" w:rsidRDefault="007F4594" w:rsidP="007F4594">
            <w:pPr>
              <w:ind w:firstLine="308"/>
              <w:jc w:val="both"/>
              <w:rPr>
                <w:sz w:val="22"/>
                <w:shd w:val="clear" w:color="auto" w:fill="FFFFFF"/>
              </w:rPr>
            </w:pPr>
          </w:p>
          <w:p w:rsidR="007F4594" w:rsidRPr="009D3827" w:rsidRDefault="007F4594" w:rsidP="007F4594">
            <w:pPr>
              <w:ind w:firstLine="308"/>
              <w:jc w:val="both"/>
              <w:rPr>
                <w:b/>
                <w:sz w:val="22"/>
                <w:shd w:val="clear" w:color="auto" w:fill="FFFFFF"/>
              </w:rPr>
            </w:pPr>
            <w:r w:rsidRPr="009D3827">
              <w:rPr>
                <w:b/>
                <w:sz w:val="22"/>
                <w:shd w:val="clear" w:color="auto" w:fill="FFFFFF"/>
              </w:rPr>
              <w:t>8) фактичний рівень розрахунків ліцензіата з оператором системи передачі помісячно та наростаючим підсумком станом на 01.01.2025 та 31.12.2025.</w:t>
            </w:r>
          </w:p>
          <w:p w:rsidR="007F4594" w:rsidRPr="009D3827" w:rsidRDefault="007F4594" w:rsidP="007F4594">
            <w:pPr>
              <w:ind w:firstLine="308"/>
              <w:jc w:val="both"/>
              <w:rPr>
                <w:b/>
                <w:sz w:val="22"/>
                <w:shd w:val="clear" w:color="auto" w:fill="FFFFFF"/>
              </w:rPr>
            </w:pPr>
            <w:r w:rsidRPr="009D3827">
              <w:rPr>
                <w:b/>
                <w:sz w:val="22"/>
                <w:shd w:val="clear" w:color="auto" w:fill="FFFFFF"/>
              </w:rPr>
              <w:t>Фактичні суми коштів, отримані за послуги з розподілу електричної енергії (помісячно та наростаючим підсумком станом на 31.12.2025), на виконання зобов’язань, передбачених рішеннями Регулятора про встановлення тарифів на послуги з розподілу електричної енергії на звітний рік (включення до структури тарифів на послуги з розподілу електричної енергії залишкових позитивних сум коригувань, рішення за якими прийнято за результатами перевірок ліцензованої діяльності). Отримані кошти визначаються на підставі середньозваженого помісячного відсотка надходження коштів на 1 та 2 класах напруги.</w:t>
            </w:r>
          </w:p>
          <w:p w:rsidR="007F4594" w:rsidRPr="009D3827" w:rsidRDefault="007F4594" w:rsidP="007F4594">
            <w:pPr>
              <w:ind w:firstLine="308"/>
              <w:jc w:val="both"/>
              <w:rPr>
                <w:b/>
                <w:sz w:val="22"/>
                <w:shd w:val="clear" w:color="auto" w:fill="FFFFFF"/>
              </w:rPr>
            </w:pPr>
            <w:r w:rsidRPr="009D3827">
              <w:rPr>
                <w:b/>
                <w:sz w:val="22"/>
                <w:shd w:val="clear" w:color="auto" w:fill="FFFFFF"/>
              </w:rPr>
              <w:t>Фактичні суми коштів, спрямовані на виконання вказаних зобов’язань, передбачених рішеннями Регулятора про встановлення тарифів на послуги з розподілу електричної енергії на звітний рік (помісячно та наростаючим підсумком станом на 31.12.2025):</w:t>
            </w:r>
          </w:p>
          <w:p w:rsidR="007F4594" w:rsidRPr="009D3827" w:rsidRDefault="007F4594" w:rsidP="007F4594">
            <w:pPr>
              <w:ind w:firstLine="308"/>
              <w:jc w:val="both"/>
              <w:rPr>
                <w:b/>
                <w:sz w:val="22"/>
                <w:shd w:val="clear" w:color="auto" w:fill="FFFFFF"/>
              </w:rPr>
            </w:pPr>
            <w:r w:rsidRPr="009D3827">
              <w:rPr>
                <w:b/>
                <w:sz w:val="22"/>
                <w:shd w:val="clear" w:color="auto" w:fill="FFFFFF"/>
              </w:rPr>
              <w:t>для погашення заборгованості перед оператором системи передачі;</w:t>
            </w:r>
          </w:p>
          <w:p w:rsidR="007F4594" w:rsidRPr="009D3827" w:rsidRDefault="007F4594" w:rsidP="007F4594">
            <w:pPr>
              <w:ind w:firstLine="308"/>
              <w:jc w:val="both"/>
              <w:rPr>
                <w:b/>
                <w:sz w:val="22"/>
                <w:shd w:val="clear" w:color="auto" w:fill="FFFFFF"/>
              </w:rPr>
            </w:pPr>
            <w:r w:rsidRPr="009D3827">
              <w:rPr>
                <w:b/>
                <w:sz w:val="22"/>
                <w:shd w:val="clear" w:color="auto" w:fill="FFFFFF"/>
              </w:rPr>
              <w:t>для проходження осінньо-зимового періоду 2025/2026;</w:t>
            </w:r>
          </w:p>
          <w:p w:rsidR="007F4594" w:rsidRPr="009D3827" w:rsidRDefault="007F4594" w:rsidP="007F4594">
            <w:pPr>
              <w:ind w:firstLine="308"/>
              <w:jc w:val="both"/>
              <w:rPr>
                <w:sz w:val="22"/>
                <w:szCs w:val="22"/>
                <w:shd w:val="clear" w:color="auto" w:fill="FFFFFF"/>
              </w:rPr>
            </w:pPr>
          </w:p>
        </w:tc>
        <w:tc>
          <w:tcPr>
            <w:tcW w:w="5066" w:type="dxa"/>
            <w:shd w:val="clear" w:color="auto" w:fill="auto"/>
          </w:tcPr>
          <w:p w:rsidR="007F4594" w:rsidRPr="009D3827" w:rsidRDefault="007F4594" w:rsidP="007F4594">
            <w:pPr>
              <w:ind w:firstLine="308"/>
              <w:jc w:val="both"/>
              <w:rPr>
                <w:i/>
                <w:sz w:val="22"/>
                <w:szCs w:val="22"/>
                <w:shd w:val="clear" w:color="auto" w:fill="FFFFFF"/>
              </w:rPr>
            </w:pPr>
            <w:r w:rsidRPr="009D3827">
              <w:rPr>
                <w:i/>
                <w:sz w:val="22"/>
                <w:szCs w:val="22"/>
                <w:shd w:val="clear" w:color="auto" w:fill="FFFFFF"/>
              </w:rPr>
              <w:lastRenderedPageBreak/>
              <w:t>АТ «ДТЕК ДНІПРОВСЬКІ ЕЛЕКТРОМЕРЕЖІ»</w:t>
            </w:r>
          </w:p>
          <w:p w:rsidR="007F4594" w:rsidRPr="009D3827" w:rsidRDefault="007F4594" w:rsidP="007F4594">
            <w:pPr>
              <w:ind w:firstLine="308"/>
              <w:jc w:val="both"/>
              <w:rPr>
                <w:i/>
                <w:sz w:val="24"/>
                <w:szCs w:val="22"/>
                <w:shd w:val="clear" w:color="auto" w:fill="FFFFFF"/>
              </w:rPr>
            </w:pPr>
            <w:r w:rsidRPr="009D3827">
              <w:rPr>
                <w:i/>
                <w:sz w:val="22"/>
                <w:szCs w:val="22"/>
                <w:shd w:val="clear" w:color="auto" w:fill="FFFFFF"/>
              </w:rPr>
              <w:t>АТ «ДТЕК ОДЕСЬКІ ЕЛЕКТРОМЕРЕЖІ»</w:t>
            </w:r>
          </w:p>
          <w:p w:rsidR="007F4594" w:rsidRPr="009D3827" w:rsidRDefault="007F4594" w:rsidP="007F4594">
            <w:pPr>
              <w:ind w:firstLine="308"/>
              <w:jc w:val="both"/>
              <w:rPr>
                <w:sz w:val="22"/>
                <w:shd w:val="clear" w:color="auto" w:fill="FFFFFF"/>
              </w:rPr>
            </w:pPr>
            <w:r w:rsidRPr="009D3827">
              <w:rPr>
                <w:sz w:val="22"/>
                <w:shd w:val="clear" w:color="auto" w:fill="FFFFFF"/>
              </w:rPr>
              <w:t xml:space="preserve">4. З метою визначення об'єктивної суми коштів, отриманої для фінансування ліцензованої діяльності, при проведенні планових або </w:t>
            </w:r>
            <w:r w:rsidRPr="009D3827">
              <w:rPr>
                <w:sz w:val="22"/>
                <w:shd w:val="clear" w:color="auto" w:fill="FFFFFF"/>
              </w:rPr>
              <w:lastRenderedPageBreak/>
              <w:t>позапланових перевірок в акті перевірки фіксуються такі показники:</w:t>
            </w:r>
          </w:p>
          <w:p w:rsidR="007F4594" w:rsidRPr="009D3827" w:rsidRDefault="007F4594" w:rsidP="007F4594">
            <w:pPr>
              <w:ind w:firstLine="308"/>
              <w:jc w:val="both"/>
              <w:rPr>
                <w:sz w:val="22"/>
                <w:shd w:val="clear" w:color="auto" w:fill="FFFFFF"/>
              </w:rPr>
            </w:pPr>
          </w:p>
          <w:p w:rsidR="007F4594" w:rsidRPr="009D3827" w:rsidRDefault="007F4594" w:rsidP="007F4594">
            <w:pPr>
              <w:ind w:firstLine="308"/>
              <w:jc w:val="both"/>
              <w:rPr>
                <w:sz w:val="22"/>
                <w:shd w:val="clear" w:color="auto" w:fill="FFFFFF"/>
              </w:rPr>
            </w:pPr>
            <w:r w:rsidRPr="009D3827">
              <w:rPr>
                <w:sz w:val="22"/>
                <w:shd w:val="clear" w:color="auto" w:fill="FFFFFF"/>
              </w:rPr>
              <w:t>&lt;…&gt;</w:t>
            </w:r>
          </w:p>
          <w:p w:rsidR="007F4594" w:rsidRPr="009D3827" w:rsidRDefault="007F4594" w:rsidP="007F4594">
            <w:pPr>
              <w:ind w:firstLine="308"/>
              <w:jc w:val="both"/>
              <w:rPr>
                <w:sz w:val="22"/>
                <w:szCs w:val="22"/>
                <w:shd w:val="clear" w:color="auto" w:fill="FFFFFF"/>
              </w:rPr>
            </w:pPr>
          </w:p>
          <w:p w:rsidR="007F4594" w:rsidRPr="009D3827" w:rsidRDefault="007F4594" w:rsidP="007F4594">
            <w:pPr>
              <w:ind w:firstLine="308"/>
              <w:jc w:val="both"/>
              <w:rPr>
                <w:b/>
                <w:sz w:val="22"/>
                <w:szCs w:val="22"/>
                <w:shd w:val="clear" w:color="auto" w:fill="FFFFFF"/>
              </w:rPr>
            </w:pPr>
            <w:r w:rsidRPr="009D3827">
              <w:rPr>
                <w:b/>
                <w:sz w:val="22"/>
                <w:szCs w:val="22"/>
                <w:shd w:val="clear" w:color="auto" w:fill="FFFFFF"/>
              </w:rPr>
              <w:t>8) фактичний рівень розрахунків ліцензіатів з ОСП помісячно та наростаючим підсумком станом на 01.01.25, 31.12.25 та 01.03.26 за попередні роки з урахуванням наступних чинників: недоотриманих коштів від зниження обсягів розподілу в 2025р, збитку від ціни закупівлі ТВЕ за 2025 рік та коштів, що залишились неповернутими в рамках перевірок за попередні періоди та будуть повернуті лише в 2027р.</w:t>
            </w:r>
          </w:p>
          <w:p w:rsidR="007F4594" w:rsidRPr="009D3827" w:rsidRDefault="007F4594" w:rsidP="007F4594">
            <w:pPr>
              <w:ind w:firstLine="308"/>
              <w:jc w:val="both"/>
              <w:rPr>
                <w:b/>
                <w:strike/>
                <w:sz w:val="22"/>
                <w:szCs w:val="22"/>
                <w:shd w:val="clear" w:color="auto" w:fill="FFFFFF"/>
              </w:rPr>
            </w:pPr>
            <w:r w:rsidRPr="009D3827">
              <w:rPr>
                <w:b/>
                <w:strike/>
                <w:sz w:val="22"/>
                <w:szCs w:val="22"/>
                <w:shd w:val="clear" w:color="auto" w:fill="FFFFFF"/>
              </w:rPr>
              <w:t>Фактичні суми коштів, отримані за послуги з розподілу електричної енергії (помісячно та наростаючим підсумком станом на 31.12.2025), на виконання зобов’язань, передбачених рішеннями Регулятора про встановлення тарифів на послуги з розподілу електричної енергії на звітний рік (включення до структури тарифів на послуги з розподілу електричної енергії залишкових позитивних сум коригувань, рішення за якими прийнято за результатами перевірок ліцензованої діяльності). Отримані кошти визначаються на підставі середньозваженого помісячного відсотка надходження коштів на 1 та 2 класах напруги.</w:t>
            </w:r>
          </w:p>
          <w:p w:rsidR="007F4594" w:rsidRPr="009D3827" w:rsidRDefault="007F4594" w:rsidP="007F4594">
            <w:pPr>
              <w:ind w:firstLine="308"/>
              <w:jc w:val="both"/>
              <w:rPr>
                <w:b/>
                <w:strike/>
                <w:sz w:val="22"/>
                <w:szCs w:val="22"/>
                <w:shd w:val="clear" w:color="auto" w:fill="FFFFFF"/>
              </w:rPr>
            </w:pPr>
            <w:r w:rsidRPr="009D3827">
              <w:rPr>
                <w:b/>
                <w:strike/>
                <w:sz w:val="22"/>
                <w:szCs w:val="22"/>
                <w:shd w:val="clear" w:color="auto" w:fill="FFFFFF"/>
              </w:rPr>
              <w:t>Фактичні суми коштів, спрямовані на виконання вказаних зобов’язань, передбачених рішеннями Регулятора про встановлення тарифів на послуги з розподілу електричної енергії на звітний рік (помісячно та наростаючим підсумком станом на 31.12.2025):</w:t>
            </w:r>
          </w:p>
          <w:p w:rsidR="007F4594" w:rsidRPr="009D3827" w:rsidRDefault="007F4594" w:rsidP="007F4594">
            <w:pPr>
              <w:ind w:firstLine="308"/>
              <w:jc w:val="both"/>
              <w:rPr>
                <w:b/>
                <w:strike/>
                <w:sz w:val="22"/>
                <w:szCs w:val="22"/>
                <w:shd w:val="clear" w:color="auto" w:fill="FFFFFF"/>
              </w:rPr>
            </w:pPr>
            <w:r w:rsidRPr="009D3827">
              <w:rPr>
                <w:b/>
                <w:strike/>
                <w:sz w:val="22"/>
                <w:szCs w:val="22"/>
                <w:shd w:val="clear" w:color="auto" w:fill="FFFFFF"/>
              </w:rPr>
              <w:t>для погашення заборгованості перед оператором системи передачі;</w:t>
            </w:r>
          </w:p>
          <w:p w:rsidR="007F4594" w:rsidRPr="009D3827" w:rsidRDefault="007F4594" w:rsidP="007F4594">
            <w:pPr>
              <w:ind w:firstLine="308"/>
              <w:jc w:val="both"/>
              <w:rPr>
                <w:b/>
                <w:strike/>
                <w:sz w:val="22"/>
                <w:szCs w:val="22"/>
                <w:shd w:val="clear" w:color="auto" w:fill="FFFFFF"/>
              </w:rPr>
            </w:pPr>
            <w:r w:rsidRPr="009D3827">
              <w:rPr>
                <w:b/>
                <w:strike/>
                <w:sz w:val="22"/>
                <w:szCs w:val="22"/>
                <w:shd w:val="clear" w:color="auto" w:fill="FFFFFF"/>
              </w:rPr>
              <w:t>для проходження осінньо-зимового періоду 2025/2026;</w:t>
            </w: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r>
              <w:rPr>
                <w:i/>
                <w:sz w:val="22"/>
                <w:szCs w:val="22"/>
                <w:shd w:val="clear" w:color="auto" w:fill="FFFFFF"/>
              </w:rPr>
              <w:t>ОБҐРУНТУВАННЯ</w:t>
            </w:r>
            <w:r w:rsidRPr="009D3827">
              <w:rPr>
                <w:i/>
                <w:sz w:val="22"/>
                <w:szCs w:val="22"/>
                <w:shd w:val="clear" w:color="auto" w:fill="FFFFFF"/>
              </w:rPr>
              <w:t>:</w:t>
            </w:r>
          </w:p>
          <w:p w:rsidR="007F4594" w:rsidRDefault="007F4594" w:rsidP="007F4594">
            <w:pPr>
              <w:ind w:firstLine="308"/>
              <w:jc w:val="both"/>
              <w:rPr>
                <w:bCs/>
                <w:sz w:val="22"/>
                <w:szCs w:val="22"/>
                <w:shd w:val="clear" w:color="auto" w:fill="FFFFFF"/>
              </w:rPr>
            </w:pPr>
            <w:r w:rsidRPr="009D3827">
              <w:rPr>
                <w:sz w:val="22"/>
                <w:szCs w:val="22"/>
                <w:shd w:val="clear" w:color="auto" w:fill="FFFFFF"/>
              </w:rPr>
              <w:t xml:space="preserve">Рішення щодо включення до структури тарифів на послуги з розподілу електричної енергії </w:t>
            </w:r>
            <w:r w:rsidRPr="009D3827">
              <w:rPr>
                <w:bCs/>
                <w:sz w:val="22"/>
                <w:szCs w:val="22"/>
                <w:shd w:val="clear" w:color="auto" w:fill="FFFFFF"/>
              </w:rPr>
              <w:t>залишкових позитивних сум коригувань, рішення за якими прийнято за результатами перевірок ліцензованої діяльності набрало чинності з 01.09.2025 року. За вказаними в рішенні тарифами ОСР почав отримувати кошти від споживачів та постачальників із затримкою в 1 - 2 місяці, що пов’язано з графіками розрахунків споживачів та постачальників за фактичну розподілену електричну енергію. У зв’язку із цим вважаємо за доцільне зазначити кінцеву дату розрахунку ОСР з оператором системи передачі 01.03.2026р. Також, пропонуємо врахувати обґрунтовані чинники неповного виконання зобов’язань щодо погашення заборгованості перед ОСП.</w:t>
            </w:r>
          </w:p>
          <w:p w:rsidR="007F4594" w:rsidRPr="00FE1B9E" w:rsidRDefault="007F4594" w:rsidP="007F4594">
            <w:pPr>
              <w:ind w:firstLine="308"/>
              <w:jc w:val="both"/>
              <w:rPr>
                <w:i/>
                <w:sz w:val="22"/>
                <w:szCs w:val="22"/>
                <w:shd w:val="clear" w:color="auto" w:fill="FFFFFF"/>
              </w:rPr>
            </w:pPr>
          </w:p>
          <w:p w:rsidR="007F4594" w:rsidRPr="00FE1B9E" w:rsidRDefault="007F4594" w:rsidP="007F4594">
            <w:pPr>
              <w:ind w:firstLine="308"/>
              <w:jc w:val="both"/>
              <w:rPr>
                <w:i/>
                <w:sz w:val="22"/>
                <w:szCs w:val="22"/>
                <w:shd w:val="clear" w:color="auto" w:fill="FFFFFF"/>
              </w:rPr>
            </w:pPr>
            <w:r w:rsidRPr="00FE1B9E">
              <w:rPr>
                <w:i/>
                <w:sz w:val="22"/>
                <w:szCs w:val="22"/>
                <w:shd w:val="clear" w:color="auto" w:fill="FFFFFF"/>
              </w:rPr>
              <w:t>ГС «РЕУ»</w:t>
            </w:r>
          </w:p>
          <w:p w:rsidR="007F4594" w:rsidRPr="00FE1B9E" w:rsidRDefault="007F4594" w:rsidP="007F4594">
            <w:pPr>
              <w:ind w:firstLine="308"/>
              <w:jc w:val="both"/>
              <w:rPr>
                <w:bCs/>
                <w:sz w:val="22"/>
                <w:szCs w:val="22"/>
                <w:shd w:val="clear" w:color="auto" w:fill="FFFFFF"/>
              </w:rPr>
            </w:pPr>
            <w:r w:rsidRPr="00FE1B9E">
              <w:rPr>
                <w:b/>
                <w:sz w:val="22"/>
                <w:szCs w:val="22"/>
                <w:shd w:val="clear" w:color="auto" w:fill="FFFFFF"/>
              </w:rPr>
              <w:t xml:space="preserve">8) </w:t>
            </w:r>
            <w:r w:rsidRPr="00FE1B9E">
              <w:rPr>
                <w:b/>
                <w:strike/>
                <w:sz w:val="22"/>
                <w:szCs w:val="22"/>
                <w:shd w:val="clear" w:color="auto" w:fill="FFFFFF"/>
              </w:rPr>
              <w:t>фактичний</w:t>
            </w:r>
            <w:r w:rsidRPr="00FE1B9E">
              <w:rPr>
                <w:b/>
                <w:sz w:val="22"/>
                <w:szCs w:val="22"/>
                <w:shd w:val="clear" w:color="auto" w:fill="FFFFFF"/>
              </w:rPr>
              <w:t xml:space="preserve"> </w:t>
            </w:r>
            <w:r w:rsidRPr="00FE1B9E">
              <w:rPr>
                <w:bCs/>
                <w:sz w:val="22"/>
                <w:szCs w:val="22"/>
                <w:shd w:val="clear" w:color="auto" w:fill="FFFFFF"/>
              </w:rPr>
              <w:t>рівень розрахунків ліцензіатів з ОСП помісячно та наростаючим підсумком станом на 01.01.25, 31.12.25 та 01.03.26 за попередні роки з урахуванням наступних чинників: недоотриманих коштів від зниження обсягів розподілу в 2025 році, збитку від ціни закупівлі ТВЕ за 2025 рік та коштів, що залишились неповернутими в рамках перевірок за попередні періоди та будуть повернуті в 2027 році.</w:t>
            </w:r>
          </w:p>
          <w:p w:rsidR="007F4594" w:rsidRPr="00FE1B9E" w:rsidRDefault="007F4594" w:rsidP="007F4594">
            <w:pPr>
              <w:ind w:firstLine="308"/>
              <w:jc w:val="both"/>
              <w:rPr>
                <w:b/>
                <w:strike/>
                <w:sz w:val="22"/>
                <w:szCs w:val="22"/>
                <w:shd w:val="clear" w:color="auto" w:fill="FFFFFF"/>
              </w:rPr>
            </w:pPr>
            <w:r w:rsidRPr="00FE1B9E">
              <w:rPr>
                <w:b/>
                <w:strike/>
                <w:sz w:val="22"/>
                <w:szCs w:val="22"/>
                <w:shd w:val="clear" w:color="auto" w:fill="FFFFFF"/>
              </w:rPr>
              <w:t xml:space="preserve">Фактичні суми коштів, отримані за послуги з розподілу електричної енергії (помісячно та наростаючим підсумком станом на 31.12.2025), на виконання зобов’язань, передбачених рішеннями Регулятора про встановлення тарифів на послуги з розподілу електричної енергії на звітний рік (включення до структури тарифів на послуги з розподілу електричної енергії залишкових позитивних сум коригувань, рішення за якими прийнято за результатами </w:t>
            </w:r>
            <w:r w:rsidRPr="00FE1B9E">
              <w:rPr>
                <w:b/>
                <w:strike/>
                <w:sz w:val="22"/>
                <w:szCs w:val="22"/>
                <w:shd w:val="clear" w:color="auto" w:fill="FFFFFF"/>
              </w:rPr>
              <w:lastRenderedPageBreak/>
              <w:t>перевірок ліцензованої діяльності). Отримані кошти визначаються на підставі середньозваженого помісячного відсотка надходження коштів на 1 та 2 класах напруги.</w:t>
            </w:r>
          </w:p>
          <w:p w:rsidR="007F4594" w:rsidRPr="00FE1B9E" w:rsidRDefault="007F4594" w:rsidP="007F4594">
            <w:pPr>
              <w:ind w:firstLine="308"/>
              <w:jc w:val="both"/>
              <w:rPr>
                <w:b/>
                <w:strike/>
                <w:sz w:val="22"/>
                <w:szCs w:val="22"/>
                <w:shd w:val="clear" w:color="auto" w:fill="FFFFFF"/>
              </w:rPr>
            </w:pPr>
            <w:r w:rsidRPr="00FE1B9E">
              <w:rPr>
                <w:b/>
                <w:strike/>
                <w:sz w:val="22"/>
                <w:szCs w:val="22"/>
                <w:shd w:val="clear" w:color="auto" w:fill="FFFFFF"/>
              </w:rPr>
              <w:t>Фактичні суми коштів, спрямовані на виконання вказаних зобов’язань, передбачених рішеннями Регулятора про встановлення тарифів на послуги з розподілу електричної енергії на звітний рік (помісячно та наростаючим підсумком станом на 31.12.2025):</w:t>
            </w:r>
          </w:p>
          <w:p w:rsidR="007F4594" w:rsidRPr="00FE1B9E" w:rsidRDefault="007F4594" w:rsidP="007F4594">
            <w:pPr>
              <w:ind w:firstLine="308"/>
              <w:jc w:val="both"/>
              <w:rPr>
                <w:b/>
                <w:strike/>
                <w:sz w:val="22"/>
                <w:szCs w:val="22"/>
                <w:shd w:val="clear" w:color="auto" w:fill="FFFFFF"/>
              </w:rPr>
            </w:pPr>
            <w:r w:rsidRPr="00FE1B9E">
              <w:rPr>
                <w:b/>
                <w:strike/>
                <w:sz w:val="22"/>
                <w:szCs w:val="22"/>
                <w:shd w:val="clear" w:color="auto" w:fill="FFFFFF"/>
              </w:rPr>
              <w:t>для погашення заборгованості перед оператором системи передачі;</w:t>
            </w:r>
          </w:p>
          <w:p w:rsidR="007F4594" w:rsidRPr="00FE1B9E" w:rsidRDefault="007F4594" w:rsidP="007F4594">
            <w:pPr>
              <w:ind w:firstLine="308"/>
              <w:jc w:val="both"/>
              <w:rPr>
                <w:b/>
                <w:strike/>
                <w:sz w:val="22"/>
                <w:szCs w:val="22"/>
                <w:shd w:val="clear" w:color="auto" w:fill="FFFFFF"/>
              </w:rPr>
            </w:pPr>
            <w:r w:rsidRPr="00FE1B9E">
              <w:rPr>
                <w:b/>
                <w:strike/>
                <w:sz w:val="22"/>
                <w:szCs w:val="22"/>
                <w:shd w:val="clear" w:color="auto" w:fill="FFFFFF"/>
              </w:rPr>
              <w:t>для проходження осінньо-зимового періоду 2025/2026;</w:t>
            </w:r>
          </w:p>
          <w:p w:rsidR="007F4594" w:rsidRPr="00FE1B9E" w:rsidRDefault="007F4594" w:rsidP="007F4594">
            <w:pPr>
              <w:ind w:firstLine="308"/>
              <w:jc w:val="both"/>
              <w:rPr>
                <w:i/>
                <w:sz w:val="22"/>
                <w:szCs w:val="22"/>
                <w:shd w:val="clear" w:color="auto" w:fill="FFFFFF"/>
              </w:rPr>
            </w:pPr>
          </w:p>
          <w:p w:rsidR="007F4594" w:rsidRPr="00FE1B9E" w:rsidRDefault="007F4594" w:rsidP="007F4594">
            <w:pPr>
              <w:ind w:firstLine="308"/>
              <w:jc w:val="both"/>
              <w:rPr>
                <w:i/>
                <w:sz w:val="22"/>
                <w:szCs w:val="22"/>
                <w:shd w:val="clear" w:color="auto" w:fill="FFFFFF"/>
              </w:rPr>
            </w:pPr>
            <w:r>
              <w:rPr>
                <w:i/>
                <w:sz w:val="22"/>
                <w:szCs w:val="22"/>
                <w:shd w:val="clear" w:color="auto" w:fill="FFFFFF"/>
              </w:rPr>
              <w:t>ОБҐРУНТУВАННЯ</w:t>
            </w:r>
            <w:r w:rsidRPr="00FE1B9E">
              <w:rPr>
                <w:i/>
                <w:sz w:val="22"/>
                <w:szCs w:val="22"/>
                <w:shd w:val="clear" w:color="auto" w:fill="FFFFFF"/>
              </w:rPr>
              <w:t>:</w:t>
            </w:r>
          </w:p>
          <w:p w:rsidR="007F4594" w:rsidRPr="009D3827" w:rsidRDefault="007F4594" w:rsidP="007F4594">
            <w:pPr>
              <w:ind w:firstLine="308"/>
              <w:jc w:val="both"/>
              <w:rPr>
                <w:i/>
                <w:sz w:val="22"/>
                <w:szCs w:val="22"/>
                <w:shd w:val="clear" w:color="auto" w:fill="FFFFFF"/>
              </w:rPr>
            </w:pPr>
            <w:r w:rsidRPr="00FE1B9E">
              <w:rPr>
                <w:sz w:val="22"/>
                <w:szCs w:val="22"/>
                <w:shd w:val="clear" w:color="auto" w:fill="FFFFFF"/>
              </w:rPr>
              <w:t>Рішення про включення залишкових позитивних сум коригувань, визначених за результатами перевірок, до тарифів на розподіл електроенергії набрало чинності з 01.09.2025. Фактичне надходження коштів за новими тарифами ОСР отримав із затримкою 1–2 місяці через особливості розрахунків споживачів і постачальників за розподілену електроенергію. Тому доцільно встановити кінцеву дату розрахунків ОСР з оператором системи передачі — 01.03.2026. Також пропонуємо врахувати об’єктивні причини часткового невиконання зобов’язань щодо погашення заборгованості перед ОСП.</w:t>
            </w:r>
          </w:p>
        </w:tc>
        <w:tc>
          <w:tcPr>
            <w:tcW w:w="5066" w:type="dxa"/>
            <w:shd w:val="clear" w:color="auto" w:fill="auto"/>
            <w:vAlign w:val="center"/>
          </w:tcPr>
          <w:p w:rsidR="007F4594" w:rsidRPr="00EB305A" w:rsidRDefault="007F4594" w:rsidP="007F4594">
            <w:pPr>
              <w:widowControl w:val="0"/>
              <w:suppressAutoHyphens/>
              <w:ind w:firstLine="251"/>
              <w:jc w:val="both"/>
              <w:rPr>
                <w:b/>
                <w:bCs/>
                <w:sz w:val="22"/>
                <w:szCs w:val="22"/>
              </w:rPr>
            </w:pPr>
            <w:r w:rsidRPr="00EB305A">
              <w:rPr>
                <w:b/>
                <w:bCs/>
                <w:sz w:val="22"/>
                <w:szCs w:val="22"/>
              </w:rPr>
              <w:lastRenderedPageBreak/>
              <w:t xml:space="preserve">Загальна позиція </w:t>
            </w:r>
          </w:p>
          <w:p w:rsidR="007F4594" w:rsidRPr="00EB305A" w:rsidRDefault="00DE216B" w:rsidP="007F4594">
            <w:pPr>
              <w:widowControl w:val="0"/>
              <w:suppressAutoHyphens/>
              <w:ind w:firstLine="251"/>
              <w:jc w:val="both"/>
              <w:rPr>
                <w:b/>
                <w:bCs/>
                <w:sz w:val="22"/>
                <w:szCs w:val="22"/>
              </w:rPr>
            </w:pPr>
            <w:r>
              <w:rPr>
                <w:b/>
                <w:bCs/>
                <w:sz w:val="22"/>
                <w:szCs w:val="22"/>
              </w:rPr>
              <w:t>Не враховано</w:t>
            </w:r>
          </w:p>
          <w:p w:rsidR="007F4594" w:rsidRPr="00DE216B" w:rsidRDefault="00DE216B" w:rsidP="00DE216B">
            <w:pPr>
              <w:widowControl w:val="0"/>
              <w:suppressAutoHyphens/>
              <w:ind w:firstLine="251"/>
              <w:jc w:val="both"/>
              <w:rPr>
                <w:bCs/>
                <w:sz w:val="24"/>
                <w:szCs w:val="24"/>
              </w:rPr>
            </w:pPr>
            <w:r w:rsidRPr="00DE216B">
              <w:rPr>
                <w:rStyle w:val="cf01"/>
                <w:rFonts w:ascii="Times New Roman" w:hAnsi="Times New Roman" w:cs="Times New Roman"/>
                <w:sz w:val="22"/>
                <w:szCs w:val="22"/>
              </w:rPr>
              <w:t xml:space="preserve">Ураховуючи те, що </w:t>
            </w:r>
            <w:r w:rsidRPr="00DE216B">
              <w:rPr>
                <w:bCs/>
                <w:sz w:val="24"/>
                <w:szCs w:val="24"/>
              </w:rPr>
              <w:t>п</w:t>
            </w:r>
            <w:r w:rsidR="00AF36D5" w:rsidRPr="00DE216B">
              <w:rPr>
                <w:bCs/>
                <w:sz w:val="24"/>
                <w:szCs w:val="24"/>
              </w:rPr>
              <w:t>ід час перевірки досліджу</w:t>
            </w:r>
            <w:r w:rsidRPr="00DE216B">
              <w:rPr>
                <w:bCs/>
                <w:sz w:val="24"/>
                <w:szCs w:val="24"/>
              </w:rPr>
              <w:t>ю</w:t>
            </w:r>
            <w:r w:rsidR="00AF36D5" w:rsidRPr="00DE216B">
              <w:rPr>
                <w:bCs/>
                <w:sz w:val="24"/>
                <w:szCs w:val="24"/>
              </w:rPr>
              <w:t>ться питання виключно в рамках</w:t>
            </w:r>
            <w:r w:rsidR="00F35E2A" w:rsidRPr="00DE216B">
              <w:rPr>
                <w:bCs/>
                <w:sz w:val="24"/>
                <w:szCs w:val="24"/>
              </w:rPr>
              <w:t xml:space="preserve"> звітного</w:t>
            </w:r>
            <w:r w:rsidR="00AF36D5" w:rsidRPr="00DE216B">
              <w:rPr>
                <w:bCs/>
                <w:sz w:val="24"/>
                <w:szCs w:val="24"/>
              </w:rPr>
              <w:t xml:space="preserve"> року</w:t>
            </w:r>
            <w:r w:rsidRPr="00DE216B">
              <w:rPr>
                <w:bCs/>
                <w:sz w:val="24"/>
                <w:szCs w:val="24"/>
              </w:rPr>
              <w:t xml:space="preserve">, в </w:t>
            </w:r>
            <w:r w:rsidR="00AF36D5" w:rsidRPr="00DE216B">
              <w:rPr>
                <w:bCs/>
                <w:sz w:val="24"/>
                <w:szCs w:val="24"/>
              </w:rPr>
              <w:t xml:space="preserve">акті </w:t>
            </w:r>
            <w:r w:rsidRPr="00DE216B">
              <w:rPr>
                <w:bCs/>
                <w:sz w:val="24"/>
                <w:szCs w:val="24"/>
              </w:rPr>
              <w:t xml:space="preserve">перевірки </w:t>
            </w:r>
            <w:r w:rsidR="00AF36D5" w:rsidRPr="00DE216B">
              <w:rPr>
                <w:bCs/>
                <w:sz w:val="24"/>
                <w:szCs w:val="24"/>
              </w:rPr>
              <w:t>довідково може фіксуватися стан ро</w:t>
            </w:r>
            <w:r w:rsidR="00F35E2A" w:rsidRPr="00DE216B">
              <w:rPr>
                <w:bCs/>
                <w:sz w:val="24"/>
                <w:szCs w:val="24"/>
              </w:rPr>
              <w:t xml:space="preserve">зрахунків станом на іншу </w:t>
            </w:r>
            <w:r w:rsidR="00F35E2A" w:rsidRPr="00DE216B">
              <w:rPr>
                <w:bCs/>
                <w:sz w:val="24"/>
                <w:szCs w:val="24"/>
              </w:rPr>
              <w:lastRenderedPageBreak/>
              <w:t>дату, у разі надання ліцензіатом такої інформації самостійно</w:t>
            </w:r>
          </w:p>
          <w:p w:rsidR="007F4594" w:rsidRPr="00DE216B" w:rsidRDefault="007F4594" w:rsidP="007F4594">
            <w:pPr>
              <w:widowControl w:val="0"/>
              <w:suppressAutoHyphens/>
              <w:ind w:firstLine="251"/>
              <w:jc w:val="both"/>
              <w:rPr>
                <w:bCs/>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Pr="009D3827" w:rsidRDefault="007F4594" w:rsidP="007F4594">
            <w:pPr>
              <w:widowControl w:val="0"/>
              <w:suppressAutoHyphens/>
              <w:jc w:val="both"/>
              <w:rPr>
                <w:b/>
                <w:sz w:val="22"/>
                <w:szCs w:val="22"/>
              </w:rPr>
            </w:pPr>
          </w:p>
        </w:tc>
      </w:tr>
      <w:tr w:rsidR="007F4594" w:rsidRPr="009D3827" w:rsidTr="002200D1">
        <w:trPr>
          <w:trHeight w:val="595"/>
        </w:trPr>
        <w:tc>
          <w:tcPr>
            <w:tcW w:w="5065" w:type="dxa"/>
            <w:shd w:val="clear" w:color="auto" w:fill="auto"/>
          </w:tcPr>
          <w:p w:rsidR="007F4594" w:rsidRPr="009D3827" w:rsidRDefault="007F4594" w:rsidP="007F4594">
            <w:pPr>
              <w:ind w:firstLine="308"/>
              <w:jc w:val="both"/>
              <w:rPr>
                <w:sz w:val="22"/>
                <w:szCs w:val="22"/>
                <w:shd w:val="clear" w:color="auto" w:fill="FFFFFF"/>
              </w:rPr>
            </w:pPr>
          </w:p>
          <w:p w:rsidR="007F4594" w:rsidRPr="009D3827" w:rsidRDefault="007F4594" w:rsidP="007F4594">
            <w:pPr>
              <w:ind w:firstLine="308"/>
              <w:jc w:val="both"/>
              <w:rPr>
                <w:sz w:val="22"/>
                <w:szCs w:val="22"/>
                <w:shd w:val="clear" w:color="auto" w:fill="FFFFFF"/>
              </w:rPr>
            </w:pPr>
          </w:p>
          <w:p w:rsidR="007F4594" w:rsidRPr="009D3827" w:rsidRDefault="007F4594" w:rsidP="007F4594">
            <w:pPr>
              <w:ind w:firstLine="308"/>
              <w:jc w:val="both"/>
              <w:rPr>
                <w:sz w:val="22"/>
                <w:szCs w:val="22"/>
                <w:shd w:val="clear" w:color="auto" w:fill="FFFFFF"/>
              </w:rPr>
            </w:pPr>
          </w:p>
          <w:p w:rsidR="007F4594" w:rsidRPr="009D3827" w:rsidRDefault="007F4594" w:rsidP="007F4594">
            <w:pPr>
              <w:ind w:firstLine="308"/>
              <w:jc w:val="both"/>
              <w:rPr>
                <w:sz w:val="22"/>
                <w:szCs w:val="22"/>
                <w:shd w:val="clear" w:color="auto" w:fill="FFFFFF"/>
              </w:rPr>
            </w:pPr>
            <w:r w:rsidRPr="009D3827">
              <w:rPr>
                <w:sz w:val="22"/>
                <w:szCs w:val="22"/>
                <w:shd w:val="clear" w:color="auto" w:fill="FFFFFF"/>
              </w:rPr>
              <w:t>4. З метою визначення об'єктивної суми коштів, отриманої для фінансування ліцензованої діяльності, при проведенні планових або позапланових перевірок в акті перевірки фіксуються такі показники:</w:t>
            </w:r>
          </w:p>
          <w:p w:rsidR="007F4594" w:rsidRPr="009D3827" w:rsidRDefault="007F4594" w:rsidP="007F4594">
            <w:pPr>
              <w:ind w:firstLine="308"/>
              <w:jc w:val="both"/>
              <w:rPr>
                <w:sz w:val="22"/>
                <w:szCs w:val="22"/>
                <w:shd w:val="clear" w:color="auto" w:fill="FFFFFF"/>
              </w:rPr>
            </w:pPr>
          </w:p>
          <w:p w:rsidR="007F4594" w:rsidRPr="009D3827" w:rsidRDefault="007F4594" w:rsidP="007F4594">
            <w:pPr>
              <w:ind w:firstLine="308"/>
              <w:jc w:val="both"/>
              <w:rPr>
                <w:sz w:val="22"/>
                <w:szCs w:val="22"/>
                <w:shd w:val="clear" w:color="auto" w:fill="FFFFFF"/>
              </w:rPr>
            </w:pPr>
            <w:r w:rsidRPr="009D3827">
              <w:rPr>
                <w:sz w:val="22"/>
                <w:szCs w:val="22"/>
                <w:shd w:val="clear" w:color="auto" w:fill="FFFFFF"/>
              </w:rPr>
              <w:lastRenderedPageBreak/>
              <w:t>&lt;…&gt;</w:t>
            </w:r>
          </w:p>
          <w:p w:rsidR="007F4594" w:rsidRPr="009D3827" w:rsidRDefault="007F4594" w:rsidP="007F4594">
            <w:pPr>
              <w:ind w:firstLine="308"/>
              <w:jc w:val="both"/>
              <w:rPr>
                <w:sz w:val="22"/>
                <w:szCs w:val="22"/>
              </w:rPr>
            </w:pPr>
            <w:r w:rsidRPr="009D3827">
              <w:rPr>
                <w:b/>
                <w:sz w:val="22"/>
                <w:szCs w:val="22"/>
              </w:rPr>
              <w:t>11)</w:t>
            </w:r>
            <w:r w:rsidRPr="009D3827">
              <w:rPr>
                <w:sz w:val="22"/>
                <w:szCs w:val="22"/>
              </w:rPr>
              <w:t xml:space="preserve"> величина дефіциту або профіциту коштів у частині надходжень та витрат, пов'язаних з наданням послуг з приєднання електроустановок замовників до електричних мереж, що надані у звітному періоді (за календарний рік), яка визначається відповідно до методики (порядку) формування плати за приєднання до системи передачі та системи розподілу і підтверджується звітністю та первинними документами;</w:t>
            </w:r>
          </w:p>
          <w:p w:rsidR="007F4594" w:rsidRPr="009D3827" w:rsidRDefault="007F4594" w:rsidP="007F4594">
            <w:pPr>
              <w:ind w:firstLine="308"/>
              <w:jc w:val="both"/>
              <w:rPr>
                <w:sz w:val="22"/>
                <w:szCs w:val="22"/>
                <w:shd w:val="clear" w:color="auto" w:fill="FFFFFF"/>
              </w:rPr>
            </w:pPr>
            <w:r w:rsidRPr="009D3827">
              <w:rPr>
                <w:b/>
                <w:sz w:val="22"/>
                <w:szCs w:val="22"/>
              </w:rPr>
              <w:t>При розрахунку величини дефіциту або профіциту коштів фактичні капітальні витрати, понесені під час надання послуг за приєднання, за якими зафіксовано дефіцит коштів, приймаються рівними нулю, якщо ОСР порушено строки надання цих послуг, визначені нормативно-правовими актами та/або договором;</w:t>
            </w:r>
          </w:p>
        </w:tc>
        <w:tc>
          <w:tcPr>
            <w:tcW w:w="5066" w:type="dxa"/>
            <w:shd w:val="clear" w:color="auto" w:fill="auto"/>
          </w:tcPr>
          <w:p w:rsidR="007F4594" w:rsidRPr="009D3827" w:rsidRDefault="007F4594" w:rsidP="007F4594">
            <w:pPr>
              <w:ind w:firstLine="308"/>
              <w:jc w:val="both"/>
              <w:rPr>
                <w:i/>
                <w:sz w:val="22"/>
                <w:szCs w:val="22"/>
                <w:shd w:val="clear" w:color="auto" w:fill="FFFFFF"/>
              </w:rPr>
            </w:pPr>
            <w:r w:rsidRPr="009D3827">
              <w:rPr>
                <w:i/>
                <w:sz w:val="22"/>
                <w:szCs w:val="22"/>
                <w:shd w:val="clear" w:color="auto" w:fill="FFFFFF"/>
              </w:rPr>
              <w:lastRenderedPageBreak/>
              <w:t>АТ «ДТЕК ДНІПРОВСЬКІ ЕЛЕКТРОМЕРЕЖІ»</w:t>
            </w:r>
          </w:p>
          <w:p w:rsidR="007F4594" w:rsidRPr="009D3827" w:rsidRDefault="007F4594" w:rsidP="007F4594">
            <w:pPr>
              <w:ind w:firstLine="308"/>
              <w:jc w:val="both"/>
              <w:rPr>
                <w:i/>
                <w:sz w:val="22"/>
                <w:szCs w:val="22"/>
                <w:shd w:val="clear" w:color="auto" w:fill="FFFFFF"/>
              </w:rPr>
            </w:pPr>
            <w:r w:rsidRPr="009D3827">
              <w:rPr>
                <w:i/>
                <w:sz w:val="22"/>
                <w:szCs w:val="22"/>
                <w:shd w:val="clear" w:color="auto" w:fill="FFFFFF"/>
              </w:rPr>
              <w:t>АТ «ДТЕК ОДЕСЬКІ ЕЛЕКТРОМЕРЕЖІ»</w:t>
            </w: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sz w:val="22"/>
                <w:szCs w:val="22"/>
                <w:shd w:val="clear" w:color="auto" w:fill="FFFFFF"/>
              </w:rPr>
            </w:pPr>
            <w:r w:rsidRPr="009D3827">
              <w:rPr>
                <w:sz w:val="22"/>
                <w:szCs w:val="22"/>
                <w:shd w:val="clear" w:color="auto" w:fill="FFFFFF"/>
              </w:rPr>
              <w:t>4. З метою визначення об'єктивної суми коштів, отриманої для фінансування ліцензованої діяльності, при проведенні планових або позапланових перевірок в акті перевірки фіксуються такі показники:</w:t>
            </w:r>
          </w:p>
          <w:p w:rsidR="007F4594" w:rsidRPr="009D3827" w:rsidRDefault="007F4594" w:rsidP="007F4594">
            <w:pPr>
              <w:ind w:firstLine="308"/>
              <w:jc w:val="both"/>
              <w:rPr>
                <w:sz w:val="22"/>
                <w:szCs w:val="22"/>
                <w:shd w:val="clear" w:color="auto" w:fill="FFFFFF"/>
              </w:rPr>
            </w:pPr>
          </w:p>
          <w:p w:rsidR="007F4594" w:rsidRPr="009D3827" w:rsidRDefault="007F4594" w:rsidP="007F4594">
            <w:pPr>
              <w:ind w:firstLine="308"/>
              <w:jc w:val="both"/>
              <w:rPr>
                <w:sz w:val="22"/>
                <w:szCs w:val="22"/>
                <w:shd w:val="clear" w:color="auto" w:fill="FFFFFF"/>
              </w:rPr>
            </w:pPr>
            <w:r w:rsidRPr="009D3827">
              <w:rPr>
                <w:sz w:val="22"/>
                <w:szCs w:val="22"/>
                <w:shd w:val="clear" w:color="auto" w:fill="FFFFFF"/>
              </w:rPr>
              <w:lastRenderedPageBreak/>
              <w:t>&lt;…&gt;</w:t>
            </w:r>
          </w:p>
          <w:p w:rsidR="007F4594" w:rsidRPr="009D3827" w:rsidRDefault="007F4594" w:rsidP="007F4594">
            <w:pPr>
              <w:ind w:firstLine="308"/>
              <w:jc w:val="both"/>
              <w:rPr>
                <w:sz w:val="22"/>
                <w:szCs w:val="22"/>
              </w:rPr>
            </w:pPr>
            <w:r w:rsidRPr="009D3827">
              <w:rPr>
                <w:b/>
                <w:sz w:val="22"/>
                <w:szCs w:val="22"/>
              </w:rPr>
              <w:t>11)</w:t>
            </w:r>
            <w:r w:rsidRPr="009D3827">
              <w:rPr>
                <w:sz w:val="22"/>
                <w:szCs w:val="22"/>
              </w:rPr>
              <w:t xml:space="preserve"> величина дефіциту або профіциту коштів у частині надходжень та витрат, пов'язаних з наданням послуг з приєднання електроустановок замовників до електричних мереж, що надані у звітному періоді (за календарний рік), яка визначається відповідно до методики (порядку) формування плати за приєднання до системи передачі та системи розподілу і підтверджується звітністю та первинними документами;</w:t>
            </w:r>
          </w:p>
          <w:p w:rsidR="007F4594" w:rsidRPr="009D3827" w:rsidRDefault="007F4594" w:rsidP="007F4594">
            <w:pPr>
              <w:ind w:firstLine="308"/>
              <w:jc w:val="both"/>
              <w:rPr>
                <w:b/>
                <w:color w:val="000000" w:themeColor="text1"/>
                <w:sz w:val="22"/>
                <w:szCs w:val="22"/>
              </w:rPr>
            </w:pPr>
            <w:r w:rsidRPr="009D3827">
              <w:rPr>
                <w:b/>
                <w:sz w:val="22"/>
                <w:szCs w:val="22"/>
              </w:rPr>
              <w:t xml:space="preserve">При розрахунку величини дефіциту або профіциту коштів фактичні капітальні витрати, понесені під час надання послуг за приєднання, за якими зафіксовано дефіцит коштів, приймаються рівними нулю, </w:t>
            </w:r>
            <w:r w:rsidRPr="009D3827">
              <w:rPr>
                <w:b/>
                <w:color w:val="000000" w:themeColor="text1"/>
                <w:sz w:val="22"/>
                <w:szCs w:val="22"/>
              </w:rPr>
              <w:t>якщо термін надання цих послуг з боку ОСР перевищує 730 днів та термін, визначений договором. Якщо строк виконання менше 730 днів або строк більше ніж 730 днів, але подовжений термін виконання додатковими угодами з замовниками, то дефіцит коштів рахується повністю, виходячи з понесених капітальних витрат.</w:t>
            </w: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r>
              <w:rPr>
                <w:i/>
                <w:sz w:val="22"/>
                <w:szCs w:val="22"/>
                <w:shd w:val="clear" w:color="auto" w:fill="FFFFFF"/>
              </w:rPr>
              <w:t>ОБҐРУНТУВАННЯ</w:t>
            </w:r>
            <w:r w:rsidRPr="009D3827">
              <w:rPr>
                <w:i/>
                <w:sz w:val="22"/>
                <w:szCs w:val="22"/>
                <w:shd w:val="clear" w:color="auto" w:fill="FFFFFF"/>
              </w:rPr>
              <w:t>:</w:t>
            </w:r>
          </w:p>
          <w:p w:rsidR="007F4594" w:rsidRPr="009D3827" w:rsidRDefault="007F4594" w:rsidP="007F4594">
            <w:pPr>
              <w:ind w:firstLine="308"/>
              <w:jc w:val="both"/>
              <w:rPr>
                <w:i/>
                <w:iCs/>
                <w:sz w:val="22"/>
                <w:szCs w:val="22"/>
                <w:shd w:val="clear" w:color="auto" w:fill="FFFFFF"/>
              </w:rPr>
            </w:pPr>
            <w:r w:rsidRPr="009D3827">
              <w:rPr>
                <w:sz w:val="22"/>
                <w:szCs w:val="22"/>
                <w:shd w:val="clear" w:color="auto" w:fill="FFFFFF"/>
              </w:rPr>
              <w:t xml:space="preserve">Вимогами Постанови НКРЕКП від 26.03.2022 №352 Про особливості тимчасового приєднання електроустановок до системи розподілу у період дії в Україні воєнного стану передбачено, що </w:t>
            </w:r>
            <w:r w:rsidRPr="009D3827">
              <w:rPr>
                <w:i/>
                <w:iCs/>
                <w:sz w:val="22"/>
                <w:szCs w:val="22"/>
                <w:shd w:val="clear" w:color="auto" w:fill="FFFFFF"/>
              </w:rPr>
              <w:t xml:space="preserve">«На період дії в Україні воєнного стану, за результатами проведеного НКРЕКП заходу державного контролю за період діяльності, починаючи з 2023 року, фактичні капітальні витрати, понесені під час надання послуги за j-те приєднання, за якими зафіксовано дефіцит коштів, приймаються рівними нулю якщо </w:t>
            </w:r>
          </w:p>
          <w:p w:rsidR="007F4594" w:rsidRPr="009D3827" w:rsidRDefault="007F4594" w:rsidP="007F4594">
            <w:pPr>
              <w:ind w:firstLine="308"/>
              <w:jc w:val="both"/>
              <w:rPr>
                <w:i/>
                <w:iCs/>
                <w:sz w:val="22"/>
                <w:szCs w:val="22"/>
                <w:shd w:val="clear" w:color="auto" w:fill="FFFFFF"/>
              </w:rPr>
            </w:pPr>
            <w:r w:rsidRPr="009D3827">
              <w:rPr>
                <w:i/>
                <w:iCs/>
                <w:sz w:val="22"/>
                <w:szCs w:val="22"/>
                <w:shd w:val="clear" w:color="auto" w:fill="FFFFFF"/>
              </w:rPr>
              <w:t xml:space="preserve">…. строк надання послуги зі стандартного приєднання становить понад 730 днів (при цьому, </w:t>
            </w:r>
            <w:r w:rsidRPr="009D3827">
              <w:rPr>
                <w:i/>
                <w:iCs/>
                <w:sz w:val="22"/>
                <w:szCs w:val="22"/>
                <w:shd w:val="clear" w:color="auto" w:fill="FFFFFF"/>
              </w:rPr>
              <w:lastRenderedPageBreak/>
              <w:t>календарний період 2022 року у розрахунку не враховується)»</w:t>
            </w:r>
          </w:p>
          <w:p w:rsidR="007F4594" w:rsidRPr="00E15C59" w:rsidRDefault="007F4594" w:rsidP="007F4594">
            <w:pPr>
              <w:ind w:firstLine="308"/>
              <w:jc w:val="both"/>
              <w:rPr>
                <w:i/>
                <w:sz w:val="22"/>
                <w:szCs w:val="22"/>
                <w:shd w:val="clear" w:color="auto" w:fill="FFFFFF"/>
              </w:rPr>
            </w:pPr>
            <w:r w:rsidRPr="00E15C59">
              <w:rPr>
                <w:i/>
                <w:sz w:val="22"/>
                <w:szCs w:val="22"/>
                <w:shd w:val="clear" w:color="auto" w:fill="FFFFFF"/>
              </w:rPr>
              <w:t>Враховуючи масовані ракетно-</w:t>
            </w:r>
            <w:proofErr w:type="spellStart"/>
            <w:r w:rsidRPr="00E15C59">
              <w:rPr>
                <w:i/>
                <w:sz w:val="22"/>
                <w:szCs w:val="22"/>
                <w:shd w:val="clear" w:color="auto" w:fill="FFFFFF"/>
              </w:rPr>
              <w:t>дронові</w:t>
            </w:r>
            <w:proofErr w:type="spellEnd"/>
            <w:r w:rsidRPr="00E15C59">
              <w:rPr>
                <w:i/>
                <w:sz w:val="22"/>
                <w:szCs w:val="22"/>
                <w:shd w:val="clear" w:color="auto" w:fill="FFFFFF"/>
              </w:rPr>
              <w:t xml:space="preserve"> удари по енергетичній інфраструктурі регіону, що призвели до критичних руйнувань </w:t>
            </w:r>
            <w:proofErr w:type="spellStart"/>
            <w:r w:rsidRPr="00E15C59">
              <w:rPr>
                <w:i/>
                <w:sz w:val="22"/>
                <w:szCs w:val="22"/>
                <w:shd w:val="clear" w:color="auto" w:fill="FFFFFF"/>
              </w:rPr>
              <w:t>енергообладнання</w:t>
            </w:r>
            <w:proofErr w:type="spellEnd"/>
            <w:r w:rsidRPr="00E15C59">
              <w:rPr>
                <w:i/>
                <w:sz w:val="22"/>
                <w:szCs w:val="22"/>
                <w:shd w:val="clear" w:color="auto" w:fill="FFFFFF"/>
              </w:rPr>
              <w:t xml:space="preserve"> живлячих центрів, надання послуги з приєднання у визначені КСР терміни, в більшості випадків, не є можливим. Наприклад, </w:t>
            </w:r>
            <w:proofErr w:type="spellStart"/>
            <w:r w:rsidRPr="00E15C59">
              <w:rPr>
                <w:i/>
                <w:sz w:val="22"/>
                <w:szCs w:val="22"/>
                <w:shd w:val="clear" w:color="auto" w:fill="FFFFFF"/>
              </w:rPr>
              <w:t>енергообладнання</w:t>
            </w:r>
            <w:proofErr w:type="spellEnd"/>
            <w:r w:rsidRPr="00E15C59">
              <w:rPr>
                <w:i/>
                <w:sz w:val="22"/>
                <w:szCs w:val="22"/>
                <w:shd w:val="clear" w:color="auto" w:fill="FFFFFF"/>
              </w:rPr>
              <w:t xml:space="preserve"> Дніпропетровської області, де зруйновано/суттєво пошкоджено всі ПС напругою 110 кВ, та відсутня схема нормального режиму.</w:t>
            </w:r>
          </w:p>
          <w:p w:rsidR="007F4594" w:rsidRPr="005102FC" w:rsidRDefault="007F4594" w:rsidP="007F4594">
            <w:pPr>
              <w:ind w:firstLine="308"/>
              <w:jc w:val="both"/>
              <w:rPr>
                <w:i/>
                <w:sz w:val="22"/>
                <w:szCs w:val="22"/>
                <w:shd w:val="clear" w:color="auto" w:fill="FFFFFF"/>
              </w:rPr>
            </w:pPr>
          </w:p>
          <w:p w:rsidR="007F4594" w:rsidRPr="005102FC" w:rsidRDefault="007F4594" w:rsidP="007F4594">
            <w:pPr>
              <w:ind w:firstLine="308"/>
              <w:jc w:val="both"/>
              <w:rPr>
                <w:i/>
                <w:sz w:val="22"/>
                <w:szCs w:val="22"/>
                <w:shd w:val="clear" w:color="auto" w:fill="FFFFFF"/>
              </w:rPr>
            </w:pPr>
            <w:r w:rsidRPr="005102FC">
              <w:rPr>
                <w:i/>
                <w:sz w:val="22"/>
                <w:szCs w:val="22"/>
                <w:shd w:val="clear" w:color="auto" w:fill="FFFFFF"/>
              </w:rPr>
              <w:t>ГС «РЕУ»</w:t>
            </w:r>
          </w:p>
          <w:p w:rsidR="007F4594" w:rsidRPr="005102FC" w:rsidRDefault="007F4594" w:rsidP="007F4594">
            <w:pPr>
              <w:ind w:firstLine="308"/>
              <w:jc w:val="both"/>
              <w:rPr>
                <w:sz w:val="22"/>
                <w:szCs w:val="22"/>
              </w:rPr>
            </w:pPr>
            <w:r w:rsidRPr="005102FC">
              <w:rPr>
                <w:b/>
                <w:sz w:val="22"/>
                <w:szCs w:val="22"/>
              </w:rPr>
              <w:t>11)</w:t>
            </w:r>
            <w:r w:rsidRPr="005102FC">
              <w:rPr>
                <w:sz w:val="22"/>
                <w:szCs w:val="22"/>
              </w:rPr>
              <w:t xml:space="preserve"> величина дефіциту або профіциту коштів у частині надходжень та витрат, пов'язаних з наданням послуг з приєднання електроустановок замовників до електричних мереж, що надані у звітному періоді (за календарний рік), яка визначається відповідно до методики (порядку) формування плати за приєднання до системи передачі та системи розподілу і підтверджується звітністю та первинними документами;</w:t>
            </w:r>
          </w:p>
          <w:p w:rsidR="007F4594" w:rsidRPr="005102FC" w:rsidRDefault="007F4594" w:rsidP="007F4594">
            <w:pPr>
              <w:ind w:firstLine="308"/>
              <w:jc w:val="both"/>
              <w:rPr>
                <w:b/>
                <w:strike/>
                <w:sz w:val="22"/>
                <w:szCs w:val="22"/>
              </w:rPr>
            </w:pPr>
            <w:r w:rsidRPr="005102FC">
              <w:rPr>
                <w:b/>
                <w:strike/>
                <w:sz w:val="22"/>
                <w:szCs w:val="22"/>
              </w:rPr>
              <w:t>При розрахунку величини дефіциту або профіциту коштів фактичні капітальні витрати, понесені під час надання послуг за приєднання, за якими зафіксовано дефіцит коштів, приймаються рівними нулю, якщо ОСР порушено строки надання цих послуг, визначені нормативно-правовими актами та/або договором;</w:t>
            </w:r>
          </w:p>
          <w:p w:rsidR="007F4594" w:rsidRPr="005102FC" w:rsidRDefault="007F4594" w:rsidP="007F4594">
            <w:pPr>
              <w:ind w:firstLine="308"/>
              <w:jc w:val="both"/>
              <w:rPr>
                <w:i/>
                <w:sz w:val="22"/>
                <w:szCs w:val="22"/>
                <w:shd w:val="clear" w:color="auto" w:fill="FFFFFF"/>
              </w:rPr>
            </w:pPr>
          </w:p>
          <w:p w:rsidR="007F4594" w:rsidRPr="005102FC" w:rsidRDefault="007F4594" w:rsidP="007F4594">
            <w:pPr>
              <w:ind w:firstLine="308"/>
              <w:jc w:val="both"/>
              <w:rPr>
                <w:i/>
                <w:sz w:val="22"/>
                <w:szCs w:val="22"/>
                <w:shd w:val="clear" w:color="auto" w:fill="FFFFFF"/>
              </w:rPr>
            </w:pPr>
            <w:r>
              <w:rPr>
                <w:i/>
                <w:sz w:val="22"/>
                <w:szCs w:val="22"/>
                <w:shd w:val="clear" w:color="auto" w:fill="FFFFFF"/>
              </w:rPr>
              <w:t>ОБҐРУНТУВАННЯ</w:t>
            </w:r>
            <w:r w:rsidRPr="005102FC">
              <w:rPr>
                <w:i/>
                <w:sz w:val="22"/>
                <w:szCs w:val="22"/>
                <w:shd w:val="clear" w:color="auto" w:fill="FFFFFF"/>
              </w:rPr>
              <w:t>:</w:t>
            </w:r>
          </w:p>
          <w:p w:rsidR="007F4594" w:rsidRPr="0060018A" w:rsidRDefault="007F4594" w:rsidP="007F4594">
            <w:pPr>
              <w:ind w:firstLine="308"/>
              <w:jc w:val="both"/>
              <w:rPr>
                <w:i/>
                <w:sz w:val="22"/>
                <w:szCs w:val="22"/>
                <w:shd w:val="clear" w:color="auto" w:fill="FFFFFF"/>
              </w:rPr>
            </w:pPr>
            <w:r w:rsidRPr="0060018A">
              <w:rPr>
                <w:i/>
                <w:sz w:val="22"/>
                <w:szCs w:val="22"/>
                <w:shd w:val="clear" w:color="auto" w:fill="FFFFFF"/>
              </w:rPr>
              <w:t xml:space="preserve">Порядок приєднання нових електроустановок та технічного переоснащення визначається Законом «Про ринок електричної енергії», Кодексом системи розподілу (КСР), постановою НКРЕКП № 352 щодо тимчасових приєднань у період воєнного стану та Методикою формування плати за приєднання (постанова № 1965). </w:t>
            </w:r>
            <w:r w:rsidRPr="0060018A">
              <w:rPr>
                <w:i/>
                <w:sz w:val="22"/>
                <w:szCs w:val="22"/>
                <w:shd w:val="clear" w:color="auto" w:fill="FFFFFF"/>
              </w:rPr>
              <w:lastRenderedPageBreak/>
              <w:t>Методика вже містить механізми оптимізації витрат, але не передбачає вилучення або нульового значення капітальних витрат, тому застосування такого підходу під час ліцензійного контролю суперечитиме законодавству.</w:t>
            </w:r>
          </w:p>
          <w:p w:rsidR="007F4594" w:rsidRPr="0060018A" w:rsidRDefault="007F4594" w:rsidP="007F4594">
            <w:pPr>
              <w:ind w:firstLine="308"/>
              <w:jc w:val="both"/>
              <w:rPr>
                <w:i/>
                <w:sz w:val="22"/>
                <w:szCs w:val="22"/>
                <w:shd w:val="clear" w:color="auto" w:fill="FFFFFF"/>
              </w:rPr>
            </w:pPr>
            <w:r w:rsidRPr="0060018A">
              <w:rPr>
                <w:i/>
                <w:sz w:val="22"/>
                <w:szCs w:val="22"/>
                <w:shd w:val="clear" w:color="auto" w:fill="FFFFFF"/>
              </w:rPr>
              <w:t>Водночас Регулятор має повноваження перевіряти обґрунтованість фактичних витрат ОСР і вилучати необґрунтовані суми з розрахунку дефіциту/профіциту коштів. Крім того, КСР встановлює значну відповідальність ОСР за порушення строків надання послуг з приєднання, включно з поверненням замовнику плати за приєднання у разі прострочення без об’єктивних причин. Останні зміни до КСР (зокрема постанова № 1145 від 29.07.2025) суттєво посилили вимоги до зміни умов договорів про приєднання та процедури продовження строків виконання робіт.</w:t>
            </w:r>
          </w:p>
          <w:p w:rsidR="007F4594" w:rsidRPr="0060018A" w:rsidRDefault="007F4594" w:rsidP="007F4594">
            <w:pPr>
              <w:ind w:firstLine="308"/>
              <w:jc w:val="both"/>
              <w:rPr>
                <w:i/>
                <w:sz w:val="22"/>
                <w:szCs w:val="22"/>
                <w:shd w:val="clear" w:color="auto" w:fill="FFFFFF"/>
              </w:rPr>
            </w:pPr>
            <w:r w:rsidRPr="0060018A">
              <w:rPr>
                <w:i/>
                <w:sz w:val="22"/>
                <w:szCs w:val="22"/>
                <w:shd w:val="clear" w:color="auto" w:fill="FFFFFF"/>
              </w:rPr>
              <w:t>Також у 2025 році були уточнені правила збільшення строків стандартного приєднання, включно з обмеженням загальної тривалості продовжень (до 60 днів, а у випадку земельних процедур — до 240 днів). Окремо постанова № 352 передбачає випадки, коли фактичні капітальні витрати за приєднанням можуть бути визнані нульовими за результатами контролю НКРЕКП.</w:t>
            </w:r>
          </w:p>
          <w:p w:rsidR="007F4594" w:rsidRPr="0060018A" w:rsidRDefault="007F4594" w:rsidP="007F4594">
            <w:pPr>
              <w:ind w:firstLine="308"/>
              <w:jc w:val="both"/>
              <w:rPr>
                <w:i/>
                <w:sz w:val="22"/>
                <w:szCs w:val="22"/>
                <w:shd w:val="clear" w:color="auto" w:fill="FFFFFF"/>
              </w:rPr>
            </w:pPr>
            <w:r w:rsidRPr="0060018A">
              <w:rPr>
                <w:i/>
                <w:sz w:val="22"/>
                <w:szCs w:val="22"/>
                <w:shd w:val="clear" w:color="auto" w:fill="FFFFFF"/>
              </w:rPr>
              <w:t>Разом із тим, при оцінці діяльності ОСР доцільно враховувати об’єктивні фактори, що суттєво впливають на строки та можливість виконання робіт у період воєнного стану: складність комунікації із замовниками, проблеми з відведенням земельних ділянок, кадровий дефіцит, перебої з постачанням матеріалів, зростання цін, різке збільшення кількості заявок, непогодження трас будівництва, а також складні умови доступу в гірських районах.</w:t>
            </w:r>
          </w:p>
          <w:p w:rsidR="007F4594" w:rsidRPr="009D3827" w:rsidRDefault="007F4594" w:rsidP="007F4594">
            <w:pPr>
              <w:ind w:firstLine="308"/>
              <w:jc w:val="both"/>
              <w:rPr>
                <w:i/>
                <w:sz w:val="22"/>
                <w:szCs w:val="22"/>
                <w:shd w:val="clear" w:color="auto" w:fill="FFFFFF"/>
              </w:rPr>
            </w:pPr>
            <w:r w:rsidRPr="0060018A">
              <w:rPr>
                <w:i/>
                <w:sz w:val="22"/>
                <w:szCs w:val="22"/>
                <w:shd w:val="clear" w:color="auto" w:fill="FFFFFF"/>
              </w:rPr>
              <w:t xml:space="preserve">Запровадження додаткових штрафних санкцій без урахування цих обставин може призвести до значних фінансових втрат ОСР та негативних наслідків для всього ринку електроенергії. Тому </w:t>
            </w:r>
            <w:r w:rsidRPr="0060018A">
              <w:rPr>
                <w:i/>
                <w:sz w:val="22"/>
                <w:szCs w:val="22"/>
                <w:shd w:val="clear" w:color="auto" w:fill="FFFFFF"/>
              </w:rPr>
              <w:lastRenderedPageBreak/>
              <w:t>Громадська спілка «Розумні електромережі України» вважає, що проєкт постанови НКРЕКП потребує доопрацювання з урахуванням балансу інтересів усіх сторін, зокрема операторів системи розподілу, які в умовах воєнного стану забезпечують надійне електропостачання та виконання послуг з приєднання.</w:t>
            </w:r>
          </w:p>
        </w:tc>
        <w:tc>
          <w:tcPr>
            <w:tcW w:w="5066" w:type="dxa"/>
            <w:shd w:val="clear" w:color="auto" w:fill="auto"/>
          </w:tcPr>
          <w:p w:rsidR="007F4594" w:rsidRDefault="007F4594" w:rsidP="007F4594">
            <w:pPr>
              <w:ind w:firstLine="308"/>
              <w:jc w:val="both"/>
              <w:rPr>
                <w:b/>
                <w:bCs/>
              </w:rPr>
            </w:pPr>
          </w:p>
          <w:p w:rsidR="007F4594" w:rsidRDefault="007F4594" w:rsidP="007F4594">
            <w:pPr>
              <w:ind w:firstLine="308"/>
              <w:jc w:val="both"/>
              <w:rPr>
                <w:b/>
                <w:bCs/>
              </w:rPr>
            </w:pPr>
          </w:p>
          <w:p w:rsidR="007F4594" w:rsidRDefault="007F4594" w:rsidP="007F4594">
            <w:pPr>
              <w:ind w:firstLine="308"/>
              <w:jc w:val="both"/>
              <w:rPr>
                <w:b/>
                <w:bCs/>
              </w:rPr>
            </w:pPr>
          </w:p>
          <w:p w:rsidR="007F4594" w:rsidRDefault="007F4594" w:rsidP="007F4594">
            <w:pPr>
              <w:ind w:firstLine="308"/>
              <w:jc w:val="both"/>
              <w:rPr>
                <w:b/>
                <w:bCs/>
              </w:rPr>
            </w:pPr>
          </w:p>
          <w:p w:rsidR="007F4594" w:rsidRDefault="007F4594" w:rsidP="007F4594">
            <w:pPr>
              <w:ind w:firstLine="308"/>
              <w:jc w:val="both"/>
              <w:rPr>
                <w:b/>
                <w:bCs/>
              </w:rPr>
            </w:pPr>
          </w:p>
          <w:p w:rsidR="007F4594" w:rsidRDefault="007F4594" w:rsidP="007F4594">
            <w:pPr>
              <w:ind w:firstLine="308"/>
              <w:jc w:val="both"/>
              <w:rPr>
                <w:b/>
                <w:bCs/>
              </w:rPr>
            </w:pPr>
          </w:p>
          <w:p w:rsidR="007F4594" w:rsidRDefault="007F4594" w:rsidP="007F4594">
            <w:pPr>
              <w:ind w:firstLine="308"/>
              <w:jc w:val="both"/>
              <w:rPr>
                <w:b/>
                <w:bCs/>
              </w:rPr>
            </w:pPr>
          </w:p>
          <w:p w:rsidR="007F4594" w:rsidRDefault="007F4594" w:rsidP="007F4594">
            <w:pPr>
              <w:ind w:firstLine="308"/>
              <w:jc w:val="both"/>
              <w:rPr>
                <w:b/>
                <w:bCs/>
              </w:rPr>
            </w:pPr>
          </w:p>
          <w:p w:rsidR="007F4594" w:rsidRDefault="007F4594" w:rsidP="007F4594">
            <w:pPr>
              <w:ind w:firstLine="308"/>
              <w:jc w:val="both"/>
              <w:rPr>
                <w:b/>
                <w:bCs/>
              </w:rPr>
            </w:pPr>
          </w:p>
          <w:p w:rsidR="007F4594" w:rsidRDefault="007F4594" w:rsidP="007F4594">
            <w:pPr>
              <w:ind w:firstLine="308"/>
              <w:jc w:val="both"/>
              <w:rPr>
                <w:b/>
                <w:bCs/>
              </w:rPr>
            </w:pPr>
          </w:p>
          <w:p w:rsidR="007F4594" w:rsidRDefault="007F4594" w:rsidP="007F4594">
            <w:pPr>
              <w:ind w:firstLine="308"/>
              <w:jc w:val="both"/>
              <w:rPr>
                <w:b/>
                <w:bCs/>
              </w:rPr>
            </w:pPr>
          </w:p>
          <w:p w:rsidR="007F4594" w:rsidRDefault="007F4594" w:rsidP="007F4594">
            <w:pPr>
              <w:ind w:firstLine="308"/>
              <w:jc w:val="both"/>
              <w:rPr>
                <w:b/>
                <w:bCs/>
              </w:rPr>
            </w:pPr>
          </w:p>
          <w:p w:rsidR="007F4594" w:rsidRDefault="007F4594" w:rsidP="007F4594">
            <w:pPr>
              <w:ind w:firstLine="308"/>
              <w:jc w:val="both"/>
              <w:rPr>
                <w:b/>
                <w:bCs/>
              </w:rPr>
            </w:pPr>
          </w:p>
          <w:p w:rsidR="007F4594" w:rsidRDefault="007F4594" w:rsidP="007F4594">
            <w:pPr>
              <w:ind w:firstLine="308"/>
              <w:jc w:val="both"/>
              <w:rPr>
                <w:b/>
                <w:bCs/>
              </w:rPr>
            </w:pPr>
          </w:p>
          <w:p w:rsidR="007F4594" w:rsidRDefault="007F4594" w:rsidP="007F4594">
            <w:pPr>
              <w:ind w:firstLine="308"/>
              <w:jc w:val="both"/>
              <w:rPr>
                <w:b/>
                <w:bCs/>
              </w:rPr>
            </w:pPr>
          </w:p>
          <w:p w:rsidR="007F4594" w:rsidRDefault="007F4594" w:rsidP="007F4594">
            <w:pPr>
              <w:ind w:firstLine="308"/>
              <w:jc w:val="both"/>
              <w:rPr>
                <w:b/>
                <w:bCs/>
              </w:rPr>
            </w:pPr>
          </w:p>
          <w:p w:rsidR="007F4594" w:rsidRDefault="007F4594" w:rsidP="007F4594">
            <w:pPr>
              <w:ind w:firstLine="308"/>
              <w:jc w:val="both"/>
              <w:rPr>
                <w:b/>
                <w:bCs/>
              </w:rPr>
            </w:pPr>
          </w:p>
          <w:p w:rsidR="007F4594" w:rsidRDefault="007F4594" w:rsidP="007F4594">
            <w:pPr>
              <w:ind w:firstLine="308"/>
              <w:jc w:val="both"/>
              <w:rPr>
                <w:b/>
                <w:bCs/>
              </w:rPr>
            </w:pPr>
          </w:p>
          <w:p w:rsidR="007F4594" w:rsidRPr="00A86ADC" w:rsidRDefault="007F4594" w:rsidP="007F4594">
            <w:pPr>
              <w:ind w:firstLine="308"/>
              <w:jc w:val="both"/>
              <w:rPr>
                <w:b/>
                <w:bCs/>
                <w:sz w:val="22"/>
                <w:szCs w:val="22"/>
              </w:rPr>
            </w:pPr>
            <w:r w:rsidRPr="00A86ADC">
              <w:rPr>
                <w:b/>
                <w:bCs/>
                <w:sz w:val="22"/>
                <w:szCs w:val="22"/>
              </w:rPr>
              <w:t>Загальна позиція</w:t>
            </w:r>
          </w:p>
          <w:p w:rsidR="00F35E2A" w:rsidRPr="00F35E2A" w:rsidRDefault="00DE216B" w:rsidP="00F35E2A">
            <w:pPr>
              <w:ind w:firstLine="308"/>
              <w:jc w:val="both"/>
              <w:rPr>
                <w:b/>
                <w:color w:val="FF0000"/>
                <w:sz w:val="22"/>
                <w:szCs w:val="22"/>
              </w:rPr>
            </w:pPr>
            <w:r>
              <w:rPr>
                <w:b/>
                <w:bCs/>
                <w:sz w:val="22"/>
                <w:szCs w:val="22"/>
              </w:rPr>
              <w:t>ПОТРЕБУЄ ОБГОВОРЕННЯ</w:t>
            </w:r>
          </w:p>
        </w:tc>
      </w:tr>
      <w:tr w:rsidR="007F4594" w:rsidRPr="009D3827" w:rsidTr="002200D1">
        <w:trPr>
          <w:trHeight w:val="595"/>
        </w:trPr>
        <w:tc>
          <w:tcPr>
            <w:tcW w:w="5065" w:type="dxa"/>
            <w:shd w:val="clear" w:color="auto" w:fill="auto"/>
          </w:tcPr>
          <w:p w:rsidR="007F4594" w:rsidRPr="00AC7242" w:rsidRDefault="007F4594" w:rsidP="007F4594">
            <w:pPr>
              <w:ind w:firstLine="308"/>
              <w:jc w:val="both"/>
              <w:rPr>
                <w:sz w:val="22"/>
                <w:szCs w:val="22"/>
                <w:shd w:val="clear" w:color="auto" w:fill="FFFFFF"/>
              </w:rPr>
            </w:pPr>
            <w:r w:rsidRPr="00AC7242">
              <w:rPr>
                <w:sz w:val="22"/>
                <w:szCs w:val="22"/>
                <w:shd w:val="clear" w:color="auto" w:fill="FFFFFF"/>
              </w:rPr>
              <w:lastRenderedPageBreak/>
              <w:t>4. З метою визначення об'єктивної суми коштів, отриманої для фінансування ліцензованої діяльності, при проведенні планових або позапланових перевірок в акті перевірки фіксуються такі показники:</w:t>
            </w:r>
          </w:p>
          <w:p w:rsidR="007F4594" w:rsidRPr="00AC7242" w:rsidRDefault="007F4594" w:rsidP="007F4594">
            <w:pPr>
              <w:ind w:firstLine="308"/>
              <w:jc w:val="both"/>
              <w:rPr>
                <w:sz w:val="22"/>
                <w:szCs w:val="22"/>
                <w:shd w:val="clear" w:color="auto" w:fill="FFFFFF"/>
              </w:rPr>
            </w:pPr>
          </w:p>
          <w:p w:rsidR="007F4594" w:rsidRPr="00AC7242" w:rsidRDefault="007F4594" w:rsidP="007F4594">
            <w:pPr>
              <w:ind w:firstLine="308"/>
              <w:jc w:val="both"/>
              <w:rPr>
                <w:sz w:val="22"/>
                <w:szCs w:val="22"/>
                <w:shd w:val="clear" w:color="auto" w:fill="FFFFFF"/>
              </w:rPr>
            </w:pPr>
            <w:r w:rsidRPr="00AC7242">
              <w:rPr>
                <w:sz w:val="22"/>
                <w:szCs w:val="22"/>
                <w:shd w:val="clear" w:color="auto" w:fill="FFFFFF"/>
              </w:rPr>
              <w:t>&lt;…&gt;</w:t>
            </w:r>
          </w:p>
          <w:p w:rsidR="007F4594" w:rsidRPr="00AC7242" w:rsidRDefault="007F4594" w:rsidP="007F4594">
            <w:pPr>
              <w:ind w:firstLine="308"/>
              <w:jc w:val="both"/>
              <w:rPr>
                <w:sz w:val="22"/>
                <w:szCs w:val="22"/>
                <w:shd w:val="clear" w:color="auto" w:fill="FFFFFF"/>
              </w:rPr>
            </w:pPr>
          </w:p>
          <w:p w:rsidR="007F4594" w:rsidRPr="00AC7242" w:rsidRDefault="007F4594" w:rsidP="007F4594">
            <w:pPr>
              <w:spacing w:after="75"/>
              <w:ind w:firstLine="240"/>
              <w:jc w:val="both"/>
              <w:rPr>
                <w:sz w:val="22"/>
                <w:szCs w:val="22"/>
              </w:rPr>
            </w:pPr>
            <w:r w:rsidRPr="00AC7242">
              <w:rPr>
                <w:b/>
                <w:sz w:val="22"/>
                <w:szCs w:val="22"/>
              </w:rPr>
              <w:t>26)</w:t>
            </w:r>
            <w:r w:rsidRPr="00AC7242">
              <w:rPr>
                <w:sz w:val="22"/>
                <w:szCs w:val="22"/>
              </w:rPr>
              <w:t xml:space="preserve"> дохід від економії технологічних витрат електричної енергії (Д</w:t>
            </w:r>
            <w:r w:rsidRPr="00AC7242">
              <w:rPr>
                <w:sz w:val="22"/>
                <w:szCs w:val="22"/>
                <w:vertAlign w:val="subscript"/>
              </w:rPr>
              <w:t>ТВЕ</w:t>
            </w:r>
            <w:r w:rsidRPr="00AC7242">
              <w:rPr>
                <w:sz w:val="22"/>
                <w:szCs w:val="22"/>
              </w:rPr>
              <w:t>) за підсумками звітного року, що розраховується за формулою</w:t>
            </w:r>
          </w:p>
          <w:tbl>
            <w:tblPr>
              <w:tblW w:w="0" w:type="auto"/>
              <w:tblCellSpacing w:w="0" w:type="auto"/>
              <w:tblBorders>
                <w:top w:val="single" w:sz="8" w:space="0" w:color="E5E2FF"/>
              </w:tblBorders>
              <w:tblLayout w:type="fixed"/>
              <w:tblLook w:val="04A0" w:firstRow="1" w:lastRow="0" w:firstColumn="1" w:lastColumn="0" w:noHBand="0" w:noVBand="1"/>
            </w:tblPr>
            <w:tblGrid>
              <w:gridCol w:w="4461"/>
              <w:gridCol w:w="2401"/>
            </w:tblGrid>
            <w:tr w:rsidR="007F4594" w:rsidRPr="00AC7242" w:rsidTr="007B385C">
              <w:trPr>
                <w:trHeight w:val="29"/>
                <w:tblCellSpacing w:w="0" w:type="auto"/>
              </w:trPr>
              <w:tc>
                <w:tcPr>
                  <w:tcW w:w="4461" w:type="dxa"/>
                  <w:vAlign w:val="center"/>
                </w:tcPr>
                <w:p w:rsidR="007F4594" w:rsidRPr="00AC7242" w:rsidRDefault="007F4594" w:rsidP="007F4594">
                  <w:pPr>
                    <w:spacing w:after="75"/>
                    <w:rPr>
                      <w:sz w:val="22"/>
                      <w:szCs w:val="22"/>
                    </w:rPr>
                  </w:pPr>
                  <w:r w:rsidRPr="00AC7242">
                    <w:rPr>
                      <w:noProof/>
                      <w:sz w:val="22"/>
                      <w:szCs w:val="22"/>
                    </w:rPr>
                    <w:drawing>
                      <wp:inline distT="0" distB="0" distL="0" distR="0" wp14:anchorId="242D3931" wp14:editId="75F7E12B">
                        <wp:extent cx="1610436" cy="245400"/>
                        <wp:effectExtent l="0" t="0" r="0" b="254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676513" cy="255469"/>
                                </a:xfrm>
                                <a:prstGeom prst="rect">
                                  <a:avLst/>
                                </a:prstGeom>
                              </pic:spPr>
                            </pic:pic>
                          </a:graphicData>
                        </a:graphic>
                      </wp:inline>
                    </w:drawing>
                  </w:r>
                </w:p>
              </w:tc>
              <w:tc>
                <w:tcPr>
                  <w:tcW w:w="2401" w:type="dxa"/>
                  <w:vAlign w:val="center"/>
                </w:tcPr>
                <w:p w:rsidR="007F4594" w:rsidRPr="00AC7242" w:rsidRDefault="007F4594" w:rsidP="007F4594">
                  <w:pPr>
                    <w:spacing w:after="75"/>
                    <w:rPr>
                      <w:sz w:val="22"/>
                      <w:szCs w:val="22"/>
                    </w:rPr>
                  </w:pPr>
                  <w:r w:rsidRPr="00AC7242">
                    <w:rPr>
                      <w:sz w:val="22"/>
                      <w:szCs w:val="22"/>
                    </w:rPr>
                    <w:t>,</w:t>
                  </w:r>
                </w:p>
              </w:tc>
            </w:tr>
          </w:tbl>
          <w:p w:rsidR="007F4594" w:rsidRPr="00AC7242" w:rsidRDefault="007F4594" w:rsidP="007F4594">
            <w:pPr>
              <w:spacing w:after="75"/>
              <w:ind w:firstLine="240"/>
              <w:jc w:val="both"/>
              <w:rPr>
                <w:sz w:val="22"/>
                <w:szCs w:val="22"/>
              </w:rPr>
            </w:pPr>
            <w:r w:rsidRPr="00AC7242">
              <w:rPr>
                <w:sz w:val="22"/>
                <w:szCs w:val="22"/>
              </w:rPr>
              <w:t>де і - місяць;</w:t>
            </w:r>
          </w:p>
          <w:p w:rsidR="007F4594" w:rsidRPr="00AC7242" w:rsidRDefault="007F4594" w:rsidP="007F4594">
            <w:pPr>
              <w:spacing w:after="75"/>
              <w:ind w:firstLine="240"/>
              <w:jc w:val="both"/>
              <w:rPr>
                <w:sz w:val="22"/>
                <w:szCs w:val="22"/>
              </w:rPr>
            </w:pPr>
            <w:r w:rsidRPr="00AC7242">
              <w:rPr>
                <w:sz w:val="22"/>
                <w:szCs w:val="22"/>
              </w:rPr>
              <w:t>n - кількість місяців;</w:t>
            </w:r>
          </w:p>
          <w:p w:rsidR="007F4594" w:rsidRPr="00AC7242" w:rsidRDefault="007F4594" w:rsidP="007F4594">
            <w:pPr>
              <w:spacing w:after="75"/>
              <w:ind w:firstLine="240"/>
              <w:jc w:val="both"/>
              <w:rPr>
                <w:sz w:val="22"/>
                <w:szCs w:val="22"/>
              </w:rPr>
            </w:pPr>
            <w:r w:rsidRPr="00AC7242">
              <w:rPr>
                <w:sz w:val="22"/>
                <w:szCs w:val="22"/>
              </w:rPr>
              <w:t>Д</w:t>
            </w:r>
            <w:r w:rsidRPr="00AC7242">
              <w:rPr>
                <w:sz w:val="22"/>
                <w:szCs w:val="22"/>
                <w:vertAlign w:val="subscript"/>
              </w:rPr>
              <w:t>ТВЕ</w:t>
            </w:r>
            <w:r w:rsidRPr="00AC7242">
              <w:rPr>
                <w:sz w:val="22"/>
                <w:szCs w:val="22"/>
              </w:rPr>
              <w:t xml:space="preserve"> - нормативно-фактична вартість технологічних витрат електричної енергії, розрахованих за фактичним балансом електричної енергії та економічними коефіцієнтами прогнозованих технологічних витрат електричної енергії в і-му місяці звітного року, тис. грн;</w:t>
            </w:r>
          </w:p>
          <w:p w:rsidR="007F4594" w:rsidRPr="00AC7242" w:rsidRDefault="007F4594" w:rsidP="007F4594">
            <w:pPr>
              <w:spacing w:after="75"/>
              <w:ind w:firstLine="240"/>
              <w:jc w:val="both"/>
              <w:rPr>
                <w:sz w:val="22"/>
                <w:szCs w:val="22"/>
              </w:rPr>
            </w:pPr>
            <w:r w:rsidRPr="00AC7242">
              <w:rPr>
                <w:sz w:val="22"/>
                <w:szCs w:val="22"/>
              </w:rPr>
              <w:t>Д</w:t>
            </w:r>
            <w:r w:rsidRPr="00AC7242">
              <w:rPr>
                <w:sz w:val="22"/>
                <w:szCs w:val="22"/>
                <w:vertAlign w:val="subscript"/>
              </w:rPr>
              <w:t>ТВЕ ф і</w:t>
            </w:r>
            <w:r w:rsidRPr="00AC7242">
              <w:rPr>
                <w:sz w:val="22"/>
                <w:szCs w:val="22"/>
              </w:rPr>
              <w:t xml:space="preserve"> - фактична вартість технологічних витрат електричної енергії на її розподіл в і-му місяці звітного року, тис. грн.</w:t>
            </w:r>
          </w:p>
          <w:p w:rsidR="007F4594" w:rsidRPr="00AC7242" w:rsidRDefault="007F4594" w:rsidP="007F4594">
            <w:pPr>
              <w:spacing w:after="75"/>
              <w:ind w:firstLine="240"/>
              <w:jc w:val="both"/>
              <w:rPr>
                <w:sz w:val="22"/>
                <w:szCs w:val="22"/>
              </w:rPr>
            </w:pPr>
            <w:r w:rsidRPr="00AC7242">
              <w:rPr>
                <w:sz w:val="22"/>
                <w:szCs w:val="22"/>
              </w:rPr>
              <w:t>До впровадження нового ринку електричної енергії (до 01 липня 2019 року) Д</w:t>
            </w:r>
            <w:r w:rsidRPr="00AC7242">
              <w:rPr>
                <w:sz w:val="22"/>
                <w:szCs w:val="22"/>
                <w:vertAlign w:val="subscript"/>
              </w:rPr>
              <w:t xml:space="preserve">ТВЕ </w:t>
            </w:r>
            <w:proofErr w:type="spellStart"/>
            <w:r w:rsidRPr="00AC7242">
              <w:rPr>
                <w:sz w:val="22"/>
                <w:szCs w:val="22"/>
                <w:vertAlign w:val="subscript"/>
              </w:rPr>
              <w:t>нф</w:t>
            </w:r>
            <w:proofErr w:type="spellEnd"/>
            <w:r w:rsidRPr="00AC7242">
              <w:rPr>
                <w:sz w:val="22"/>
                <w:szCs w:val="22"/>
                <w:vertAlign w:val="subscript"/>
              </w:rPr>
              <w:t xml:space="preserve"> і</w:t>
            </w:r>
            <w:r w:rsidRPr="00AC7242">
              <w:rPr>
                <w:sz w:val="22"/>
                <w:szCs w:val="22"/>
              </w:rPr>
              <w:t xml:space="preserve"> розраховується за формулою</w:t>
            </w:r>
          </w:p>
          <w:tbl>
            <w:tblPr>
              <w:tblW w:w="6968" w:type="dxa"/>
              <w:tblCellSpacing w:w="0" w:type="auto"/>
              <w:tblBorders>
                <w:top w:val="single" w:sz="8" w:space="0" w:color="E5E2FF"/>
              </w:tblBorders>
              <w:tblLayout w:type="fixed"/>
              <w:tblLook w:val="04A0" w:firstRow="1" w:lastRow="0" w:firstColumn="1" w:lastColumn="0" w:noHBand="0" w:noVBand="1"/>
            </w:tblPr>
            <w:tblGrid>
              <w:gridCol w:w="4842"/>
              <w:gridCol w:w="2126"/>
            </w:tblGrid>
            <w:tr w:rsidR="007F4594" w:rsidRPr="00AC7242" w:rsidTr="007B385C">
              <w:trPr>
                <w:trHeight w:val="18"/>
                <w:tblCellSpacing w:w="0" w:type="auto"/>
              </w:trPr>
              <w:tc>
                <w:tcPr>
                  <w:tcW w:w="4842" w:type="dxa"/>
                  <w:vAlign w:val="center"/>
                </w:tcPr>
                <w:p w:rsidR="007F4594" w:rsidRPr="00AC7242" w:rsidRDefault="007F4594" w:rsidP="007F4594">
                  <w:pPr>
                    <w:spacing w:after="75"/>
                    <w:rPr>
                      <w:sz w:val="22"/>
                      <w:szCs w:val="22"/>
                    </w:rPr>
                  </w:pPr>
                  <w:r w:rsidRPr="00AC7242">
                    <w:rPr>
                      <w:noProof/>
                      <w:sz w:val="22"/>
                      <w:szCs w:val="22"/>
                    </w:rPr>
                    <w:drawing>
                      <wp:inline distT="0" distB="0" distL="0" distR="0" wp14:anchorId="41861CB1" wp14:editId="510785B2">
                        <wp:extent cx="1787857" cy="150874"/>
                        <wp:effectExtent l="0" t="0" r="3175" b="1905"/>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956040" cy="165067"/>
                                </a:xfrm>
                                <a:prstGeom prst="rect">
                                  <a:avLst/>
                                </a:prstGeom>
                              </pic:spPr>
                            </pic:pic>
                          </a:graphicData>
                        </a:graphic>
                      </wp:inline>
                    </w:drawing>
                  </w:r>
                </w:p>
              </w:tc>
              <w:tc>
                <w:tcPr>
                  <w:tcW w:w="2126" w:type="dxa"/>
                  <w:vAlign w:val="center"/>
                </w:tcPr>
                <w:p w:rsidR="007F4594" w:rsidRPr="00AC7242" w:rsidRDefault="007F4594" w:rsidP="007F4594">
                  <w:pPr>
                    <w:spacing w:after="75"/>
                    <w:rPr>
                      <w:sz w:val="22"/>
                      <w:szCs w:val="22"/>
                    </w:rPr>
                  </w:pPr>
                  <w:r w:rsidRPr="00AC7242">
                    <w:rPr>
                      <w:sz w:val="22"/>
                      <w:szCs w:val="22"/>
                    </w:rPr>
                    <w:t>,</w:t>
                  </w:r>
                </w:p>
              </w:tc>
            </w:tr>
          </w:tbl>
          <w:p w:rsidR="007F4594" w:rsidRPr="00AC7242" w:rsidRDefault="007F4594" w:rsidP="007F4594">
            <w:pPr>
              <w:spacing w:after="75"/>
              <w:ind w:firstLine="240"/>
              <w:jc w:val="both"/>
              <w:rPr>
                <w:sz w:val="22"/>
                <w:szCs w:val="22"/>
              </w:rPr>
            </w:pPr>
            <w:r w:rsidRPr="00AC7242">
              <w:rPr>
                <w:sz w:val="22"/>
                <w:szCs w:val="22"/>
              </w:rPr>
              <w:t>де Ц</w:t>
            </w:r>
            <w:r w:rsidRPr="00AC7242">
              <w:rPr>
                <w:sz w:val="22"/>
                <w:szCs w:val="22"/>
                <w:vertAlign w:val="subscript"/>
              </w:rPr>
              <w:t>ОРЕ ф і</w:t>
            </w:r>
            <w:r w:rsidRPr="00AC7242">
              <w:rPr>
                <w:sz w:val="22"/>
                <w:szCs w:val="22"/>
              </w:rPr>
              <w:t xml:space="preserve"> - фактична середньозважена ціна купівлі електричної енергії на Оптовому ринку </w:t>
            </w:r>
            <w:r w:rsidRPr="00AC7242">
              <w:rPr>
                <w:sz w:val="22"/>
                <w:szCs w:val="22"/>
              </w:rPr>
              <w:lastRenderedPageBreak/>
              <w:t>електричної енергії України, що склалася в і-му місяці 2019 року, скоригована з урахуванням дотацій, грн/МВт·год;</w:t>
            </w:r>
          </w:p>
          <w:p w:rsidR="007F4594" w:rsidRPr="00AC7242" w:rsidRDefault="007F4594" w:rsidP="007F4594">
            <w:pPr>
              <w:spacing w:after="75"/>
              <w:ind w:firstLine="240"/>
              <w:jc w:val="both"/>
              <w:rPr>
                <w:sz w:val="22"/>
                <w:szCs w:val="22"/>
              </w:rPr>
            </w:pPr>
            <w:r w:rsidRPr="00AC7242">
              <w:rPr>
                <w:sz w:val="22"/>
                <w:szCs w:val="22"/>
              </w:rPr>
              <w:t>O</w:t>
            </w:r>
            <w:r w:rsidRPr="00AC7242">
              <w:rPr>
                <w:sz w:val="22"/>
                <w:szCs w:val="22"/>
                <w:vertAlign w:val="subscript"/>
              </w:rPr>
              <w:t xml:space="preserve">ТВЕ </w:t>
            </w:r>
            <w:proofErr w:type="spellStart"/>
            <w:r w:rsidRPr="00AC7242">
              <w:rPr>
                <w:sz w:val="22"/>
                <w:szCs w:val="22"/>
                <w:vertAlign w:val="subscript"/>
              </w:rPr>
              <w:t>нф</w:t>
            </w:r>
            <w:proofErr w:type="spellEnd"/>
            <w:r w:rsidRPr="00AC7242">
              <w:rPr>
                <w:sz w:val="22"/>
                <w:szCs w:val="22"/>
                <w:vertAlign w:val="subscript"/>
              </w:rPr>
              <w:t xml:space="preserve"> і</w:t>
            </w:r>
            <w:r w:rsidRPr="00AC7242">
              <w:rPr>
                <w:sz w:val="22"/>
                <w:szCs w:val="22"/>
              </w:rPr>
              <w:t xml:space="preserve"> - нормативно-фактичний обсяг технологічних витрат електричної енергії на її розподіл на 1 та 2 класах напруги в і-му місяці звітного року, МВт·год, що розраховується за формулою</w:t>
            </w:r>
          </w:p>
          <w:tbl>
            <w:tblPr>
              <w:tblW w:w="6727" w:type="dxa"/>
              <w:tblCellSpacing w:w="0" w:type="auto"/>
              <w:tblBorders>
                <w:top w:val="single" w:sz="8" w:space="0" w:color="E5E2FF"/>
              </w:tblBorders>
              <w:tblLayout w:type="fixed"/>
              <w:tblLook w:val="04A0" w:firstRow="1" w:lastRow="0" w:firstColumn="1" w:lastColumn="0" w:noHBand="0" w:noVBand="1"/>
            </w:tblPr>
            <w:tblGrid>
              <w:gridCol w:w="5587"/>
              <w:gridCol w:w="1140"/>
            </w:tblGrid>
            <w:tr w:rsidR="007F4594" w:rsidRPr="00AC7242" w:rsidTr="007B385C">
              <w:trPr>
                <w:trHeight w:val="18"/>
                <w:tblCellSpacing w:w="0" w:type="auto"/>
              </w:trPr>
              <w:tc>
                <w:tcPr>
                  <w:tcW w:w="5587" w:type="dxa"/>
                  <w:vAlign w:val="center"/>
                </w:tcPr>
                <w:p w:rsidR="007F4594" w:rsidRPr="00AC7242" w:rsidRDefault="007F4594" w:rsidP="007F4594">
                  <w:pPr>
                    <w:spacing w:after="75"/>
                    <w:rPr>
                      <w:sz w:val="22"/>
                      <w:szCs w:val="22"/>
                    </w:rPr>
                  </w:pPr>
                  <w:r w:rsidRPr="00AC7242">
                    <w:rPr>
                      <w:noProof/>
                      <w:sz w:val="22"/>
                      <w:szCs w:val="22"/>
                    </w:rPr>
                    <w:drawing>
                      <wp:inline distT="0" distB="0" distL="0" distR="0" wp14:anchorId="28A0DDE0" wp14:editId="3E6C968B">
                        <wp:extent cx="2504365" cy="277492"/>
                        <wp:effectExtent l="0" t="0" r="0" b="889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575699" cy="285396"/>
                                </a:xfrm>
                                <a:prstGeom prst="rect">
                                  <a:avLst/>
                                </a:prstGeom>
                              </pic:spPr>
                            </pic:pic>
                          </a:graphicData>
                        </a:graphic>
                      </wp:inline>
                    </w:drawing>
                  </w:r>
                </w:p>
              </w:tc>
              <w:tc>
                <w:tcPr>
                  <w:tcW w:w="1140" w:type="dxa"/>
                  <w:vAlign w:val="center"/>
                </w:tcPr>
                <w:p w:rsidR="007F4594" w:rsidRPr="00AC7242" w:rsidRDefault="007F4594" w:rsidP="007F4594">
                  <w:pPr>
                    <w:spacing w:after="75"/>
                    <w:rPr>
                      <w:sz w:val="22"/>
                      <w:szCs w:val="22"/>
                    </w:rPr>
                  </w:pPr>
                  <w:r w:rsidRPr="00AC7242">
                    <w:rPr>
                      <w:sz w:val="22"/>
                      <w:szCs w:val="22"/>
                    </w:rPr>
                    <w:t>,</w:t>
                  </w:r>
                </w:p>
              </w:tc>
            </w:tr>
          </w:tbl>
          <w:p w:rsidR="007F4594" w:rsidRPr="00AC7242" w:rsidRDefault="007F4594" w:rsidP="007F4594">
            <w:pPr>
              <w:spacing w:after="75"/>
              <w:ind w:firstLine="240"/>
              <w:jc w:val="both"/>
              <w:rPr>
                <w:sz w:val="22"/>
                <w:szCs w:val="22"/>
              </w:rPr>
            </w:pPr>
            <w:r w:rsidRPr="00AC7242">
              <w:rPr>
                <w:sz w:val="22"/>
                <w:szCs w:val="22"/>
              </w:rPr>
              <w:t xml:space="preserve">де </w:t>
            </w:r>
            <w:r w:rsidRPr="00AC7242">
              <w:rPr>
                <w:i/>
                <w:sz w:val="22"/>
                <w:szCs w:val="22"/>
              </w:rPr>
              <w:t>W</w:t>
            </w:r>
            <w:r w:rsidRPr="00AC7242">
              <w:rPr>
                <w:sz w:val="22"/>
                <w:szCs w:val="22"/>
                <w:vertAlign w:val="subscript"/>
              </w:rPr>
              <w:t>1i</w:t>
            </w:r>
            <w:r w:rsidRPr="00AC7242">
              <w:rPr>
                <w:sz w:val="22"/>
                <w:szCs w:val="22"/>
              </w:rPr>
              <w:t xml:space="preserve"> - фактичний обсяг корисного відпуску електричної енергії споживачам на 1 класі напруги в і</w:t>
            </w:r>
            <w:r w:rsidRPr="00AC7242">
              <w:rPr>
                <w:i/>
                <w:sz w:val="22"/>
                <w:szCs w:val="22"/>
              </w:rPr>
              <w:t>-</w:t>
            </w:r>
            <w:r w:rsidRPr="00AC7242">
              <w:rPr>
                <w:sz w:val="22"/>
                <w:szCs w:val="22"/>
              </w:rPr>
              <w:t>му місяці звітного року, МВт·год;</w:t>
            </w:r>
          </w:p>
          <w:p w:rsidR="007F4594" w:rsidRPr="00AC7242" w:rsidRDefault="007F4594" w:rsidP="007F4594">
            <w:pPr>
              <w:spacing w:after="75"/>
              <w:ind w:firstLine="240"/>
              <w:jc w:val="both"/>
              <w:rPr>
                <w:sz w:val="22"/>
                <w:szCs w:val="22"/>
              </w:rPr>
            </w:pPr>
            <w:r w:rsidRPr="00AC7242">
              <w:rPr>
                <w:i/>
                <w:sz w:val="22"/>
                <w:szCs w:val="22"/>
              </w:rPr>
              <w:t>W</w:t>
            </w:r>
            <w:r w:rsidRPr="00AC7242">
              <w:rPr>
                <w:sz w:val="22"/>
                <w:szCs w:val="22"/>
                <w:vertAlign w:val="subscript"/>
              </w:rPr>
              <w:t>2i</w:t>
            </w:r>
            <w:r w:rsidRPr="00AC7242">
              <w:rPr>
                <w:sz w:val="22"/>
                <w:szCs w:val="22"/>
              </w:rPr>
              <w:t xml:space="preserve"> - фактичний обсяг розподілу електричної енергії споживачам на 2 класі напруги в і</w:t>
            </w:r>
            <w:r w:rsidRPr="00AC7242">
              <w:rPr>
                <w:i/>
                <w:sz w:val="22"/>
                <w:szCs w:val="22"/>
              </w:rPr>
              <w:t>-</w:t>
            </w:r>
            <w:r w:rsidRPr="00AC7242">
              <w:rPr>
                <w:sz w:val="22"/>
                <w:szCs w:val="22"/>
              </w:rPr>
              <w:t>му місяці звітного року, МВт·год;</w:t>
            </w:r>
          </w:p>
          <w:p w:rsidR="007F4594" w:rsidRPr="00AC7242" w:rsidRDefault="007F4594" w:rsidP="007F4594">
            <w:pPr>
              <w:spacing w:after="75"/>
              <w:ind w:firstLine="240"/>
              <w:jc w:val="both"/>
              <w:rPr>
                <w:sz w:val="22"/>
                <w:szCs w:val="22"/>
              </w:rPr>
            </w:pPr>
            <w:r w:rsidRPr="00AC7242">
              <w:rPr>
                <w:i/>
                <w:sz w:val="22"/>
                <w:szCs w:val="22"/>
              </w:rPr>
              <w:t>K</w:t>
            </w:r>
            <w:r w:rsidRPr="00AC7242">
              <w:rPr>
                <w:sz w:val="22"/>
                <w:szCs w:val="22"/>
                <w:vertAlign w:val="subscript"/>
              </w:rPr>
              <w:t>1</w:t>
            </w:r>
            <w:r w:rsidRPr="00AC7242">
              <w:rPr>
                <w:sz w:val="22"/>
                <w:szCs w:val="22"/>
              </w:rPr>
              <w:t xml:space="preserve">, </w:t>
            </w:r>
            <w:r w:rsidRPr="00AC7242">
              <w:rPr>
                <w:i/>
                <w:sz w:val="22"/>
                <w:szCs w:val="22"/>
              </w:rPr>
              <w:t>K</w:t>
            </w:r>
            <w:r w:rsidRPr="00AC7242">
              <w:rPr>
                <w:sz w:val="22"/>
                <w:szCs w:val="22"/>
                <w:vertAlign w:val="subscript"/>
              </w:rPr>
              <w:t>2</w:t>
            </w:r>
            <w:r w:rsidRPr="00AC7242">
              <w:rPr>
                <w:sz w:val="22"/>
                <w:szCs w:val="22"/>
              </w:rPr>
              <w:t xml:space="preserve"> - економічні коефіцієнти прогнозованих технологічних витрат електричної енергії на 1 та 2 класах напруги, затверджені на звітний рік, відносні одиниці.</w:t>
            </w:r>
          </w:p>
          <w:p w:rsidR="007F4594" w:rsidRPr="00AC7242" w:rsidRDefault="007F4594" w:rsidP="007F4594">
            <w:pPr>
              <w:spacing w:after="75"/>
              <w:ind w:firstLine="240"/>
              <w:jc w:val="both"/>
              <w:rPr>
                <w:sz w:val="22"/>
                <w:szCs w:val="22"/>
              </w:rPr>
            </w:pPr>
            <w:r w:rsidRPr="00AC7242">
              <w:rPr>
                <w:sz w:val="22"/>
                <w:szCs w:val="22"/>
              </w:rPr>
              <w:t>Д</w:t>
            </w:r>
            <w:r w:rsidRPr="00AC7242">
              <w:rPr>
                <w:sz w:val="22"/>
                <w:szCs w:val="22"/>
                <w:vertAlign w:val="subscript"/>
              </w:rPr>
              <w:t>ТВЕ ф і</w:t>
            </w:r>
            <w:r w:rsidRPr="00AC7242">
              <w:rPr>
                <w:sz w:val="22"/>
                <w:szCs w:val="22"/>
              </w:rPr>
              <w:t xml:space="preserve"> розраховується за формулою</w:t>
            </w:r>
          </w:p>
          <w:tbl>
            <w:tblPr>
              <w:tblW w:w="5092" w:type="dxa"/>
              <w:tblCellSpacing w:w="0" w:type="auto"/>
              <w:tblBorders>
                <w:top w:val="single" w:sz="8" w:space="0" w:color="E5E2FF"/>
              </w:tblBorders>
              <w:tblLayout w:type="fixed"/>
              <w:tblLook w:val="04A0" w:firstRow="1" w:lastRow="0" w:firstColumn="1" w:lastColumn="0" w:noHBand="0" w:noVBand="1"/>
            </w:tblPr>
            <w:tblGrid>
              <w:gridCol w:w="4171"/>
              <w:gridCol w:w="921"/>
            </w:tblGrid>
            <w:tr w:rsidR="007F4594" w:rsidRPr="00AC7242" w:rsidTr="007B385C">
              <w:trPr>
                <w:trHeight w:val="34"/>
                <w:tblCellSpacing w:w="0" w:type="auto"/>
              </w:trPr>
              <w:tc>
                <w:tcPr>
                  <w:tcW w:w="4171" w:type="dxa"/>
                  <w:vAlign w:val="center"/>
                </w:tcPr>
                <w:p w:rsidR="007F4594" w:rsidRPr="00AC7242" w:rsidRDefault="007F4594" w:rsidP="007F4594">
                  <w:pPr>
                    <w:spacing w:after="75"/>
                    <w:rPr>
                      <w:sz w:val="22"/>
                      <w:szCs w:val="22"/>
                    </w:rPr>
                  </w:pPr>
                  <w:r w:rsidRPr="00AC7242">
                    <w:rPr>
                      <w:noProof/>
                      <w:sz w:val="22"/>
                      <w:szCs w:val="22"/>
                    </w:rPr>
                    <w:drawing>
                      <wp:inline distT="0" distB="0" distL="0" distR="0" wp14:anchorId="66D826DD" wp14:editId="0D57DA5C">
                        <wp:extent cx="1596788" cy="145825"/>
                        <wp:effectExtent l="0" t="0" r="3810" b="6985"/>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740418" cy="158942"/>
                                </a:xfrm>
                                <a:prstGeom prst="rect">
                                  <a:avLst/>
                                </a:prstGeom>
                              </pic:spPr>
                            </pic:pic>
                          </a:graphicData>
                        </a:graphic>
                      </wp:inline>
                    </w:drawing>
                  </w:r>
                </w:p>
              </w:tc>
              <w:tc>
                <w:tcPr>
                  <w:tcW w:w="921" w:type="dxa"/>
                  <w:vAlign w:val="center"/>
                </w:tcPr>
                <w:p w:rsidR="007F4594" w:rsidRPr="00AC7242" w:rsidRDefault="007F4594" w:rsidP="007F4594">
                  <w:pPr>
                    <w:spacing w:after="75"/>
                    <w:rPr>
                      <w:sz w:val="22"/>
                      <w:szCs w:val="22"/>
                    </w:rPr>
                  </w:pPr>
                  <w:r w:rsidRPr="00AC7242">
                    <w:rPr>
                      <w:sz w:val="22"/>
                      <w:szCs w:val="22"/>
                    </w:rPr>
                    <w:t>,</w:t>
                  </w:r>
                </w:p>
              </w:tc>
            </w:tr>
          </w:tbl>
          <w:p w:rsidR="007F4594" w:rsidRPr="00AC7242" w:rsidRDefault="007F4594" w:rsidP="007F4594">
            <w:pPr>
              <w:spacing w:after="75"/>
              <w:ind w:firstLine="240"/>
              <w:jc w:val="both"/>
              <w:rPr>
                <w:sz w:val="22"/>
                <w:szCs w:val="22"/>
              </w:rPr>
            </w:pPr>
            <w:r w:rsidRPr="00AC7242">
              <w:rPr>
                <w:sz w:val="22"/>
                <w:szCs w:val="22"/>
              </w:rPr>
              <w:t>де O</w:t>
            </w:r>
            <w:r w:rsidRPr="00AC7242">
              <w:rPr>
                <w:sz w:val="22"/>
                <w:szCs w:val="22"/>
                <w:vertAlign w:val="subscript"/>
              </w:rPr>
              <w:t>ТВЕ ф і</w:t>
            </w:r>
            <w:r w:rsidRPr="00AC7242">
              <w:rPr>
                <w:sz w:val="22"/>
                <w:szCs w:val="22"/>
              </w:rPr>
              <w:t xml:space="preserve"> - фактичний обсяг технологічних витрат електричної енергії в і-му місяці звітного року відповідно до наданих комісії з перевірки належним чином завірених копій підтвердних документів та даних за формою звітності N 2-НКРЕ (місячна) "Звітні дані про обсяги передачі електричної енергії місцевими (локальними) електромережами та нормативні технологічні витрати електроенергії за 1 - 2 класами напруги", затвердженою постановою Національної комісії, що здійснює державне регулювання у сфері енергетики, від 04 жовтня 2012 року N 1257, формою звітності N 2а-НКРЕКП-розподіл електричної енергії (місячна) "Звітні дані про обсяги розподілу електричної енергії та </w:t>
            </w:r>
            <w:r w:rsidRPr="00AC7242">
              <w:rPr>
                <w:sz w:val="22"/>
                <w:szCs w:val="22"/>
              </w:rPr>
              <w:lastRenderedPageBreak/>
              <w:t>технологічні витрати електричної енергії за 1 та 2 класами напруги", затвердженою постановою НКРЕКП від 28 лютого 2019 року N 282, та формою звітності N 5-НКРЕКП-моніторинг-розподіл (місячна) "Звіт про обсяги розподілу електричної енергії", затвердженою постановою НКРЕКП від 29 березня 2019 року N 450, МВт·год.</w:t>
            </w:r>
          </w:p>
          <w:p w:rsidR="007F4594" w:rsidRPr="00AC7242" w:rsidRDefault="007F4594" w:rsidP="007F4594">
            <w:pPr>
              <w:spacing w:after="75"/>
              <w:ind w:firstLine="240"/>
              <w:jc w:val="both"/>
              <w:rPr>
                <w:sz w:val="22"/>
                <w:szCs w:val="22"/>
              </w:rPr>
            </w:pPr>
            <w:r w:rsidRPr="00AC7242">
              <w:rPr>
                <w:sz w:val="22"/>
                <w:szCs w:val="22"/>
              </w:rPr>
              <w:t>Після впровадження нового ринку електричної енергії (з 01 липня 2019 року) Д</w:t>
            </w:r>
            <w:r w:rsidRPr="00AC7242">
              <w:rPr>
                <w:sz w:val="22"/>
                <w:szCs w:val="22"/>
                <w:vertAlign w:val="subscript"/>
              </w:rPr>
              <w:t xml:space="preserve">ТВЕ </w:t>
            </w:r>
            <w:proofErr w:type="spellStart"/>
            <w:r w:rsidRPr="00AC7242">
              <w:rPr>
                <w:sz w:val="22"/>
                <w:szCs w:val="22"/>
                <w:vertAlign w:val="subscript"/>
              </w:rPr>
              <w:t>нф</w:t>
            </w:r>
            <w:proofErr w:type="spellEnd"/>
            <w:r w:rsidRPr="00AC7242">
              <w:rPr>
                <w:sz w:val="22"/>
                <w:szCs w:val="22"/>
                <w:vertAlign w:val="subscript"/>
              </w:rPr>
              <w:t xml:space="preserve"> і</w:t>
            </w:r>
            <w:r w:rsidRPr="00AC7242">
              <w:rPr>
                <w:sz w:val="22"/>
                <w:szCs w:val="22"/>
              </w:rPr>
              <w:t xml:space="preserve"> розраховується за формулою</w:t>
            </w:r>
          </w:p>
          <w:tbl>
            <w:tblPr>
              <w:tblW w:w="0" w:type="auto"/>
              <w:tblCellSpacing w:w="0" w:type="auto"/>
              <w:tblBorders>
                <w:top w:val="single" w:sz="8" w:space="0" w:color="E5E2FF"/>
              </w:tblBorders>
              <w:tblLayout w:type="fixed"/>
              <w:tblLook w:val="04A0" w:firstRow="1" w:lastRow="0" w:firstColumn="1" w:lastColumn="0" w:noHBand="0" w:noVBand="1"/>
            </w:tblPr>
            <w:tblGrid>
              <w:gridCol w:w="6098"/>
              <w:gridCol w:w="677"/>
            </w:tblGrid>
            <w:tr w:rsidR="007F4594" w:rsidRPr="00AC7242" w:rsidTr="007B385C">
              <w:trPr>
                <w:trHeight w:val="23"/>
                <w:tblCellSpacing w:w="0" w:type="auto"/>
              </w:trPr>
              <w:tc>
                <w:tcPr>
                  <w:tcW w:w="6098" w:type="dxa"/>
                  <w:vAlign w:val="center"/>
                </w:tcPr>
                <w:p w:rsidR="007F4594" w:rsidRPr="00AC7242" w:rsidRDefault="007F4594" w:rsidP="007F4594">
                  <w:pPr>
                    <w:spacing w:after="75"/>
                    <w:rPr>
                      <w:sz w:val="22"/>
                      <w:szCs w:val="22"/>
                    </w:rPr>
                  </w:pPr>
                  <w:r w:rsidRPr="00AC7242">
                    <w:rPr>
                      <w:noProof/>
                      <w:sz w:val="22"/>
                      <w:szCs w:val="22"/>
                    </w:rPr>
                    <w:drawing>
                      <wp:inline distT="0" distB="0" distL="0" distR="0" wp14:anchorId="7E60A860" wp14:editId="5D286A7A">
                        <wp:extent cx="3009900" cy="139875"/>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255518" cy="151289"/>
                                </a:xfrm>
                                <a:prstGeom prst="rect">
                                  <a:avLst/>
                                </a:prstGeom>
                              </pic:spPr>
                            </pic:pic>
                          </a:graphicData>
                        </a:graphic>
                      </wp:inline>
                    </w:drawing>
                  </w:r>
                </w:p>
              </w:tc>
              <w:tc>
                <w:tcPr>
                  <w:tcW w:w="677" w:type="dxa"/>
                  <w:vAlign w:val="center"/>
                </w:tcPr>
                <w:p w:rsidR="007F4594" w:rsidRPr="00AC7242" w:rsidRDefault="007F4594" w:rsidP="007F4594">
                  <w:pPr>
                    <w:spacing w:after="75"/>
                    <w:rPr>
                      <w:sz w:val="22"/>
                      <w:szCs w:val="22"/>
                    </w:rPr>
                  </w:pPr>
                  <w:r w:rsidRPr="00AC7242">
                    <w:rPr>
                      <w:sz w:val="22"/>
                      <w:szCs w:val="22"/>
                    </w:rPr>
                    <w:t>,</w:t>
                  </w:r>
                </w:p>
              </w:tc>
            </w:tr>
          </w:tbl>
          <w:p w:rsidR="007F4594" w:rsidRPr="00AC7242" w:rsidRDefault="007F4594" w:rsidP="007F4594">
            <w:pPr>
              <w:spacing w:after="75"/>
              <w:ind w:firstLine="240"/>
              <w:jc w:val="both"/>
              <w:rPr>
                <w:sz w:val="22"/>
                <w:szCs w:val="22"/>
              </w:rPr>
            </w:pPr>
            <w:r w:rsidRPr="00AC7242">
              <w:rPr>
                <w:sz w:val="22"/>
                <w:szCs w:val="22"/>
              </w:rPr>
              <w:t xml:space="preserve">де </w:t>
            </w:r>
            <w:proofErr w:type="spellStart"/>
            <w:r w:rsidRPr="00AC7242">
              <w:rPr>
                <w:sz w:val="22"/>
                <w:szCs w:val="22"/>
              </w:rPr>
              <w:t>К</w:t>
            </w:r>
            <w:r w:rsidRPr="00AC7242">
              <w:rPr>
                <w:sz w:val="22"/>
                <w:szCs w:val="22"/>
                <w:vertAlign w:val="subscript"/>
              </w:rPr>
              <w:t>ф</w:t>
            </w:r>
            <w:proofErr w:type="spellEnd"/>
            <w:r w:rsidRPr="00AC7242">
              <w:rPr>
                <w:sz w:val="22"/>
                <w:szCs w:val="22"/>
                <w:vertAlign w:val="subscript"/>
              </w:rPr>
              <w:t xml:space="preserve"> ПСО і</w:t>
            </w:r>
            <w:r w:rsidRPr="00AC7242">
              <w:rPr>
                <w:sz w:val="22"/>
                <w:szCs w:val="22"/>
              </w:rPr>
              <w:t xml:space="preserve"> - питома вага в загальному обсязі технологічних витрат електричної енергії на її розподіл, купованої згідно з Положенням N 483, в і-му місяці звітного року:</w:t>
            </w:r>
          </w:p>
          <w:p w:rsidR="007F4594" w:rsidRPr="00AC7242" w:rsidRDefault="007F4594" w:rsidP="007F4594">
            <w:pPr>
              <w:spacing w:after="75"/>
              <w:ind w:firstLine="240"/>
              <w:jc w:val="both"/>
              <w:rPr>
                <w:sz w:val="22"/>
                <w:szCs w:val="22"/>
              </w:rPr>
            </w:pPr>
            <w:r w:rsidRPr="00AC7242">
              <w:rPr>
                <w:sz w:val="22"/>
                <w:szCs w:val="22"/>
              </w:rPr>
              <w:t>у липні - серпні 2019 року розраховується за формулою</w:t>
            </w:r>
          </w:p>
          <w:tbl>
            <w:tblPr>
              <w:tblW w:w="0" w:type="auto"/>
              <w:tblCellSpacing w:w="0" w:type="auto"/>
              <w:tblBorders>
                <w:top w:val="single" w:sz="8" w:space="0" w:color="E5E2FF"/>
              </w:tblBorders>
              <w:tblLayout w:type="fixed"/>
              <w:tblLook w:val="04A0" w:firstRow="1" w:lastRow="0" w:firstColumn="1" w:lastColumn="0" w:noHBand="0" w:noVBand="1"/>
            </w:tblPr>
            <w:tblGrid>
              <w:gridCol w:w="2593"/>
              <w:gridCol w:w="1658"/>
            </w:tblGrid>
            <w:tr w:rsidR="007F4594" w:rsidRPr="00AC7242" w:rsidTr="007B385C">
              <w:trPr>
                <w:trHeight w:val="22"/>
                <w:tblCellSpacing w:w="0" w:type="auto"/>
              </w:trPr>
              <w:tc>
                <w:tcPr>
                  <w:tcW w:w="2593" w:type="dxa"/>
                  <w:vAlign w:val="center"/>
                </w:tcPr>
                <w:p w:rsidR="007F4594" w:rsidRPr="00AC7242" w:rsidRDefault="007F4594" w:rsidP="007F4594">
                  <w:pPr>
                    <w:spacing w:after="75"/>
                    <w:rPr>
                      <w:sz w:val="22"/>
                      <w:szCs w:val="22"/>
                    </w:rPr>
                  </w:pPr>
                  <w:r w:rsidRPr="00AC7242">
                    <w:rPr>
                      <w:noProof/>
                      <w:sz w:val="22"/>
                      <w:szCs w:val="22"/>
                    </w:rPr>
                    <w:drawing>
                      <wp:inline distT="0" distB="0" distL="0" distR="0" wp14:anchorId="7289B10B" wp14:editId="2759F453">
                        <wp:extent cx="1438275" cy="352609"/>
                        <wp:effectExtent l="0" t="0" r="0" b="9525"/>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460321" cy="358014"/>
                                </a:xfrm>
                                <a:prstGeom prst="rect">
                                  <a:avLst/>
                                </a:prstGeom>
                              </pic:spPr>
                            </pic:pic>
                          </a:graphicData>
                        </a:graphic>
                      </wp:inline>
                    </w:drawing>
                  </w:r>
                </w:p>
              </w:tc>
              <w:tc>
                <w:tcPr>
                  <w:tcW w:w="1658" w:type="dxa"/>
                  <w:vAlign w:val="center"/>
                </w:tcPr>
                <w:p w:rsidR="007F4594" w:rsidRPr="00AC7242" w:rsidRDefault="007F4594" w:rsidP="007F4594">
                  <w:pPr>
                    <w:spacing w:after="75"/>
                    <w:rPr>
                      <w:sz w:val="22"/>
                      <w:szCs w:val="22"/>
                    </w:rPr>
                  </w:pPr>
                  <w:r w:rsidRPr="00AC7242">
                    <w:rPr>
                      <w:sz w:val="22"/>
                      <w:szCs w:val="22"/>
                    </w:rPr>
                    <w:t>,</w:t>
                  </w:r>
                </w:p>
              </w:tc>
            </w:tr>
          </w:tbl>
          <w:p w:rsidR="007F4594" w:rsidRPr="00AC7242" w:rsidRDefault="007F4594" w:rsidP="007F4594">
            <w:pPr>
              <w:spacing w:after="75"/>
              <w:ind w:firstLine="240"/>
              <w:jc w:val="both"/>
              <w:rPr>
                <w:sz w:val="22"/>
                <w:szCs w:val="22"/>
              </w:rPr>
            </w:pPr>
            <w:r w:rsidRPr="00AC7242">
              <w:rPr>
                <w:sz w:val="22"/>
                <w:szCs w:val="22"/>
              </w:rPr>
              <w:t>де О</w:t>
            </w:r>
            <w:r w:rsidRPr="00AC7242">
              <w:rPr>
                <w:sz w:val="22"/>
                <w:szCs w:val="22"/>
                <w:vertAlign w:val="subscript"/>
              </w:rPr>
              <w:t>ТВЕ ПСО ф і</w:t>
            </w:r>
            <w:r w:rsidRPr="00AC7242">
              <w:rPr>
                <w:sz w:val="22"/>
                <w:szCs w:val="22"/>
              </w:rPr>
              <w:t xml:space="preserve"> - фактичний обсяг технологічних витрат електричної енергії на її розподіл на 1 та 2 класах напруги в і-му місяці звітного року, куплений згідно з Положенням N 483 в і-му місяці звітного року, МВт·год;</w:t>
            </w:r>
          </w:p>
          <w:p w:rsidR="007F4594" w:rsidRPr="00AC7242" w:rsidRDefault="007F4594" w:rsidP="007F4594">
            <w:pPr>
              <w:spacing w:after="75"/>
              <w:ind w:firstLine="240"/>
              <w:jc w:val="both"/>
              <w:rPr>
                <w:sz w:val="22"/>
                <w:szCs w:val="22"/>
              </w:rPr>
            </w:pPr>
            <w:r w:rsidRPr="00AC7242">
              <w:rPr>
                <w:sz w:val="22"/>
                <w:szCs w:val="22"/>
              </w:rPr>
              <w:t xml:space="preserve">у вересні - грудні 2019 року </w:t>
            </w:r>
            <w:proofErr w:type="spellStart"/>
            <w:r w:rsidRPr="00AC7242">
              <w:rPr>
                <w:sz w:val="22"/>
                <w:szCs w:val="22"/>
              </w:rPr>
              <w:t>К</w:t>
            </w:r>
            <w:r w:rsidRPr="00AC7242">
              <w:rPr>
                <w:sz w:val="22"/>
                <w:szCs w:val="22"/>
                <w:vertAlign w:val="subscript"/>
              </w:rPr>
              <w:t>ф</w:t>
            </w:r>
            <w:proofErr w:type="spellEnd"/>
            <w:r w:rsidRPr="00AC7242">
              <w:rPr>
                <w:sz w:val="22"/>
                <w:szCs w:val="22"/>
                <w:vertAlign w:val="subscript"/>
              </w:rPr>
              <w:t xml:space="preserve"> ПСО і</w:t>
            </w:r>
            <w:r w:rsidRPr="00AC7242">
              <w:rPr>
                <w:sz w:val="22"/>
                <w:szCs w:val="22"/>
              </w:rPr>
              <w:t xml:space="preserve"> дорівнює 0,8;</w:t>
            </w:r>
          </w:p>
          <w:p w:rsidR="007F4594" w:rsidRPr="00AC7242" w:rsidRDefault="007F4594" w:rsidP="007F4594">
            <w:pPr>
              <w:spacing w:after="75"/>
              <w:ind w:firstLine="240"/>
              <w:jc w:val="both"/>
              <w:rPr>
                <w:sz w:val="22"/>
                <w:szCs w:val="22"/>
              </w:rPr>
            </w:pPr>
            <w:r w:rsidRPr="00AC7242">
              <w:rPr>
                <w:sz w:val="22"/>
                <w:szCs w:val="22"/>
              </w:rPr>
              <w:t xml:space="preserve">Ц </w:t>
            </w:r>
            <w:r w:rsidRPr="00AC7242">
              <w:rPr>
                <w:sz w:val="22"/>
                <w:szCs w:val="22"/>
                <w:vertAlign w:val="subscript"/>
              </w:rPr>
              <w:t>ф і</w:t>
            </w:r>
            <w:r w:rsidRPr="00AC7242">
              <w:rPr>
                <w:sz w:val="22"/>
                <w:szCs w:val="22"/>
              </w:rPr>
              <w:t xml:space="preserve"> - фактична ціна електричної енергії, купованої згідно з Положенням N 483, в і-му місяці звітного року, грн/МВт·год;</w:t>
            </w:r>
          </w:p>
          <w:p w:rsidR="007F4594" w:rsidRPr="00AC7242" w:rsidRDefault="007F4594" w:rsidP="007F4594">
            <w:pPr>
              <w:spacing w:after="75"/>
              <w:ind w:firstLine="240"/>
              <w:jc w:val="both"/>
              <w:rPr>
                <w:sz w:val="22"/>
                <w:szCs w:val="22"/>
              </w:rPr>
            </w:pPr>
            <w:r w:rsidRPr="00AC7242">
              <w:rPr>
                <w:sz w:val="22"/>
                <w:szCs w:val="22"/>
              </w:rPr>
              <w:t>Ц</w:t>
            </w:r>
            <w:r w:rsidRPr="00AC7242">
              <w:rPr>
                <w:sz w:val="22"/>
                <w:szCs w:val="22"/>
                <w:vertAlign w:val="subscript"/>
              </w:rPr>
              <w:t>РДН ф і</w:t>
            </w:r>
            <w:r w:rsidRPr="00AC7242">
              <w:rPr>
                <w:sz w:val="22"/>
                <w:szCs w:val="22"/>
              </w:rPr>
              <w:t xml:space="preserve"> - фактична середньозважена ціна купівлі електричної енергії на ринку "на добу наперед" в і-му місяці звітного року, що враховує погодинний графік технологічних витрат електричної енергії оператора системи розподілу, грн/МВт·год.</w:t>
            </w:r>
          </w:p>
          <w:p w:rsidR="007F4594" w:rsidRPr="00AC7242" w:rsidRDefault="007F4594" w:rsidP="007F4594">
            <w:pPr>
              <w:spacing w:after="75"/>
              <w:ind w:firstLine="240"/>
              <w:jc w:val="both"/>
              <w:rPr>
                <w:sz w:val="22"/>
                <w:szCs w:val="22"/>
              </w:rPr>
            </w:pPr>
            <w:r w:rsidRPr="00AC7242">
              <w:rPr>
                <w:sz w:val="22"/>
                <w:szCs w:val="22"/>
              </w:rPr>
              <w:t>Д</w:t>
            </w:r>
            <w:r w:rsidRPr="00AC7242">
              <w:rPr>
                <w:sz w:val="22"/>
                <w:szCs w:val="22"/>
                <w:vertAlign w:val="subscript"/>
              </w:rPr>
              <w:t>ТВЕ ф і</w:t>
            </w:r>
            <w:r w:rsidRPr="00AC7242">
              <w:rPr>
                <w:sz w:val="22"/>
                <w:szCs w:val="22"/>
              </w:rPr>
              <w:t xml:space="preserve"> розраховується за формулою</w:t>
            </w:r>
          </w:p>
          <w:tbl>
            <w:tblPr>
              <w:tblW w:w="0" w:type="auto"/>
              <w:tblCellSpacing w:w="0" w:type="auto"/>
              <w:tblBorders>
                <w:top w:val="single" w:sz="8" w:space="0" w:color="E5E2FF"/>
              </w:tblBorders>
              <w:tblLayout w:type="fixed"/>
              <w:tblLook w:val="04A0" w:firstRow="1" w:lastRow="0" w:firstColumn="1" w:lastColumn="0" w:noHBand="0" w:noVBand="1"/>
            </w:tblPr>
            <w:tblGrid>
              <w:gridCol w:w="5584"/>
              <w:gridCol w:w="620"/>
            </w:tblGrid>
            <w:tr w:rsidR="007F4594" w:rsidRPr="00AC7242" w:rsidTr="007B385C">
              <w:trPr>
                <w:trHeight w:val="24"/>
                <w:tblCellSpacing w:w="0" w:type="auto"/>
              </w:trPr>
              <w:tc>
                <w:tcPr>
                  <w:tcW w:w="5584" w:type="dxa"/>
                  <w:vAlign w:val="center"/>
                </w:tcPr>
                <w:p w:rsidR="007F4594" w:rsidRPr="00AC7242" w:rsidRDefault="007F4594" w:rsidP="007F4594">
                  <w:pPr>
                    <w:spacing w:after="75"/>
                    <w:rPr>
                      <w:sz w:val="22"/>
                      <w:szCs w:val="22"/>
                    </w:rPr>
                  </w:pPr>
                  <w:r w:rsidRPr="00AC7242">
                    <w:rPr>
                      <w:noProof/>
                      <w:sz w:val="22"/>
                      <w:szCs w:val="22"/>
                    </w:rPr>
                    <w:drawing>
                      <wp:inline distT="0" distB="0" distL="0" distR="0" wp14:anchorId="40FEDB69" wp14:editId="0C341B06">
                        <wp:extent cx="3000375" cy="139432"/>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156278" cy="146677"/>
                                </a:xfrm>
                                <a:prstGeom prst="rect">
                                  <a:avLst/>
                                </a:prstGeom>
                              </pic:spPr>
                            </pic:pic>
                          </a:graphicData>
                        </a:graphic>
                      </wp:inline>
                    </w:drawing>
                  </w:r>
                </w:p>
              </w:tc>
              <w:tc>
                <w:tcPr>
                  <w:tcW w:w="620" w:type="dxa"/>
                  <w:vAlign w:val="center"/>
                </w:tcPr>
                <w:p w:rsidR="007F4594" w:rsidRPr="00AC7242" w:rsidRDefault="007F4594" w:rsidP="007F4594">
                  <w:pPr>
                    <w:spacing w:after="75"/>
                    <w:rPr>
                      <w:sz w:val="22"/>
                      <w:szCs w:val="22"/>
                    </w:rPr>
                  </w:pPr>
                  <w:r w:rsidRPr="00AC7242">
                    <w:rPr>
                      <w:sz w:val="22"/>
                      <w:szCs w:val="22"/>
                    </w:rPr>
                    <w:t>,</w:t>
                  </w:r>
                </w:p>
              </w:tc>
            </w:tr>
          </w:tbl>
          <w:p w:rsidR="007F4594" w:rsidRPr="00AC7242" w:rsidRDefault="007F4594" w:rsidP="007F4594">
            <w:pPr>
              <w:spacing w:after="75"/>
              <w:ind w:firstLine="240"/>
              <w:jc w:val="both"/>
              <w:rPr>
                <w:sz w:val="22"/>
                <w:szCs w:val="22"/>
              </w:rPr>
            </w:pPr>
            <w:r w:rsidRPr="00AC7242">
              <w:rPr>
                <w:sz w:val="22"/>
                <w:szCs w:val="22"/>
              </w:rPr>
              <w:lastRenderedPageBreak/>
              <w:t>З 01 січня 2021 року Д</w:t>
            </w:r>
            <w:r w:rsidRPr="00AC7242">
              <w:rPr>
                <w:sz w:val="22"/>
                <w:szCs w:val="22"/>
                <w:vertAlign w:val="subscript"/>
              </w:rPr>
              <w:t>ТВЕ</w:t>
            </w:r>
            <w:r w:rsidRPr="00AC7242">
              <w:rPr>
                <w:sz w:val="22"/>
                <w:szCs w:val="22"/>
              </w:rPr>
              <w:t xml:space="preserve"> </w:t>
            </w:r>
            <w:proofErr w:type="spellStart"/>
            <w:r w:rsidRPr="00AC7242">
              <w:rPr>
                <w:sz w:val="22"/>
                <w:szCs w:val="22"/>
                <w:vertAlign w:val="subscript"/>
              </w:rPr>
              <w:t>нф</w:t>
            </w:r>
            <w:proofErr w:type="spellEnd"/>
            <w:r w:rsidRPr="00AC7242">
              <w:rPr>
                <w:sz w:val="22"/>
                <w:szCs w:val="22"/>
              </w:rPr>
              <w:t xml:space="preserve"> </w:t>
            </w:r>
            <w:r w:rsidRPr="00AC7242">
              <w:rPr>
                <w:sz w:val="22"/>
                <w:szCs w:val="22"/>
                <w:vertAlign w:val="subscript"/>
              </w:rPr>
              <w:t>i</w:t>
            </w:r>
            <w:r w:rsidRPr="00AC7242">
              <w:rPr>
                <w:sz w:val="22"/>
                <w:szCs w:val="22"/>
              </w:rPr>
              <w:t xml:space="preserve"> розраховується за формулою</w:t>
            </w:r>
          </w:p>
          <w:p w:rsidR="007F4594" w:rsidRPr="00AC7242" w:rsidRDefault="007F4594" w:rsidP="007F4594">
            <w:pPr>
              <w:spacing w:after="75"/>
              <w:jc w:val="center"/>
              <w:rPr>
                <w:sz w:val="22"/>
                <w:szCs w:val="22"/>
              </w:rPr>
            </w:pPr>
            <w:r w:rsidRPr="00AC7242">
              <w:rPr>
                <w:sz w:val="22"/>
                <w:szCs w:val="22"/>
              </w:rPr>
              <w:t>Д</w:t>
            </w:r>
            <w:r w:rsidRPr="00AC7242">
              <w:rPr>
                <w:sz w:val="22"/>
                <w:szCs w:val="22"/>
                <w:vertAlign w:val="subscript"/>
              </w:rPr>
              <w:t>ТВЕ</w:t>
            </w:r>
            <w:r w:rsidRPr="00AC7242">
              <w:rPr>
                <w:sz w:val="22"/>
                <w:szCs w:val="22"/>
              </w:rPr>
              <w:t xml:space="preserve"> </w:t>
            </w:r>
            <w:proofErr w:type="spellStart"/>
            <w:r w:rsidRPr="00AC7242">
              <w:rPr>
                <w:sz w:val="22"/>
                <w:szCs w:val="22"/>
                <w:vertAlign w:val="subscript"/>
              </w:rPr>
              <w:t>нф</w:t>
            </w:r>
            <w:proofErr w:type="spellEnd"/>
            <w:r w:rsidRPr="00AC7242">
              <w:rPr>
                <w:sz w:val="22"/>
                <w:szCs w:val="22"/>
              </w:rPr>
              <w:t xml:space="preserve"> </w:t>
            </w:r>
            <w:r w:rsidRPr="00AC7242">
              <w:rPr>
                <w:sz w:val="22"/>
                <w:szCs w:val="22"/>
                <w:vertAlign w:val="subscript"/>
              </w:rPr>
              <w:t>i</w:t>
            </w:r>
            <w:r w:rsidRPr="00AC7242">
              <w:rPr>
                <w:sz w:val="22"/>
                <w:szCs w:val="22"/>
              </w:rPr>
              <w:t xml:space="preserve"> = О</w:t>
            </w:r>
            <w:r w:rsidRPr="00AC7242">
              <w:rPr>
                <w:sz w:val="22"/>
                <w:szCs w:val="22"/>
                <w:vertAlign w:val="subscript"/>
              </w:rPr>
              <w:t>ТВЕ</w:t>
            </w:r>
            <w:r w:rsidRPr="00AC7242">
              <w:rPr>
                <w:sz w:val="22"/>
                <w:szCs w:val="22"/>
              </w:rPr>
              <w:t xml:space="preserve"> </w:t>
            </w:r>
            <w:proofErr w:type="spellStart"/>
            <w:r w:rsidRPr="00AC7242">
              <w:rPr>
                <w:sz w:val="22"/>
                <w:szCs w:val="22"/>
                <w:vertAlign w:val="subscript"/>
              </w:rPr>
              <w:t>нф</w:t>
            </w:r>
            <w:proofErr w:type="spellEnd"/>
            <w:r w:rsidRPr="00AC7242">
              <w:rPr>
                <w:sz w:val="22"/>
                <w:szCs w:val="22"/>
              </w:rPr>
              <w:t xml:space="preserve"> </w:t>
            </w:r>
            <w:r w:rsidRPr="00AC7242">
              <w:rPr>
                <w:sz w:val="22"/>
                <w:szCs w:val="22"/>
                <w:vertAlign w:val="subscript"/>
              </w:rPr>
              <w:t>i</w:t>
            </w:r>
            <w:r w:rsidRPr="00AC7242">
              <w:rPr>
                <w:sz w:val="22"/>
                <w:szCs w:val="22"/>
              </w:rPr>
              <w:t xml:space="preserve"> х Ц</w:t>
            </w:r>
            <w:r w:rsidRPr="00AC7242">
              <w:rPr>
                <w:sz w:val="22"/>
                <w:szCs w:val="22"/>
                <w:vertAlign w:val="subscript"/>
              </w:rPr>
              <w:t>ТВЕ</w:t>
            </w:r>
            <w:r w:rsidRPr="00AC7242">
              <w:rPr>
                <w:sz w:val="22"/>
                <w:szCs w:val="22"/>
              </w:rPr>
              <w:t xml:space="preserve"> </w:t>
            </w:r>
            <w:r w:rsidRPr="00AC7242">
              <w:rPr>
                <w:sz w:val="22"/>
                <w:szCs w:val="22"/>
                <w:vertAlign w:val="subscript"/>
              </w:rPr>
              <w:t>i</w:t>
            </w:r>
            <w:r w:rsidRPr="00AC7242">
              <w:rPr>
                <w:sz w:val="22"/>
                <w:szCs w:val="22"/>
              </w:rPr>
              <w:t>,</w:t>
            </w:r>
          </w:p>
          <w:p w:rsidR="007F4594" w:rsidRPr="00AC7242" w:rsidRDefault="007F4594" w:rsidP="007F4594">
            <w:pPr>
              <w:spacing w:after="75"/>
              <w:ind w:firstLine="240"/>
              <w:jc w:val="both"/>
              <w:rPr>
                <w:sz w:val="22"/>
                <w:szCs w:val="22"/>
              </w:rPr>
            </w:pPr>
            <w:r w:rsidRPr="00AC7242">
              <w:rPr>
                <w:sz w:val="22"/>
                <w:szCs w:val="22"/>
              </w:rPr>
              <w:t>де Ц</w:t>
            </w:r>
            <w:r w:rsidRPr="00AC7242">
              <w:rPr>
                <w:sz w:val="22"/>
                <w:szCs w:val="22"/>
                <w:vertAlign w:val="subscript"/>
              </w:rPr>
              <w:t>ТВЕ</w:t>
            </w:r>
            <w:r w:rsidRPr="00AC7242">
              <w:rPr>
                <w:sz w:val="22"/>
                <w:szCs w:val="22"/>
              </w:rPr>
              <w:t xml:space="preserve"> </w:t>
            </w:r>
            <w:r w:rsidRPr="00AC7242">
              <w:rPr>
                <w:sz w:val="22"/>
                <w:szCs w:val="22"/>
                <w:vertAlign w:val="subscript"/>
              </w:rPr>
              <w:t>i</w:t>
            </w:r>
            <w:r w:rsidRPr="00AC7242">
              <w:rPr>
                <w:sz w:val="22"/>
                <w:szCs w:val="22"/>
              </w:rPr>
              <w:t xml:space="preserve"> - середньозважена ціна купівлі електричної енергії на ринку електричної енергії в i-му місяці звітного року, що враховує погодинний графік технологічних витрат електричної енергії та ціни електричної енергії на ринку "на добу наперед", ринку двосторонніх договорів (у тому числі у НАЕК "Енергоатом", у зв'язку з покладенням спеціальних обов'язків на учасників ринку електричної енергії) та балансуючому ринку, грн/МВт·год, та розраховується за формулою</w:t>
            </w:r>
          </w:p>
          <w:p w:rsidR="007F4594" w:rsidRPr="00AC7242" w:rsidRDefault="007F4594" w:rsidP="007F4594">
            <w:pPr>
              <w:spacing w:after="75"/>
              <w:ind w:firstLine="240"/>
              <w:jc w:val="both"/>
              <w:rPr>
                <w:sz w:val="22"/>
                <w:szCs w:val="22"/>
              </w:rPr>
            </w:pPr>
            <w:r w:rsidRPr="00AC7242">
              <w:rPr>
                <w:sz w:val="22"/>
                <w:szCs w:val="22"/>
              </w:rPr>
              <w:t>Ц</w:t>
            </w:r>
            <w:r w:rsidRPr="00AC7242">
              <w:rPr>
                <w:sz w:val="22"/>
                <w:szCs w:val="22"/>
                <w:vertAlign w:val="subscript"/>
              </w:rPr>
              <w:t>ТВЕ</w:t>
            </w:r>
            <w:r w:rsidRPr="00AC7242">
              <w:rPr>
                <w:sz w:val="22"/>
                <w:szCs w:val="22"/>
              </w:rPr>
              <w:t xml:space="preserve"> </w:t>
            </w:r>
            <w:r w:rsidRPr="00AC7242">
              <w:rPr>
                <w:sz w:val="22"/>
                <w:szCs w:val="22"/>
                <w:vertAlign w:val="subscript"/>
              </w:rPr>
              <w:t>i</w:t>
            </w:r>
            <w:r w:rsidRPr="00AC7242">
              <w:rPr>
                <w:sz w:val="22"/>
                <w:szCs w:val="22"/>
              </w:rPr>
              <w:t xml:space="preserve"> </w:t>
            </w:r>
            <w:r w:rsidRPr="00AC7242">
              <w:rPr>
                <w:sz w:val="22"/>
                <w:szCs w:val="22"/>
                <w:vertAlign w:val="subscript"/>
              </w:rPr>
              <w:t>=</w:t>
            </w:r>
            <w:r w:rsidRPr="00AC7242">
              <w:rPr>
                <w:sz w:val="22"/>
                <w:szCs w:val="22"/>
              </w:rPr>
              <w:t xml:space="preserve"> Ц </w:t>
            </w:r>
            <w:r w:rsidRPr="00AC7242">
              <w:rPr>
                <w:sz w:val="22"/>
                <w:szCs w:val="22"/>
                <w:vertAlign w:val="subscript"/>
              </w:rPr>
              <w:t>РДН</w:t>
            </w:r>
            <w:r w:rsidRPr="00AC7242">
              <w:rPr>
                <w:sz w:val="22"/>
                <w:szCs w:val="22"/>
              </w:rPr>
              <w:t xml:space="preserve"> </w:t>
            </w:r>
            <w:r w:rsidRPr="00AC7242">
              <w:rPr>
                <w:sz w:val="22"/>
                <w:szCs w:val="22"/>
                <w:vertAlign w:val="subscript"/>
              </w:rPr>
              <w:t>ф</w:t>
            </w:r>
            <w:r w:rsidRPr="00AC7242">
              <w:rPr>
                <w:sz w:val="22"/>
                <w:szCs w:val="22"/>
              </w:rPr>
              <w:t xml:space="preserve"> </w:t>
            </w:r>
            <w:r w:rsidRPr="00AC7242">
              <w:rPr>
                <w:sz w:val="22"/>
                <w:szCs w:val="22"/>
                <w:vertAlign w:val="subscript"/>
              </w:rPr>
              <w:t>i</w:t>
            </w:r>
            <w:r w:rsidRPr="00AC7242">
              <w:rPr>
                <w:sz w:val="22"/>
                <w:szCs w:val="22"/>
              </w:rPr>
              <w:t xml:space="preserve"> х (1 - К</w:t>
            </w:r>
            <w:r w:rsidRPr="00AC7242">
              <w:rPr>
                <w:sz w:val="22"/>
                <w:szCs w:val="22"/>
                <w:vertAlign w:val="superscript"/>
              </w:rPr>
              <w:t>БР</w:t>
            </w:r>
            <w:r w:rsidRPr="00AC7242">
              <w:rPr>
                <w:sz w:val="22"/>
                <w:szCs w:val="22"/>
                <w:vertAlign w:val="subscript"/>
              </w:rPr>
              <w:t>W</w:t>
            </w:r>
            <w:r w:rsidRPr="00AC7242">
              <w:rPr>
                <w:sz w:val="22"/>
                <w:szCs w:val="22"/>
              </w:rPr>
              <w:t xml:space="preserve"> - К</w:t>
            </w:r>
            <w:r w:rsidRPr="00AC7242">
              <w:rPr>
                <w:sz w:val="22"/>
                <w:szCs w:val="22"/>
                <w:vertAlign w:val="superscript"/>
              </w:rPr>
              <w:t>ДД</w:t>
            </w:r>
            <w:r w:rsidRPr="00AC7242">
              <w:rPr>
                <w:sz w:val="22"/>
                <w:szCs w:val="22"/>
                <w:vertAlign w:val="subscript"/>
              </w:rPr>
              <w:t>W</w:t>
            </w:r>
            <w:r w:rsidRPr="00AC7242">
              <w:rPr>
                <w:sz w:val="22"/>
                <w:szCs w:val="22"/>
              </w:rPr>
              <w:t xml:space="preserve">) + Ц </w:t>
            </w:r>
            <w:r w:rsidRPr="00AC7242">
              <w:rPr>
                <w:sz w:val="22"/>
                <w:szCs w:val="22"/>
                <w:vertAlign w:val="subscript"/>
              </w:rPr>
              <w:t>РДН</w:t>
            </w:r>
            <w:r w:rsidRPr="00AC7242">
              <w:rPr>
                <w:sz w:val="22"/>
                <w:szCs w:val="22"/>
              </w:rPr>
              <w:t xml:space="preserve"> </w:t>
            </w:r>
            <w:r w:rsidRPr="00AC7242">
              <w:rPr>
                <w:sz w:val="22"/>
                <w:szCs w:val="22"/>
                <w:vertAlign w:val="subscript"/>
              </w:rPr>
              <w:t>ф</w:t>
            </w:r>
            <w:r w:rsidRPr="00AC7242">
              <w:rPr>
                <w:sz w:val="22"/>
                <w:szCs w:val="22"/>
              </w:rPr>
              <w:t xml:space="preserve"> </w:t>
            </w:r>
            <w:r w:rsidRPr="00AC7242">
              <w:rPr>
                <w:sz w:val="22"/>
                <w:szCs w:val="22"/>
                <w:vertAlign w:val="subscript"/>
              </w:rPr>
              <w:t>i</w:t>
            </w:r>
            <w:r w:rsidRPr="00AC7242">
              <w:rPr>
                <w:sz w:val="22"/>
                <w:szCs w:val="22"/>
              </w:rPr>
              <w:t xml:space="preserve"> х (1 + К</w:t>
            </w:r>
            <w:r w:rsidRPr="00AC7242">
              <w:rPr>
                <w:sz w:val="22"/>
                <w:szCs w:val="22"/>
                <w:vertAlign w:val="superscript"/>
              </w:rPr>
              <w:t>БР</w:t>
            </w:r>
            <w:r w:rsidRPr="00AC7242">
              <w:rPr>
                <w:sz w:val="22"/>
                <w:szCs w:val="22"/>
                <w:vertAlign w:val="subscript"/>
              </w:rPr>
              <w:t>Ц</w:t>
            </w:r>
            <w:r w:rsidRPr="00AC7242">
              <w:rPr>
                <w:sz w:val="22"/>
                <w:szCs w:val="22"/>
              </w:rPr>
              <w:t>) х К</w:t>
            </w:r>
            <w:r w:rsidRPr="00AC7242">
              <w:rPr>
                <w:sz w:val="22"/>
                <w:szCs w:val="22"/>
                <w:vertAlign w:val="superscript"/>
              </w:rPr>
              <w:t>БР</w:t>
            </w:r>
            <w:r w:rsidRPr="00AC7242">
              <w:rPr>
                <w:sz w:val="22"/>
                <w:szCs w:val="22"/>
                <w:vertAlign w:val="subscript"/>
              </w:rPr>
              <w:t>W</w:t>
            </w:r>
            <w:r w:rsidRPr="00AC7242">
              <w:rPr>
                <w:sz w:val="22"/>
                <w:szCs w:val="22"/>
              </w:rPr>
              <w:t xml:space="preserve"> + Ц </w:t>
            </w:r>
            <w:r w:rsidRPr="00AC7242">
              <w:rPr>
                <w:sz w:val="22"/>
                <w:szCs w:val="22"/>
                <w:vertAlign w:val="subscript"/>
              </w:rPr>
              <w:t>РДД</w:t>
            </w:r>
            <w:r w:rsidRPr="00AC7242">
              <w:rPr>
                <w:sz w:val="22"/>
                <w:szCs w:val="22"/>
              </w:rPr>
              <w:t xml:space="preserve"> </w:t>
            </w:r>
            <w:r w:rsidRPr="00AC7242">
              <w:rPr>
                <w:sz w:val="22"/>
                <w:szCs w:val="22"/>
                <w:vertAlign w:val="subscript"/>
              </w:rPr>
              <w:t>ф</w:t>
            </w:r>
            <w:r w:rsidRPr="00AC7242">
              <w:rPr>
                <w:sz w:val="22"/>
                <w:szCs w:val="22"/>
              </w:rPr>
              <w:t xml:space="preserve"> </w:t>
            </w:r>
            <w:r w:rsidRPr="00AC7242">
              <w:rPr>
                <w:sz w:val="22"/>
                <w:szCs w:val="22"/>
                <w:vertAlign w:val="subscript"/>
              </w:rPr>
              <w:t>i</w:t>
            </w:r>
            <w:r w:rsidRPr="00AC7242">
              <w:rPr>
                <w:sz w:val="22"/>
                <w:szCs w:val="22"/>
              </w:rPr>
              <w:t xml:space="preserve"> х К</w:t>
            </w:r>
            <w:r w:rsidRPr="00AC7242">
              <w:rPr>
                <w:sz w:val="22"/>
                <w:szCs w:val="22"/>
                <w:vertAlign w:val="superscript"/>
              </w:rPr>
              <w:t>ДД</w:t>
            </w:r>
            <w:r w:rsidRPr="00AC7242">
              <w:rPr>
                <w:sz w:val="22"/>
                <w:szCs w:val="22"/>
                <w:vertAlign w:val="subscript"/>
              </w:rPr>
              <w:t>W</w:t>
            </w:r>
            <w:r w:rsidRPr="00AC7242">
              <w:rPr>
                <w:sz w:val="22"/>
                <w:szCs w:val="22"/>
              </w:rPr>
              <w:t>,</w:t>
            </w:r>
          </w:p>
          <w:p w:rsidR="007F4594" w:rsidRPr="00AC7242" w:rsidRDefault="007F4594" w:rsidP="007F4594">
            <w:pPr>
              <w:spacing w:after="75"/>
              <w:ind w:firstLine="240"/>
              <w:jc w:val="both"/>
              <w:rPr>
                <w:sz w:val="22"/>
                <w:szCs w:val="22"/>
              </w:rPr>
            </w:pPr>
            <w:r w:rsidRPr="00AC7242">
              <w:rPr>
                <w:sz w:val="22"/>
                <w:szCs w:val="22"/>
              </w:rPr>
              <w:t>де К</w:t>
            </w:r>
            <w:r w:rsidRPr="00AC7242">
              <w:rPr>
                <w:sz w:val="22"/>
                <w:szCs w:val="22"/>
                <w:vertAlign w:val="superscript"/>
              </w:rPr>
              <w:t>БР</w:t>
            </w:r>
            <w:r w:rsidRPr="00AC7242">
              <w:rPr>
                <w:sz w:val="22"/>
                <w:szCs w:val="22"/>
                <w:vertAlign w:val="subscript"/>
              </w:rPr>
              <w:t>W</w:t>
            </w:r>
            <w:r w:rsidRPr="00AC7242">
              <w:rPr>
                <w:sz w:val="22"/>
                <w:szCs w:val="22"/>
              </w:rPr>
              <w:t xml:space="preserve"> - коефіцієнт, що враховує граничний відносний обсяг небалансів електричної енергії в i-му місяці звітного року, застосований під час розрахунку встановлених тарифів на послуги з розподілу електричної енергії, відносні одиниці;</w:t>
            </w:r>
          </w:p>
          <w:p w:rsidR="007F4594" w:rsidRPr="00AC7242" w:rsidRDefault="007F4594" w:rsidP="007F4594">
            <w:pPr>
              <w:spacing w:after="75"/>
              <w:ind w:firstLine="240"/>
              <w:jc w:val="both"/>
              <w:rPr>
                <w:sz w:val="22"/>
                <w:szCs w:val="22"/>
              </w:rPr>
            </w:pPr>
            <w:r w:rsidRPr="00AC7242">
              <w:rPr>
                <w:sz w:val="22"/>
                <w:szCs w:val="22"/>
              </w:rPr>
              <w:t>К</w:t>
            </w:r>
            <w:r w:rsidRPr="00AC7242">
              <w:rPr>
                <w:sz w:val="22"/>
                <w:szCs w:val="22"/>
                <w:vertAlign w:val="superscript"/>
              </w:rPr>
              <w:t>ДД</w:t>
            </w:r>
            <w:r w:rsidRPr="00AC7242">
              <w:rPr>
                <w:sz w:val="22"/>
                <w:szCs w:val="22"/>
                <w:vertAlign w:val="subscript"/>
              </w:rPr>
              <w:t>W</w:t>
            </w:r>
            <w:r w:rsidRPr="00AC7242">
              <w:rPr>
                <w:sz w:val="22"/>
                <w:szCs w:val="22"/>
              </w:rPr>
              <w:t xml:space="preserve"> - коефіцієнт, що враховує фактичну частку електричної енергії, що купується на ринку двосторонніх договорів (у тому числі в НАЕК "Енергоатом", у зв'язку з покладенням спеціальних обов'язків на учасників ринку електричної енергії) в i-му місяці звітного року, відносні одиниці;</w:t>
            </w:r>
          </w:p>
          <w:p w:rsidR="007F4594" w:rsidRPr="00AC7242" w:rsidRDefault="007F4594" w:rsidP="007F4594">
            <w:pPr>
              <w:spacing w:after="75"/>
              <w:ind w:firstLine="240"/>
              <w:jc w:val="both"/>
              <w:rPr>
                <w:sz w:val="22"/>
                <w:szCs w:val="22"/>
              </w:rPr>
            </w:pPr>
            <w:r w:rsidRPr="00AC7242">
              <w:rPr>
                <w:sz w:val="22"/>
                <w:szCs w:val="22"/>
              </w:rPr>
              <w:t>К</w:t>
            </w:r>
            <w:r w:rsidRPr="00AC7242">
              <w:rPr>
                <w:sz w:val="22"/>
                <w:szCs w:val="22"/>
                <w:vertAlign w:val="superscript"/>
              </w:rPr>
              <w:t>БР</w:t>
            </w:r>
            <w:r w:rsidRPr="00AC7242">
              <w:rPr>
                <w:sz w:val="22"/>
                <w:szCs w:val="22"/>
                <w:vertAlign w:val="subscript"/>
              </w:rPr>
              <w:t>Ц</w:t>
            </w:r>
            <w:r w:rsidRPr="00AC7242">
              <w:rPr>
                <w:sz w:val="22"/>
                <w:szCs w:val="22"/>
              </w:rPr>
              <w:t xml:space="preserve"> - коефіцієнт, що враховує граничне відносне відхилення цін небалансів електричної енергії від цін електричної енергії на ринку "на добу наперед" в i-му місяці звітного року, застосований під час розрахунку встановлених тарифів на послуги з розподілу електричної енергії, відносні одиниці;</w:t>
            </w:r>
          </w:p>
          <w:p w:rsidR="007F4594" w:rsidRPr="00AC7242" w:rsidRDefault="007F4594" w:rsidP="007F4594">
            <w:pPr>
              <w:spacing w:after="75"/>
              <w:ind w:firstLine="240"/>
              <w:jc w:val="both"/>
              <w:rPr>
                <w:sz w:val="22"/>
                <w:szCs w:val="22"/>
              </w:rPr>
            </w:pPr>
            <w:r w:rsidRPr="00AC7242">
              <w:rPr>
                <w:sz w:val="22"/>
                <w:szCs w:val="22"/>
              </w:rPr>
              <w:t>Ц</w:t>
            </w:r>
            <w:r w:rsidRPr="00AC7242">
              <w:rPr>
                <w:sz w:val="22"/>
                <w:szCs w:val="22"/>
                <w:vertAlign w:val="subscript"/>
              </w:rPr>
              <w:t>РДД</w:t>
            </w:r>
            <w:r w:rsidRPr="00AC7242">
              <w:rPr>
                <w:sz w:val="22"/>
                <w:szCs w:val="22"/>
              </w:rPr>
              <w:t xml:space="preserve"> </w:t>
            </w:r>
            <w:r w:rsidRPr="00AC7242">
              <w:rPr>
                <w:sz w:val="22"/>
                <w:szCs w:val="22"/>
                <w:vertAlign w:val="subscript"/>
              </w:rPr>
              <w:t>ф</w:t>
            </w:r>
            <w:r w:rsidRPr="00AC7242">
              <w:rPr>
                <w:sz w:val="22"/>
                <w:szCs w:val="22"/>
              </w:rPr>
              <w:t xml:space="preserve"> </w:t>
            </w:r>
            <w:r w:rsidRPr="00AC7242">
              <w:rPr>
                <w:sz w:val="22"/>
                <w:szCs w:val="22"/>
                <w:vertAlign w:val="subscript"/>
              </w:rPr>
              <w:t>i</w:t>
            </w:r>
            <w:r w:rsidRPr="00AC7242">
              <w:rPr>
                <w:sz w:val="22"/>
                <w:szCs w:val="22"/>
              </w:rPr>
              <w:t xml:space="preserve"> - фактична середньозважена ціна купівлі електричної енергії на ринку двосторонніх договорів (у тому числі в НАЕК "Енергоатом", у зв'язку з покладенням спеціальних обов'язків на учасників ринку електричної енергії) в i-му місяці </w:t>
            </w:r>
            <w:r w:rsidRPr="00AC7242">
              <w:rPr>
                <w:sz w:val="22"/>
                <w:szCs w:val="22"/>
              </w:rPr>
              <w:lastRenderedPageBreak/>
              <w:t>звітного року згідно з актом купівлі-продажу електричної енергії, грн/МВт·год.</w:t>
            </w:r>
          </w:p>
          <w:p w:rsidR="007F4594" w:rsidRPr="00AC7242" w:rsidRDefault="007F4594" w:rsidP="007F4594">
            <w:pPr>
              <w:spacing w:after="75"/>
              <w:ind w:firstLine="240"/>
              <w:jc w:val="both"/>
              <w:rPr>
                <w:sz w:val="22"/>
                <w:szCs w:val="22"/>
              </w:rPr>
            </w:pPr>
            <w:r w:rsidRPr="00AC7242">
              <w:rPr>
                <w:sz w:val="22"/>
                <w:szCs w:val="22"/>
              </w:rPr>
              <w:t>Для цілей розрахунку складова (1 - К</w:t>
            </w:r>
            <w:r w:rsidRPr="00AC7242">
              <w:rPr>
                <w:sz w:val="22"/>
                <w:szCs w:val="22"/>
                <w:vertAlign w:val="superscript"/>
              </w:rPr>
              <w:t>БР</w:t>
            </w:r>
            <w:r w:rsidRPr="00AC7242">
              <w:rPr>
                <w:sz w:val="22"/>
                <w:szCs w:val="22"/>
                <w:vertAlign w:val="subscript"/>
              </w:rPr>
              <w:t>W</w:t>
            </w:r>
            <w:r w:rsidRPr="00AC7242">
              <w:rPr>
                <w:sz w:val="22"/>
                <w:szCs w:val="22"/>
              </w:rPr>
              <w:t xml:space="preserve"> - К</w:t>
            </w:r>
            <w:r w:rsidRPr="00AC7242">
              <w:rPr>
                <w:sz w:val="22"/>
                <w:szCs w:val="22"/>
                <w:vertAlign w:val="superscript"/>
              </w:rPr>
              <w:t>ДД</w:t>
            </w:r>
            <w:r w:rsidRPr="00AC7242">
              <w:rPr>
                <w:sz w:val="22"/>
                <w:szCs w:val="22"/>
                <w:vertAlign w:val="subscript"/>
              </w:rPr>
              <w:t>W</w:t>
            </w:r>
            <w:r w:rsidRPr="00AC7242">
              <w:rPr>
                <w:sz w:val="22"/>
                <w:szCs w:val="22"/>
              </w:rPr>
              <w:t>) приймається рівною нулю у разі, якщо її значення менше нуля.</w:t>
            </w:r>
          </w:p>
          <w:p w:rsidR="007F4594" w:rsidRPr="00AC7242" w:rsidRDefault="007F4594" w:rsidP="007F4594">
            <w:pPr>
              <w:spacing w:after="75"/>
              <w:ind w:firstLine="240"/>
              <w:jc w:val="both"/>
              <w:rPr>
                <w:sz w:val="22"/>
                <w:szCs w:val="22"/>
              </w:rPr>
            </w:pPr>
            <w:r w:rsidRPr="00AC7242">
              <w:rPr>
                <w:sz w:val="22"/>
                <w:szCs w:val="22"/>
              </w:rPr>
              <w:t xml:space="preserve">Починаючи з 2023 року Ц </w:t>
            </w:r>
            <w:r w:rsidRPr="00AC7242">
              <w:rPr>
                <w:sz w:val="22"/>
                <w:szCs w:val="22"/>
                <w:vertAlign w:val="subscript"/>
              </w:rPr>
              <w:t>ТВЕ і</w:t>
            </w:r>
            <w:r w:rsidRPr="00AC7242">
              <w:rPr>
                <w:sz w:val="22"/>
                <w:szCs w:val="22"/>
              </w:rPr>
              <w:t xml:space="preserve"> визначається за формулою</w:t>
            </w:r>
          </w:p>
          <w:p w:rsidR="007F4594" w:rsidRPr="00AC7242" w:rsidRDefault="007F4594" w:rsidP="007F4594">
            <w:pPr>
              <w:spacing w:after="75"/>
              <w:ind w:firstLine="240"/>
              <w:jc w:val="both"/>
              <w:rPr>
                <w:sz w:val="22"/>
                <w:szCs w:val="22"/>
              </w:rPr>
            </w:pPr>
            <w:r w:rsidRPr="00AC7242">
              <w:rPr>
                <w:sz w:val="22"/>
                <w:szCs w:val="22"/>
              </w:rPr>
              <w:t xml:space="preserve">Ц </w:t>
            </w:r>
            <w:r w:rsidRPr="00AC7242">
              <w:rPr>
                <w:sz w:val="22"/>
                <w:szCs w:val="22"/>
                <w:vertAlign w:val="subscript"/>
              </w:rPr>
              <w:t>ТВЕ і</w:t>
            </w:r>
            <w:r w:rsidRPr="00AC7242">
              <w:rPr>
                <w:sz w:val="22"/>
                <w:szCs w:val="22"/>
              </w:rPr>
              <w:t xml:space="preserve"> = Ц </w:t>
            </w:r>
            <w:r w:rsidRPr="00AC7242">
              <w:rPr>
                <w:sz w:val="22"/>
                <w:szCs w:val="22"/>
                <w:vertAlign w:val="subscript"/>
              </w:rPr>
              <w:t>РДН ф і</w:t>
            </w:r>
            <w:r w:rsidRPr="00AC7242">
              <w:rPr>
                <w:sz w:val="22"/>
                <w:szCs w:val="22"/>
              </w:rPr>
              <w:t xml:space="preserve"> × (1 - К</w:t>
            </w:r>
            <w:r w:rsidRPr="00AC7242">
              <w:rPr>
                <w:sz w:val="22"/>
                <w:szCs w:val="22"/>
                <w:vertAlign w:val="superscript"/>
              </w:rPr>
              <w:t>БР</w:t>
            </w:r>
            <w:r w:rsidRPr="00AC7242">
              <w:rPr>
                <w:sz w:val="22"/>
                <w:szCs w:val="22"/>
                <w:vertAlign w:val="subscript"/>
              </w:rPr>
              <w:t>W</w:t>
            </w:r>
            <w:r w:rsidRPr="00AC7242">
              <w:rPr>
                <w:sz w:val="22"/>
                <w:szCs w:val="22"/>
              </w:rPr>
              <w:t xml:space="preserve"> - К</w:t>
            </w:r>
            <w:r w:rsidRPr="00AC7242">
              <w:rPr>
                <w:sz w:val="22"/>
                <w:szCs w:val="22"/>
                <w:vertAlign w:val="superscript"/>
              </w:rPr>
              <w:t>ДД</w:t>
            </w:r>
            <w:r w:rsidRPr="00AC7242">
              <w:rPr>
                <w:sz w:val="22"/>
                <w:szCs w:val="22"/>
                <w:vertAlign w:val="subscript"/>
              </w:rPr>
              <w:t>W</w:t>
            </w:r>
            <w:r w:rsidRPr="00AC7242">
              <w:rPr>
                <w:sz w:val="22"/>
                <w:szCs w:val="22"/>
              </w:rPr>
              <w:t xml:space="preserve">) + Ц </w:t>
            </w:r>
            <w:r w:rsidRPr="00AC7242">
              <w:rPr>
                <w:sz w:val="22"/>
                <w:szCs w:val="22"/>
                <w:vertAlign w:val="subscript"/>
              </w:rPr>
              <w:t>РДН ф і</w:t>
            </w:r>
            <w:r w:rsidRPr="00AC7242">
              <w:rPr>
                <w:sz w:val="22"/>
                <w:szCs w:val="22"/>
              </w:rPr>
              <w:t xml:space="preserve"> × (1 + К </w:t>
            </w:r>
            <w:r w:rsidRPr="00AC7242">
              <w:rPr>
                <w:sz w:val="22"/>
                <w:szCs w:val="22"/>
                <w:vertAlign w:val="superscript"/>
              </w:rPr>
              <w:t>БР</w:t>
            </w:r>
            <w:r w:rsidRPr="00AC7242">
              <w:rPr>
                <w:sz w:val="22"/>
                <w:szCs w:val="22"/>
                <w:vertAlign w:val="subscript"/>
              </w:rPr>
              <w:t>Ц</w:t>
            </w:r>
            <w:r w:rsidRPr="00AC7242">
              <w:rPr>
                <w:sz w:val="22"/>
                <w:szCs w:val="22"/>
              </w:rPr>
              <w:t>) × К</w:t>
            </w:r>
            <w:r w:rsidRPr="00AC7242">
              <w:rPr>
                <w:sz w:val="22"/>
                <w:szCs w:val="22"/>
                <w:vertAlign w:val="superscript"/>
              </w:rPr>
              <w:t>БР</w:t>
            </w:r>
            <w:r w:rsidRPr="00AC7242">
              <w:rPr>
                <w:sz w:val="22"/>
                <w:szCs w:val="22"/>
                <w:vertAlign w:val="subscript"/>
              </w:rPr>
              <w:t>W</w:t>
            </w:r>
            <w:r w:rsidRPr="00AC7242">
              <w:rPr>
                <w:sz w:val="22"/>
                <w:szCs w:val="22"/>
              </w:rPr>
              <w:t xml:space="preserve"> + Ц </w:t>
            </w:r>
            <w:r w:rsidRPr="00AC7242">
              <w:rPr>
                <w:sz w:val="22"/>
                <w:szCs w:val="22"/>
                <w:vertAlign w:val="subscript"/>
              </w:rPr>
              <w:t>РДД ф і</w:t>
            </w:r>
            <w:r w:rsidRPr="00AC7242">
              <w:rPr>
                <w:sz w:val="22"/>
                <w:szCs w:val="22"/>
              </w:rPr>
              <w:t xml:space="preserve"> × К × К</w:t>
            </w:r>
            <w:r w:rsidRPr="00AC7242">
              <w:rPr>
                <w:sz w:val="22"/>
                <w:szCs w:val="22"/>
                <w:vertAlign w:val="superscript"/>
              </w:rPr>
              <w:t>ДД</w:t>
            </w:r>
            <w:r w:rsidRPr="00AC7242">
              <w:rPr>
                <w:sz w:val="22"/>
                <w:szCs w:val="22"/>
                <w:vertAlign w:val="subscript"/>
              </w:rPr>
              <w:t>W</w:t>
            </w:r>
            <w:r w:rsidRPr="00AC7242">
              <w:rPr>
                <w:sz w:val="22"/>
                <w:szCs w:val="22"/>
              </w:rPr>
              <w:t>;</w:t>
            </w:r>
          </w:p>
          <w:p w:rsidR="007F4594" w:rsidRPr="00AC7242" w:rsidRDefault="007F4594" w:rsidP="007F4594">
            <w:pPr>
              <w:spacing w:after="75"/>
              <w:ind w:firstLine="240"/>
              <w:jc w:val="both"/>
              <w:rPr>
                <w:sz w:val="22"/>
                <w:szCs w:val="22"/>
              </w:rPr>
            </w:pPr>
            <w:r w:rsidRPr="00AC7242">
              <w:rPr>
                <w:sz w:val="22"/>
                <w:szCs w:val="22"/>
              </w:rPr>
              <w:t>де К</w:t>
            </w:r>
            <w:r w:rsidRPr="00AC7242">
              <w:rPr>
                <w:sz w:val="22"/>
                <w:szCs w:val="22"/>
                <w:vertAlign w:val="superscript"/>
              </w:rPr>
              <w:t>БР</w:t>
            </w:r>
            <w:r w:rsidRPr="00AC7242">
              <w:rPr>
                <w:sz w:val="22"/>
                <w:szCs w:val="22"/>
                <w:vertAlign w:val="subscript"/>
              </w:rPr>
              <w:t>W</w:t>
            </w:r>
            <w:r w:rsidRPr="00AC7242">
              <w:rPr>
                <w:sz w:val="22"/>
                <w:szCs w:val="22"/>
              </w:rPr>
              <w:t>, К</w:t>
            </w:r>
            <w:r w:rsidRPr="00AC7242">
              <w:rPr>
                <w:sz w:val="22"/>
                <w:szCs w:val="22"/>
                <w:vertAlign w:val="superscript"/>
              </w:rPr>
              <w:t>ДД</w:t>
            </w:r>
            <w:r w:rsidRPr="00AC7242">
              <w:rPr>
                <w:sz w:val="22"/>
                <w:szCs w:val="22"/>
                <w:vertAlign w:val="subscript"/>
              </w:rPr>
              <w:t>W</w:t>
            </w:r>
            <w:r w:rsidRPr="00AC7242">
              <w:rPr>
                <w:sz w:val="22"/>
                <w:szCs w:val="22"/>
              </w:rPr>
              <w:t xml:space="preserve"> та К</w:t>
            </w:r>
            <w:r w:rsidRPr="00AC7242">
              <w:rPr>
                <w:sz w:val="22"/>
                <w:szCs w:val="22"/>
                <w:vertAlign w:val="superscript"/>
              </w:rPr>
              <w:t>БР</w:t>
            </w:r>
            <w:r w:rsidRPr="00AC7242">
              <w:rPr>
                <w:sz w:val="22"/>
                <w:szCs w:val="22"/>
                <w:vertAlign w:val="subscript"/>
              </w:rPr>
              <w:t>Ц</w:t>
            </w:r>
            <w:r w:rsidRPr="00AC7242">
              <w:rPr>
                <w:sz w:val="22"/>
                <w:szCs w:val="22"/>
              </w:rPr>
              <w:t xml:space="preserve"> визначаються на рівнях, застосованих під час розрахунку встановлених тарифів на послуги з розподілу електричної енергії в і-му місяці звітного року, або, у разі істотних змін на ринку електричної енергії протягом звітного року, на рівнях, визначених Регулятором;</w:t>
            </w:r>
          </w:p>
          <w:p w:rsidR="007F4594" w:rsidRPr="00AC7242" w:rsidRDefault="007F4594" w:rsidP="007F4594">
            <w:pPr>
              <w:spacing w:after="75"/>
              <w:ind w:firstLine="240"/>
              <w:jc w:val="both"/>
              <w:rPr>
                <w:sz w:val="22"/>
                <w:szCs w:val="22"/>
              </w:rPr>
            </w:pPr>
            <w:r w:rsidRPr="00AC7242">
              <w:rPr>
                <w:sz w:val="22"/>
                <w:szCs w:val="22"/>
              </w:rPr>
              <w:t xml:space="preserve">Ц </w:t>
            </w:r>
            <w:r w:rsidRPr="00AC7242">
              <w:rPr>
                <w:sz w:val="22"/>
                <w:szCs w:val="22"/>
                <w:vertAlign w:val="subscript"/>
              </w:rPr>
              <w:t>РДД ф і</w:t>
            </w:r>
            <w:r w:rsidRPr="00AC7242">
              <w:rPr>
                <w:sz w:val="22"/>
                <w:szCs w:val="22"/>
              </w:rPr>
              <w:t xml:space="preserve"> - місячний індекс базового навантаження на ринку двосторонніх договорів в і-му місяці звітного року, </w:t>
            </w:r>
            <w:r w:rsidRPr="00AC7242">
              <w:rPr>
                <w:b/>
                <w:sz w:val="22"/>
                <w:szCs w:val="22"/>
              </w:rPr>
              <w:t>або середньозважений місячний індекс, визначений на підставі декадних базових навантажень на ринку двосторонніх договорів в і-му місяці звітного року, які оприлюднюються ТОВ «Українська енергетична біржа» на його офіційному вебсайті в мережі Інтернет, та декадних фактичних обсягів технологічних витрат електричної енергії на її розподіл в і-му місяці звітного року купівлі на РДД</w:t>
            </w:r>
            <w:r w:rsidRPr="00AC7242">
              <w:rPr>
                <w:sz w:val="22"/>
                <w:szCs w:val="22"/>
              </w:rPr>
              <w:t>, грн/МВт·год;</w:t>
            </w:r>
          </w:p>
          <w:p w:rsidR="007F4594" w:rsidRPr="00AC7242" w:rsidRDefault="007F4594" w:rsidP="007F4594">
            <w:pPr>
              <w:spacing w:after="75"/>
              <w:ind w:firstLine="240"/>
              <w:jc w:val="both"/>
              <w:rPr>
                <w:sz w:val="22"/>
                <w:szCs w:val="22"/>
              </w:rPr>
            </w:pPr>
            <w:r w:rsidRPr="00AC7242">
              <w:rPr>
                <w:sz w:val="22"/>
                <w:szCs w:val="22"/>
              </w:rPr>
              <w:t>К - коефіцієнт, що враховує відхилення фактичної середньозваженої ціни купівлі електричної енергії на ринку "на добу наперед" від місячного індексу базового навантаження на ринку "на добу наперед", відносні одиниці, який визначається за формулою</w:t>
            </w:r>
          </w:p>
          <w:p w:rsidR="007F4594" w:rsidRPr="00AC7242" w:rsidRDefault="007F4594" w:rsidP="007F4594">
            <w:pPr>
              <w:spacing w:after="75"/>
              <w:ind w:firstLine="240"/>
              <w:jc w:val="both"/>
              <w:rPr>
                <w:sz w:val="22"/>
                <w:szCs w:val="22"/>
              </w:rPr>
            </w:pPr>
            <w:r w:rsidRPr="00AC7242">
              <w:rPr>
                <w:sz w:val="22"/>
                <w:szCs w:val="22"/>
              </w:rPr>
              <w:t xml:space="preserve">К= Ц </w:t>
            </w:r>
            <w:r w:rsidRPr="00AC7242">
              <w:rPr>
                <w:sz w:val="22"/>
                <w:szCs w:val="22"/>
                <w:vertAlign w:val="subscript"/>
              </w:rPr>
              <w:t>РДН ф і</w:t>
            </w:r>
            <w:r w:rsidRPr="00AC7242">
              <w:rPr>
                <w:sz w:val="22"/>
                <w:szCs w:val="22"/>
              </w:rPr>
              <w:t xml:space="preserve"> / Ц </w:t>
            </w:r>
            <w:r w:rsidRPr="00AC7242">
              <w:rPr>
                <w:sz w:val="22"/>
                <w:szCs w:val="22"/>
                <w:vertAlign w:val="subscript"/>
              </w:rPr>
              <w:t>база і</w:t>
            </w:r>
            <w:r w:rsidRPr="00AC7242">
              <w:rPr>
                <w:sz w:val="22"/>
                <w:szCs w:val="22"/>
              </w:rPr>
              <w:t>;</w:t>
            </w:r>
          </w:p>
          <w:p w:rsidR="007F4594" w:rsidRPr="00AC7242" w:rsidRDefault="007F4594" w:rsidP="007F4594">
            <w:pPr>
              <w:spacing w:after="75"/>
              <w:ind w:firstLine="240"/>
              <w:jc w:val="both"/>
              <w:rPr>
                <w:sz w:val="22"/>
                <w:szCs w:val="22"/>
              </w:rPr>
            </w:pPr>
            <w:r w:rsidRPr="00AC7242">
              <w:rPr>
                <w:sz w:val="22"/>
                <w:szCs w:val="22"/>
              </w:rPr>
              <w:t xml:space="preserve">де Ц </w:t>
            </w:r>
            <w:r w:rsidRPr="00AC7242">
              <w:rPr>
                <w:sz w:val="22"/>
                <w:szCs w:val="22"/>
                <w:vertAlign w:val="subscript"/>
              </w:rPr>
              <w:t>база і</w:t>
            </w:r>
            <w:r w:rsidRPr="00AC7242">
              <w:rPr>
                <w:sz w:val="22"/>
                <w:szCs w:val="22"/>
              </w:rPr>
              <w:t xml:space="preserve"> - місячний індекс базового навантаження на ринку "на добу наперед", в і-му місяці звітного року, який оприлюднюється АТ </w:t>
            </w:r>
            <w:r w:rsidRPr="00AC7242">
              <w:rPr>
                <w:sz w:val="22"/>
                <w:szCs w:val="22"/>
              </w:rPr>
              <w:lastRenderedPageBreak/>
              <w:t>"Оператор ринку" на його офіційному вебсайті в мережі Інтернет, грн/МВт.</w:t>
            </w:r>
          </w:p>
          <w:p w:rsidR="007F4594" w:rsidRPr="00AC7242" w:rsidRDefault="007F4594" w:rsidP="007F4594">
            <w:pPr>
              <w:spacing w:after="75"/>
              <w:ind w:firstLine="240"/>
              <w:jc w:val="both"/>
              <w:rPr>
                <w:sz w:val="22"/>
                <w:szCs w:val="22"/>
              </w:rPr>
            </w:pPr>
          </w:p>
          <w:p w:rsidR="007F4594" w:rsidRPr="00AC7242" w:rsidRDefault="007F4594" w:rsidP="007F4594">
            <w:pPr>
              <w:spacing w:after="75"/>
              <w:ind w:firstLine="240"/>
              <w:jc w:val="both"/>
              <w:rPr>
                <w:sz w:val="22"/>
                <w:szCs w:val="22"/>
              </w:rPr>
            </w:pPr>
            <w:r w:rsidRPr="00AC7242">
              <w:rPr>
                <w:sz w:val="22"/>
                <w:szCs w:val="22"/>
              </w:rPr>
              <w:t xml:space="preserve">Д </w:t>
            </w:r>
            <w:r w:rsidRPr="00AC7242">
              <w:rPr>
                <w:sz w:val="22"/>
                <w:szCs w:val="22"/>
                <w:vertAlign w:val="subscript"/>
              </w:rPr>
              <w:t>ТВЕ ф i</w:t>
            </w:r>
            <w:r w:rsidRPr="00AC7242">
              <w:rPr>
                <w:sz w:val="22"/>
                <w:szCs w:val="22"/>
              </w:rPr>
              <w:t xml:space="preserve"> розраховується за формулою</w:t>
            </w:r>
          </w:p>
          <w:p w:rsidR="007F4594" w:rsidRPr="00AC7242" w:rsidRDefault="007F4594" w:rsidP="007F4594">
            <w:pPr>
              <w:ind w:firstLine="308"/>
              <w:jc w:val="both"/>
              <w:rPr>
                <w:sz w:val="22"/>
                <w:szCs w:val="22"/>
                <w:shd w:val="clear" w:color="auto" w:fill="FFFFFF"/>
              </w:rPr>
            </w:pPr>
            <w:r w:rsidRPr="00AC7242">
              <w:rPr>
                <w:sz w:val="22"/>
                <w:szCs w:val="22"/>
              </w:rPr>
              <w:t xml:space="preserve">Д </w:t>
            </w:r>
            <w:r w:rsidRPr="00AC7242">
              <w:rPr>
                <w:sz w:val="22"/>
                <w:szCs w:val="22"/>
                <w:vertAlign w:val="subscript"/>
              </w:rPr>
              <w:t>ТВЕ ф i</w:t>
            </w:r>
            <w:r w:rsidRPr="00AC7242">
              <w:rPr>
                <w:sz w:val="22"/>
                <w:szCs w:val="22"/>
              </w:rPr>
              <w:t xml:space="preserve"> = О </w:t>
            </w:r>
            <w:r w:rsidRPr="00AC7242">
              <w:rPr>
                <w:sz w:val="22"/>
                <w:szCs w:val="22"/>
                <w:vertAlign w:val="subscript"/>
              </w:rPr>
              <w:t>ТВЕ ф i</w:t>
            </w:r>
            <w:r w:rsidRPr="00AC7242">
              <w:rPr>
                <w:sz w:val="22"/>
                <w:szCs w:val="22"/>
              </w:rPr>
              <w:t xml:space="preserve"> х Ц</w:t>
            </w:r>
            <w:r w:rsidRPr="00AC7242">
              <w:rPr>
                <w:sz w:val="22"/>
                <w:szCs w:val="22"/>
                <w:vertAlign w:val="subscript"/>
              </w:rPr>
              <w:t>ТВЕ i</w:t>
            </w:r>
          </w:p>
        </w:tc>
        <w:tc>
          <w:tcPr>
            <w:tcW w:w="5066" w:type="dxa"/>
            <w:shd w:val="clear" w:color="auto" w:fill="auto"/>
          </w:tcPr>
          <w:p w:rsidR="007F4594" w:rsidRPr="009D3827" w:rsidRDefault="007F4594" w:rsidP="007F4594">
            <w:pPr>
              <w:ind w:firstLine="308"/>
              <w:jc w:val="both"/>
              <w:rPr>
                <w:i/>
                <w:sz w:val="22"/>
                <w:szCs w:val="22"/>
                <w:shd w:val="clear" w:color="auto" w:fill="FFFFFF"/>
              </w:rPr>
            </w:pPr>
            <w:r w:rsidRPr="009D3827">
              <w:rPr>
                <w:i/>
                <w:sz w:val="22"/>
                <w:szCs w:val="22"/>
                <w:shd w:val="clear" w:color="auto" w:fill="FFFFFF"/>
              </w:rPr>
              <w:lastRenderedPageBreak/>
              <w:t>АТ «ДТЕК ДНІПРОВСЬКІ ЕЛЕКТРОМЕРЕЖІ»</w:t>
            </w:r>
          </w:p>
          <w:p w:rsidR="007F4594" w:rsidRPr="009D3827" w:rsidRDefault="007F4594" w:rsidP="007F4594">
            <w:pPr>
              <w:ind w:firstLine="308"/>
              <w:jc w:val="both"/>
              <w:rPr>
                <w:i/>
                <w:sz w:val="22"/>
                <w:szCs w:val="22"/>
                <w:shd w:val="clear" w:color="auto" w:fill="FFFFFF"/>
              </w:rPr>
            </w:pPr>
            <w:r w:rsidRPr="009D3827">
              <w:rPr>
                <w:i/>
                <w:sz w:val="22"/>
                <w:szCs w:val="22"/>
                <w:shd w:val="clear" w:color="auto" w:fill="FFFFFF"/>
              </w:rPr>
              <w:t>АТ «ДТЕК ОДЕСЬКІ ЕЛЕКТРОМЕРЕЖІ»</w:t>
            </w:r>
          </w:p>
          <w:p w:rsidR="007F4594" w:rsidRPr="005102FC" w:rsidRDefault="007F4594" w:rsidP="007F4594">
            <w:pPr>
              <w:ind w:firstLine="308"/>
              <w:jc w:val="both"/>
              <w:rPr>
                <w:i/>
                <w:sz w:val="22"/>
                <w:szCs w:val="22"/>
                <w:shd w:val="clear" w:color="auto" w:fill="FFFFFF"/>
              </w:rPr>
            </w:pPr>
            <w:r w:rsidRPr="005102FC">
              <w:rPr>
                <w:i/>
                <w:sz w:val="22"/>
                <w:szCs w:val="22"/>
                <w:shd w:val="clear" w:color="auto" w:fill="FFFFFF"/>
              </w:rPr>
              <w:t>ГС «РЕУ»</w:t>
            </w:r>
          </w:p>
          <w:p w:rsidR="007F4594" w:rsidRPr="009D3827" w:rsidRDefault="007F4594" w:rsidP="007F4594">
            <w:pPr>
              <w:ind w:firstLine="308"/>
              <w:jc w:val="both"/>
              <w:rPr>
                <w:sz w:val="22"/>
                <w:szCs w:val="22"/>
                <w:shd w:val="clear" w:color="auto" w:fill="FFFFFF"/>
              </w:rPr>
            </w:pPr>
            <w:r w:rsidRPr="009D3827">
              <w:rPr>
                <w:sz w:val="22"/>
                <w:szCs w:val="22"/>
                <w:shd w:val="clear" w:color="auto" w:fill="FFFFFF"/>
              </w:rPr>
              <w:t>4. З метою визначення об'єктивної суми коштів, отриманої для фінансування ліцензованої діяльності, при проведенні планових або позапланових перевірок в акті перевірки фіксуються такі показники:</w:t>
            </w:r>
          </w:p>
          <w:p w:rsidR="007F4594" w:rsidRPr="009D3827" w:rsidRDefault="007F4594" w:rsidP="007F4594">
            <w:pPr>
              <w:ind w:firstLine="308"/>
              <w:jc w:val="both"/>
              <w:rPr>
                <w:sz w:val="22"/>
                <w:szCs w:val="22"/>
                <w:shd w:val="clear" w:color="auto" w:fill="FFFFFF"/>
              </w:rPr>
            </w:pPr>
          </w:p>
          <w:p w:rsidR="007F4594" w:rsidRPr="009D3827" w:rsidRDefault="007F4594" w:rsidP="007F4594">
            <w:pPr>
              <w:ind w:firstLine="308"/>
              <w:jc w:val="both"/>
              <w:rPr>
                <w:sz w:val="22"/>
                <w:szCs w:val="22"/>
                <w:shd w:val="clear" w:color="auto" w:fill="FFFFFF"/>
              </w:rPr>
            </w:pPr>
            <w:r w:rsidRPr="009D3827">
              <w:rPr>
                <w:sz w:val="22"/>
                <w:szCs w:val="22"/>
                <w:shd w:val="clear" w:color="auto" w:fill="FFFFFF"/>
              </w:rPr>
              <w:t>&lt;…&gt;</w:t>
            </w:r>
          </w:p>
          <w:p w:rsidR="007F4594" w:rsidRPr="009D3827" w:rsidRDefault="007F4594" w:rsidP="007F4594">
            <w:pPr>
              <w:ind w:firstLine="308"/>
              <w:jc w:val="both"/>
              <w:rPr>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Default="007F4594" w:rsidP="007F4594">
            <w:pPr>
              <w:ind w:firstLine="308"/>
              <w:jc w:val="both"/>
              <w:rPr>
                <w:i/>
                <w:sz w:val="22"/>
                <w:szCs w:val="22"/>
                <w:shd w:val="clear" w:color="auto" w:fill="FFFFFF"/>
              </w:rPr>
            </w:pPr>
          </w:p>
          <w:p w:rsidR="00622EFC" w:rsidRDefault="00622EFC" w:rsidP="007F4594">
            <w:pPr>
              <w:ind w:firstLine="308"/>
              <w:jc w:val="both"/>
              <w:rPr>
                <w:i/>
                <w:sz w:val="22"/>
                <w:szCs w:val="22"/>
                <w:shd w:val="clear" w:color="auto" w:fill="FFFFFF"/>
              </w:rPr>
            </w:pPr>
          </w:p>
          <w:p w:rsidR="00622EFC" w:rsidRPr="009D3827" w:rsidRDefault="00622EFC" w:rsidP="007F4594">
            <w:pPr>
              <w:ind w:firstLine="308"/>
              <w:jc w:val="both"/>
              <w:rPr>
                <w:i/>
                <w:sz w:val="22"/>
                <w:szCs w:val="22"/>
                <w:shd w:val="clear" w:color="auto" w:fill="FFFFFF"/>
              </w:rPr>
            </w:pPr>
          </w:p>
          <w:p w:rsidR="007F4594"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7447D7" w:rsidRDefault="007F4594" w:rsidP="007F4594">
            <w:pPr>
              <w:jc w:val="both"/>
              <w:rPr>
                <w:b/>
                <w:bCs/>
                <w:sz w:val="22"/>
                <w:szCs w:val="22"/>
                <w:shd w:val="clear" w:color="auto" w:fill="FFFFFF"/>
              </w:rPr>
            </w:pPr>
            <w:r w:rsidRPr="009D3827">
              <w:rPr>
                <w:sz w:val="22"/>
                <w:szCs w:val="22"/>
              </w:rPr>
              <w:t xml:space="preserve">Ц </w:t>
            </w:r>
            <w:r w:rsidRPr="009D3827">
              <w:rPr>
                <w:sz w:val="22"/>
                <w:szCs w:val="22"/>
                <w:vertAlign w:val="subscript"/>
              </w:rPr>
              <w:t>РДД ф і</w:t>
            </w:r>
            <w:r w:rsidRPr="009D3827">
              <w:rPr>
                <w:sz w:val="22"/>
                <w:szCs w:val="22"/>
              </w:rPr>
              <w:t xml:space="preserve"> - місячний індекс базового навантаження на ринку двосторонніх договорів в і-му місяці звітного року, </w:t>
            </w:r>
            <w:r w:rsidRPr="007447D7">
              <w:rPr>
                <w:b/>
                <w:sz w:val="22"/>
                <w:szCs w:val="22"/>
              </w:rPr>
              <w:t xml:space="preserve">або середньозважений місячний індекс, визначений на підставі декадних індексів РДД базових навантажень в і-му місяці звітного року, які оприлюднюються ТОВ «Українська енергетична біржа» на його офіційному вебсайті в мережі Інтернет, або надаються ТОВ «Українська енергетична біржа» за запитом </w:t>
            </w:r>
            <w:r w:rsidRPr="007447D7">
              <w:rPr>
                <w:b/>
                <w:bCs/>
                <w:sz w:val="22"/>
                <w:szCs w:val="22"/>
                <w:shd w:val="clear" w:color="auto" w:fill="FFFFFF"/>
              </w:rPr>
              <w:t>НКРЕКП/ОСР</w:t>
            </w:r>
            <w:r w:rsidRPr="007447D7">
              <w:rPr>
                <w:b/>
                <w:sz w:val="22"/>
                <w:szCs w:val="22"/>
              </w:rPr>
              <w:t>, та декадних фактичних обсягів технологічних витрат електричної енергії ОСР в і-му місяці звітного року</w:t>
            </w:r>
            <w:r w:rsidRPr="007447D7">
              <w:rPr>
                <w:sz w:val="22"/>
                <w:szCs w:val="22"/>
              </w:rPr>
              <w:t xml:space="preserve">, грн/МВт·год. </w:t>
            </w:r>
            <w:r w:rsidRPr="007447D7">
              <w:rPr>
                <w:b/>
                <w:bCs/>
                <w:sz w:val="22"/>
                <w:szCs w:val="22"/>
              </w:rPr>
              <w:t>Середньозважений місячний індекс застосовується за умови введення ГПВ та/або ГАВ в і-му місяці, у разі істотних змін на ринку;</w:t>
            </w:r>
            <w:r w:rsidRPr="007447D7">
              <w:rPr>
                <w:b/>
                <w:bCs/>
                <w:sz w:val="22"/>
                <w:szCs w:val="22"/>
                <w:shd w:val="clear" w:color="auto" w:fill="FFFFFF"/>
              </w:rPr>
              <w:t xml:space="preserve"> </w:t>
            </w:r>
          </w:p>
          <w:p w:rsidR="007F4594" w:rsidRPr="009D3827" w:rsidRDefault="007F4594" w:rsidP="007F4594">
            <w:pPr>
              <w:jc w:val="both"/>
              <w:rPr>
                <w:b/>
                <w:bCs/>
                <w:sz w:val="22"/>
                <w:szCs w:val="22"/>
                <w:shd w:val="clear" w:color="auto" w:fill="FFFFFF"/>
              </w:rPr>
            </w:pPr>
            <w:r w:rsidRPr="007447D7">
              <w:rPr>
                <w:b/>
                <w:bCs/>
                <w:sz w:val="22"/>
                <w:szCs w:val="22"/>
                <w:shd w:val="clear" w:color="auto" w:fill="FFFFFF"/>
              </w:rPr>
              <w:t>За запитом НКРЕКП/ОСР, ТОВ «Українська енергетична біржа» надає дані щодо  декадних індексів РДД базових навантажень у і-му місяці 2025 року.</w:t>
            </w:r>
            <w:r w:rsidRPr="009D3827">
              <w:rPr>
                <w:b/>
                <w:bCs/>
                <w:sz w:val="22"/>
                <w:szCs w:val="22"/>
                <w:shd w:val="clear" w:color="auto" w:fill="FFFFFF"/>
              </w:rPr>
              <w:t xml:space="preserve"> </w:t>
            </w:r>
          </w:p>
          <w:p w:rsidR="007F4594" w:rsidRPr="009D3827" w:rsidRDefault="007F4594" w:rsidP="007F4594">
            <w:pPr>
              <w:ind w:firstLine="308"/>
              <w:jc w:val="both"/>
              <w:rPr>
                <w:i/>
                <w:sz w:val="22"/>
                <w:szCs w:val="22"/>
                <w:shd w:val="clear" w:color="auto" w:fill="FFFFFF"/>
              </w:rPr>
            </w:pPr>
          </w:p>
          <w:p w:rsidR="007F4594" w:rsidRPr="0060018A" w:rsidRDefault="007F4594" w:rsidP="007F4594">
            <w:pPr>
              <w:ind w:firstLine="308"/>
              <w:jc w:val="both"/>
              <w:rPr>
                <w:i/>
                <w:sz w:val="22"/>
                <w:szCs w:val="22"/>
                <w:shd w:val="clear" w:color="auto" w:fill="FFFFFF"/>
              </w:rPr>
            </w:pPr>
            <w:r w:rsidRPr="0060018A">
              <w:rPr>
                <w:i/>
                <w:sz w:val="22"/>
                <w:szCs w:val="22"/>
                <w:shd w:val="clear" w:color="auto" w:fill="FFFFFF"/>
              </w:rPr>
              <w:t>ОБҐРУНТУВАННЯ:</w:t>
            </w:r>
          </w:p>
          <w:p w:rsidR="007F4594" w:rsidRPr="0060018A" w:rsidRDefault="007F4594" w:rsidP="007F4594">
            <w:pPr>
              <w:jc w:val="both"/>
              <w:rPr>
                <w:i/>
                <w:sz w:val="22"/>
                <w:szCs w:val="22"/>
                <w:vertAlign w:val="subscript"/>
              </w:rPr>
            </w:pPr>
            <w:r w:rsidRPr="0060018A">
              <w:rPr>
                <w:i/>
                <w:sz w:val="22"/>
                <w:szCs w:val="22"/>
                <w:shd w:val="clear" w:color="auto" w:fill="FFFFFF"/>
              </w:rPr>
              <w:t xml:space="preserve">Пропонується уточнення з метою визначення критерію використання середньозваженого місячного індексу під час розрахунку </w:t>
            </w:r>
            <w:r w:rsidRPr="0060018A">
              <w:rPr>
                <w:i/>
                <w:sz w:val="22"/>
                <w:szCs w:val="22"/>
              </w:rPr>
              <w:t xml:space="preserve">Ц </w:t>
            </w:r>
            <w:r w:rsidRPr="0060018A">
              <w:rPr>
                <w:i/>
                <w:sz w:val="22"/>
                <w:szCs w:val="22"/>
                <w:vertAlign w:val="subscript"/>
              </w:rPr>
              <w:t>РДД ф і.</w:t>
            </w:r>
          </w:p>
          <w:p w:rsidR="007F4594" w:rsidRPr="0060018A" w:rsidRDefault="007F4594" w:rsidP="007F4594">
            <w:pPr>
              <w:jc w:val="both"/>
              <w:rPr>
                <w:i/>
                <w:sz w:val="22"/>
                <w:szCs w:val="22"/>
                <w:shd w:val="clear" w:color="auto" w:fill="FFFFFF"/>
              </w:rPr>
            </w:pPr>
            <w:r w:rsidRPr="0060018A">
              <w:rPr>
                <w:i/>
                <w:sz w:val="22"/>
                <w:szCs w:val="22"/>
                <w:shd w:val="clear" w:color="auto" w:fill="FFFFFF"/>
              </w:rPr>
              <w:t>У зв’язку з тим, що вимога стосовно публікації декадних індексів почала діяти з другої половини жовтня, пропонується уточнення.</w:t>
            </w:r>
          </w:p>
          <w:p w:rsidR="007F4594" w:rsidRPr="006C2152" w:rsidRDefault="007F4594" w:rsidP="007F4594">
            <w:pPr>
              <w:jc w:val="both"/>
              <w:rPr>
                <w:sz w:val="22"/>
                <w:szCs w:val="22"/>
                <w:shd w:val="clear" w:color="auto" w:fill="FFFFFF"/>
              </w:rPr>
            </w:pPr>
            <w:r w:rsidRPr="0060018A">
              <w:rPr>
                <w:i/>
                <w:sz w:val="22"/>
                <w:szCs w:val="22"/>
                <w:shd w:val="clear" w:color="auto" w:fill="FFFFFF"/>
              </w:rPr>
              <w:t>За запитом НКРЕКП/ОСР, ТОВ «Українська енергетична біржа» надає дані щодо  декадних індексів РДД базових навантажень у і-му місяці 2025 року, які не було опубліковано на його офіційному вебсайті ТОВ «Українська енергетична біржа».</w:t>
            </w:r>
          </w:p>
        </w:tc>
        <w:tc>
          <w:tcPr>
            <w:tcW w:w="5066" w:type="dxa"/>
            <w:shd w:val="clear" w:color="auto" w:fill="auto"/>
          </w:tcPr>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622EFC" w:rsidRDefault="00622EFC" w:rsidP="007F4594">
            <w:pPr>
              <w:rPr>
                <w:b/>
                <w:sz w:val="22"/>
                <w:szCs w:val="22"/>
              </w:rPr>
            </w:pPr>
          </w:p>
          <w:p w:rsidR="007F4594" w:rsidRDefault="007F4594" w:rsidP="007F4594">
            <w:pPr>
              <w:rPr>
                <w:b/>
                <w:sz w:val="22"/>
                <w:szCs w:val="22"/>
              </w:rPr>
            </w:pPr>
          </w:p>
          <w:p w:rsidR="007F4594" w:rsidRPr="00D17E09" w:rsidRDefault="007F4594" w:rsidP="007F4594">
            <w:pPr>
              <w:rPr>
                <w:b/>
                <w:sz w:val="22"/>
                <w:szCs w:val="22"/>
              </w:rPr>
            </w:pPr>
            <w:r w:rsidRPr="00D17E09">
              <w:rPr>
                <w:b/>
                <w:sz w:val="22"/>
                <w:szCs w:val="22"/>
              </w:rPr>
              <w:t>Не враховано</w:t>
            </w:r>
          </w:p>
          <w:p w:rsidR="007F4594" w:rsidRPr="009D3827" w:rsidRDefault="007F4594" w:rsidP="007F4594">
            <w:pPr>
              <w:jc w:val="both"/>
              <w:rPr>
                <w:b/>
                <w:sz w:val="22"/>
                <w:szCs w:val="22"/>
              </w:rPr>
            </w:pPr>
            <w:r w:rsidRPr="00D17E09">
              <w:rPr>
                <w:sz w:val="22"/>
                <w:szCs w:val="22"/>
              </w:rPr>
              <w:t>Розрахунок має базуватися на офіційних, опублікованих на вебсайті ТОВ «Українська енергетична біржа», даних.</w:t>
            </w:r>
          </w:p>
        </w:tc>
      </w:tr>
      <w:tr w:rsidR="007F4594" w:rsidRPr="009D3827" w:rsidTr="00276080">
        <w:trPr>
          <w:trHeight w:val="595"/>
        </w:trPr>
        <w:tc>
          <w:tcPr>
            <w:tcW w:w="5065" w:type="dxa"/>
            <w:shd w:val="clear" w:color="auto" w:fill="auto"/>
          </w:tcPr>
          <w:p w:rsidR="007F4594" w:rsidRPr="009D3827" w:rsidRDefault="007F4594" w:rsidP="007F4594">
            <w:pPr>
              <w:ind w:firstLine="308"/>
              <w:jc w:val="both"/>
              <w:rPr>
                <w:sz w:val="22"/>
                <w:szCs w:val="22"/>
                <w:shd w:val="clear" w:color="auto" w:fill="FFFFFF"/>
              </w:rPr>
            </w:pPr>
            <w:r w:rsidRPr="009D3827">
              <w:rPr>
                <w:sz w:val="22"/>
                <w:szCs w:val="22"/>
                <w:shd w:val="clear" w:color="auto" w:fill="FFFFFF"/>
              </w:rPr>
              <w:lastRenderedPageBreak/>
              <w:t>5. Загальна сума додатково отриманого або недоотриманого доходу від ліцензованої діяльності у звітному році визначається як сума таких складових:</w:t>
            </w:r>
          </w:p>
          <w:p w:rsidR="007F4594" w:rsidRPr="009D3827" w:rsidRDefault="007F4594" w:rsidP="007F4594">
            <w:pPr>
              <w:ind w:firstLine="308"/>
              <w:jc w:val="both"/>
              <w:rPr>
                <w:sz w:val="22"/>
                <w:szCs w:val="22"/>
                <w:shd w:val="clear" w:color="auto" w:fill="FFFFFF"/>
              </w:rPr>
            </w:pPr>
            <w:r w:rsidRPr="009D3827">
              <w:rPr>
                <w:sz w:val="22"/>
                <w:szCs w:val="22"/>
                <w:shd w:val="clear" w:color="auto" w:fill="FFFFFF"/>
              </w:rPr>
              <w:t xml:space="preserve">1) сума невиконання інвестиційної програми на звітний рік. Сума невиконання інвестиційної програми на звітний рік за результатами діяльності 2022 - </w:t>
            </w:r>
            <w:r w:rsidRPr="009D3827">
              <w:rPr>
                <w:b/>
                <w:sz w:val="22"/>
                <w:szCs w:val="22"/>
                <w:shd w:val="clear" w:color="auto" w:fill="FFFFFF"/>
              </w:rPr>
              <w:t>2025</w:t>
            </w:r>
            <w:r w:rsidRPr="009D3827">
              <w:rPr>
                <w:sz w:val="22"/>
                <w:szCs w:val="22"/>
                <w:shd w:val="clear" w:color="auto" w:fill="FFFFFF"/>
              </w:rPr>
              <w:t xml:space="preserve"> років визначається з урахуванням постанови N 406;</w:t>
            </w:r>
          </w:p>
          <w:p w:rsidR="007F4594" w:rsidRPr="009D3827" w:rsidRDefault="007F4594" w:rsidP="007F4594">
            <w:pPr>
              <w:ind w:firstLine="308"/>
              <w:jc w:val="both"/>
              <w:rPr>
                <w:sz w:val="22"/>
                <w:szCs w:val="22"/>
                <w:shd w:val="clear" w:color="auto" w:fill="FFFFFF"/>
              </w:rPr>
            </w:pPr>
          </w:p>
        </w:tc>
        <w:tc>
          <w:tcPr>
            <w:tcW w:w="5066" w:type="dxa"/>
            <w:shd w:val="clear" w:color="auto" w:fill="auto"/>
          </w:tcPr>
          <w:p w:rsidR="007F4594" w:rsidRPr="009D3827" w:rsidRDefault="007F4594" w:rsidP="007F4594">
            <w:pPr>
              <w:ind w:firstLine="308"/>
              <w:jc w:val="both"/>
              <w:rPr>
                <w:i/>
                <w:sz w:val="22"/>
                <w:szCs w:val="22"/>
                <w:shd w:val="clear" w:color="auto" w:fill="FFFFFF"/>
              </w:rPr>
            </w:pPr>
            <w:r w:rsidRPr="009D3827">
              <w:rPr>
                <w:i/>
                <w:sz w:val="22"/>
                <w:szCs w:val="22"/>
                <w:shd w:val="clear" w:color="auto" w:fill="FFFFFF"/>
              </w:rPr>
              <w:t>АТ «ДТЕК ДНІПРОВСЬКІ ЕЛЕКТРОМЕРЕЖІ»</w:t>
            </w:r>
          </w:p>
          <w:p w:rsidR="007F4594" w:rsidRDefault="007F4594" w:rsidP="007F4594">
            <w:pPr>
              <w:ind w:firstLine="308"/>
              <w:jc w:val="both"/>
              <w:rPr>
                <w:i/>
                <w:sz w:val="22"/>
                <w:szCs w:val="22"/>
                <w:shd w:val="clear" w:color="auto" w:fill="FFFFFF"/>
              </w:rPr>
            </w:pPr>
            <w:r w:rsidRPr="009D3827">
              <w:rPr>
                <w:i/>
                <w:sz w:val="22"/>
                <w:szCs w:val="22"/>
                <w:shd w:val="clear" w:color="auto" w:fill="FFFFFF"/>
              </w:rPr>
              <w:t>АТ «ДТЕК ОДЕСЬКІ ЕЛЕКТРОМЕРЕЖІ»</w:t>
            </w:r>
          </w:p>
          <w:p w:rsidR="007F4594" w:rsidRPr="005102FC" w:rsidRDefault="007F4594" w:rsidP="007F4594">
            <w:pPr>
              <w:ind w:firstLine="308"/>
              <w:jc w:val="both"/>
              <w:rPr>
                <w:i/>
                <w:sz w:val="22"/>
                <w:szCs w:val="22"/>
                <w:shd w:val="clear" w:color="auto" w:fill="FFFFFF"/>
              </w:rPr>
            </w:pPr>
            <w:r w:rsidRPr="005102FC">
              <w:rPr>
                <w:i/>
                <w:sz w:val="22"/>
                <w:szCs w:val="22"/>
                <w:shd w:val="clear" w:color="auto" w:fill="FFFFFF"/>
              </w:rPr>
              <w:t>ГС «РЕУ»</w:t>
            </w:r>
          </w:p>
          <w:p w:rsidR="007F4594" w:rsidRPr="0060018A" w:rsidRDefault="007F4594" w:rsidP="007F4594">
            <w:pPr>
              <w:jc w:val="both"/>
              <w:rPr>
                <w:b/>
                <w:bCs/>
                <w:i/>
                <w:iCs/>
                <w:sz w:val="22"/>
                <w:szCs w:val="22"/>
              </w:rPr>
            </w:pPr>
            <w:r w:rsidRPr="0060018A">
              <w:rPr>
                <w:b/>
                <w:bCs/>
                <w:i/>
                <w:iCs/>
                <w:sz w:val="22"/>
                <w:szCs w:val="22"/>
              </w:rPr>
              <w:t>Пропонується додати в постанову № 406 або цю постанову:</w:t>
            </w:r>
          </w:p>
          <w:p w:rsidR="007F4594" w:rsidRPr="009D3827" w:rsidRDefault="007F4594" w:rsidP="007F4594">
            <w:pPr>
              <w:jc w:val="both"/>
              <w:rPr>
                <w:b/>
                <w:bCs/>
                <w:sz w:val="22"/>
                <w:szCs w:val="22"/>
              </w:rPr>
            </w:pPr>
            <w:r w:rsidRPr="009D3827">
              <w:rPr>
                <w:b/>
                <w:bCs/>
                <w:sz w:val="22"/>
                <w:szCs w:val="22"/>
              </w:rPr>
              <w:t xml:space="preserve">Якщо внаслідок бойових дій були зруйновані або зазнали критичних пошкоджень об'єкти, будівництво/реконструкція/модернізація яких передбачалася відповідним заходом затвердженої інвестиційної програми, та при цьому додаткове фінансування на ліквідацію наслідків бойових дій з метою виконання такого заходу протягом поточного року не було можливим з урахуванням термінів та технічної можливості його реалізації, то такий захід вважається виконаним в обсягах актів виконаних робіт та вартості отриманого обладнання. </w:t>
            </w:r>
          </w:p>
          <w:p w:rsidR="007F4594" w:rsidRPr="009D3827" w:rsidRDefault="007F4594" w:rsidP="007F4594">
            <w:pPr>
              <w:ind w:firstLine="308"/>
              <w:jc w:val="both"/>
              <w:rPr>
                <w:b/>
                <w:bCs/>
                <w:sz w:val="22"/>
                <w:szCs w:val="22"/>
              </w:rPr>
            </w:pPr>
            <w:r w:rsidRPr="009D3827">
              <w:rPr>
                <w:b/>
                <w:bCs/>
                <w:sz w:val="22"/>
                <w:szCs w:val="22"/>
              </w:rPr>
              <w:t xml:space="preserve">Різниця між затвердженою сумою заходу відповідної інвестиційної програми та виконанням, що визначається у випадах завдання критичних пошкоджень/руйнувань на підставі підтверджуючих документів (акти виконаних робіт, платіжні документи тощо), підлягає врахуванню в якості джерела </w:t>
            </w:r>
            <w:r w:rsidRPr="009D3827">
              <w:rPr>
                <w:b/>
                <w:bCs/>
                <w:sz w:val="22"/>
                <w:szCs w:val="22"/>
              </w:rPr>
              <w:lastRenderedPageBreak/>
              <w:t xml:space="preserve">фінансування інвестиційної програми на рік, що є наступним за звітним. </w:t>
            </w:r>
          </w:p>
          <w:p w:rsidR="007F4594" w:rsidRPr="009D3827" w:rsidRDefault="007F4594" w:rsidP="007F4594">
            <w:pPr>
              <w:ind w:firstLine="308"/>
              <w:jc w:val="both"/>
              <w:rPr>
                <w:i/>
                <w:sz w:val="22"/>
                <w:szCs w:val="22"/>
                <w:shd w:val="clear" w:color="auto" w:fill="FFFFFF"/>
              </w:rPr>
            </w:pPr>
          </w:p>
          <w:p w:rsidR="007F4594" w:rsidRPr="0060018A" w:rsidRDefault="007F4594" w:rsidP="007F4594">
            <w:pPr>
              <w:ind w:firstLine="308"/>
              <w:jc w:val="both"/>
              <w:rPr>
                <w:i/>
                <w:sz w:val="22"/>
                <w:szCs w:val="22"/>
                <w:shd w:val="clear" w:color="auto" w:fill="FFFFFF"/>
              </w:rPr>
            </w:pPr>
            <w:r w:rsidRPr="0060018A">
              <w:rPr>
                <w:i/>
                <w:sz w:val="22"/>
                <w:szCs w:val="22"/>
                <w:shd w:val="clear" w:color="auto" w:fill="FFFFFF"/>
              </w:rPr>
              <w:t>ОБҐРУНТУВАННЯ:</w:t>
            </w:r>
          </w:p>
          <w:p w:rsidR="007F4594" w:rsidRPr="0060018A" w:rsidRDefault="007F4594" w:rsidP="007F4594">
            <w:pPr>
              <w:jc w:val="both"/>
              <w:rPr>
                <w:i/>
                <w:sz w:val="22"/>
                <w:szCs w:val="22"/>
              </w:rPr>
            </w:pPr>
            <w:r w:rsidRPr="0060018A">
              <w:rPr>
                <w:i/>
                <w:sz w:val="22"/>
                <w:szCs w:val="22"/>
              </w:rPr>
              <w:t>Діяльність ОСР в 2025 році супроводжується цілеспрямованими ракетно-</w:t>
            </w:r>
            <w:proofErr w:type="spellStart"/>
            <w:r w:rsidRPr="0060018A">
              <w:rPr>
                <w:i/>
                <w:sz w:val="22"/>
                <w:szCs w:val="22"/>
              </w:rPr>
              <w:t>дроновими</w:t>
            </w:r>
            <w:proofErr w:type="spellEnd"/>
            <w:r w:rsidRPr="0060018A">
              <w:rPr>
                <w:i/>
                <w:sz w:val="22"/>
                <w:szCs w:val="22"/>
              </w:rPr>
              <w:t xml:space="preserve"> ударами по активам ОСР, порушеннями схем нормального режиму роботи внаслідок руйнувань та пошкоджень. </w:t>
            </w:r>
          </w:p>
          <w:p w:rsidR="007F4594" w:rsidRPr="009D3827" w:rsidRDefault="007F4594" w:rsidP="007F4594">
            <w:pPr>
              <w:ind w:firstLine="308"/>
              <w:jc w:val="both"/>
              <w:rPr>
                <w:i/>
                <w:sz w:val="22"/>
                <w:szCs w:val="22"/>
                <w:shd w:val="clear" w:color="auto" w:fill="FFFFFF"/>
              </w:rPr>
            </w:pPr>
            <w:r w:rsidRPr="0060018A">
              <w:rPr>
                <w:i/>
                <w:sz w:val="22"/>
                <w:szCs w:val="22"/>
              </w:rPr>
              <w:t>Мають місце повітряні удари по об’єктам ОСР, що виконуються в рамках затверджених інвестиційних програм 2025 року і при цьому, відсутня технічна можливість вчасного відновлення та виконання відповідних заходів ІП через суттєві пошкодження, особливо у випадках завдання таких ударів в 3-4 кварталах 2025 року. У разі руйнувань та критичних пошкоджень об’єктів ІП 2025, за належних обґрунтувань, пропонуємо виконання по таким заходам визначати відповідно до актів виконаних робіт та вартості отриманого обладнання (на склад).</w:t>
            </w:r>
          </w:p>
        </w:tc>
        <w:tc>
          <w:tcPr>
            <w:tcW w:w="5066" w:type="dxa"/>
            <w:shd w:val="clear" w:color="auto" w:fill="auto"/>
            <w:vAlign w:val="center"/>
          </w:tcPr>
          <w:p w:rsidR="007F4594" w:rsidRPr="0060018A" w:rsidRDefault="007F4594" w:rsidP="007F4594">
            <w:pPr>
              <w:ind w:firstLine="308"/>
              <w:jc w:val="both"/>
              <w:rPr>
                <w:b/>
                <w:sz w:val="22"/>
                <w:szCs w:val="22"/>
                <w:shd w:val="clear" w:color="auto" w:fill="FFFFFF"/>
              </w:rPr>
            </w:pPr>
            <w:r w:rsidRPr="0060018A">
              <w:rPr>
                <w:b/>
                <w:sz w:val="22"/>
                <w:szCs w:val="22"/>
              </w:rPr>
              <w:lastRenderedPageBreak/>
              <w:t>Враховано в розробленому проєкті рішення НКРЕКП «Про внесення зміни до постанови НКРЕКП від 26 квітня 2022 року № 406»</w:t>
            </w:r>
            <w:r>
              <w:rPr>
                <w:b/>
                <w:sz w:val="22"/>
                <w:szCs w:val="22"/>
              </w:rPr>
              <w:t>.</w:t>
            </w: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Pr="009D3827" w:rsidRDefault="007F4594" w:rsidP="007F4594">
            <w:pPr>
              <w:rPr>
                <w:b/>
                <w:sz w:val="22"/>
                <w:szCs w:val="22"/>
              </w:rPr>
            </w:pPr>
          </w:p>
        </w:tc>
      </w:tr>
      <w:tr w:rsidR="007F4594" w:rsidRPr="009D3827" w:rsidTr="00DD4C1B">
        <w:trPr>
          <w:trHeight w:val="595"/>
        </w:trPr>
        <w:tc>
          <w:tcPr>
            <w:tcW w:w="15197" w:type="dxa"/>
            <w:gridSpan w:val="3"/>
            <w:shd w:val="clear" w:color="auto" w:fill="FFD966" w:themeFill="accent4" w:themeFillTint="99"/>
          </w:tcPr>
          <w:p w:rsidR="007F4594" w:rsidRPr="00DD4C1B" w:rsidRDefault="007F4594" w:rsidP="007F4594">
            <w:pPr>
              <w:jc w:val="center"/>
              <w:rPr>
                <w:b/>
                <w:sz w:val="22"/>
                <w:szCs w:val="22"/>
              </w:rPr>
            </w:pPr>
            <w:r w:rsidRPr="00DD4C1B">
              <w:rPr>
                <w:b/>
                <w:sz w:val="22"/>
                <w:szCs w:val="22"/>
              </w:rPr>
              <w:lastRenderedPageBreak/>
              <w:t>Додаток 2</w:t>
            </w:r>
            <w:r>
              <w:rPr>
                <w:b/>
                <w:sz w:val="22"/>
                <w:szCs w:val="22"/>
              </w:rPr>
              <w:t>5</w:t>
            </w:r>
          </w:p>
          <w:p w:rsidR="007F4594" w:rsidRDefault="007F4594" w:rsidP="007F4594">
            <w:pPr>
              <w:jc w:val="center"/>
              <w:rPr>
                <w:b/>
                <w:sz w:val="22"/>
                <w:szCs w:val="22"/>
              </w:rPr>
            </w:pPr>
          </w:p>
          <w:p w:rsidR="007F4594" w:rsidRPr="009D3827" w:rsidRDefault="007F4594" w:rsidP="007F4594">
            <w:pPr>
              <w:jc w:val="center"/>
              <w:rPr>
                <w:b/>
                <w:sz w:val="22"/>
                <w:szCs w:val="22"/>
              </w:rPr>
            </w:pPr>
            <w:r w:rsidRPr="00DD4C1B">
              <w:rPr>
                <w:b/>
                <w:sz w:val="22"/>
                <w:szCs w:val="22"/>
              </w:rPr>
              <w:t>Методика визначення сум надлишково отриманого або недоотриманого доходу постачальників універсальних послуг від здійснення ліцензованої діяльності з постачання електричної енергії споживачу</w:t>
            </w:r>
          </w:p>
        </w:tc>
      </w:tr>
      <w:tr w:rsidR="007F4594" w:rsidRPr="009D3827" w:rsidTr="00276080">
        <w:trPr>
          <w:trHeight w:val="595"/>
        </w:trPr>
        <w:tc>
          <w:tcPr>
            <w:tcW w:w="5065" w:type="dxa"/>
            <w:shd w:val="clear" w:color="auto" w:fill="auto"/>
          </w:tcPr>
          <w:p w:rsidR="007F4594" w:rsidRDefault="007F4594" w:rsidP="007F4594">
            <w:pPr>
              <w:jc w:val="both"/>
              <w:rPr>
                <w:sz w:val="22"/>
                <w:szCs w:val="22"/>
                <w:shd w:val="clear" w:color="auto" w:fill="FFFFFF"/>
              </w:rPr>
            </w:pPr>
          </w:p>
          <w:p w:rsidR="007F4594" w:rsidRDefault="007F4594" w:rsidP="007F4594">
            <w:pPr>
              <w:ind w:firstLine="308"/>
              <w:jc w:val="both"/>
              <w:rPr>
                <w:sz w:val="22"/>
                <w:szCs w:val="22"/>
                <w:shd w:val="clear" w:color="auto" w:fill="FFFFFF"/>
              </w:rPr>
            </w:pPr>
          </w:p>
          <w:p w:rsidR="007F4594" w:rsidRPr="00F71BF3" w:rsidRDefault="007F4594" w:rsidP="007F4594">
            <w:pPr>
              <w:ind w:firstLine="308"/>
              <w:jc w:val="both"/>
              <w:rPr>
                <w:sz w:val="22"/>
                <w:szCs w:val="22"/>
                <w:shd w:val="clear" w:color="auto" w:fill="FFFFFF"/>
              </w:rPr>
            </w:pPr>
            <w:r w:rsidRPr="00F71BF3">
              <w:rPr>
                <w:sz w:val="22"/>
                <w:szCs w:val="22"/>
                <w:shd w:val="clear" w:color="auto" w:fill="FFFFFF"/>
              </w:rPr>
              <w:t>4. З метою визначення об'єктивної суми коштів, отриманої для фінансування ліцензованої діяльності, при проведенні планових або позапланових перевірок в акті перевірки фіксуються такі показники:</w:t>
            </w:r>
          </w:p>
          <w:p w:rsidR="007F4594" w:rsidRPr="00F71BF3" w:rsidRDefault="007F4594" w:rsidP="007F4594">
            <w:pPr>
              <w:ind w:firstLine="308"/>
              <w:jc w:val="both"/>
              <w:rPr>
                <w:sz w:val="22"/>
                <w:szCs w:val="22"/>
                <w:shd w:val="clear" w:color="auto" w:fill="FFFFFF"/>
              </w:rPr>
            </w:pPr>
          </w:p>
          <w:p w:rsidR="007F4594" w:rsidRPr="00F71BF3" w:rsidRDefault="007F4594" w:rsidP="007F4594">
            <w:pPr>
              <w:ind w:firstLine="308"/>
              <w:jc w:val="both"/>
              <w:rPr>
                <w:sz w:val="22"/>
                <w:szCs w:val="22"/>
                <w:shd w:val="clear" w:color="auto" w:fill="FFFFFF"/>
              </w:rPr>
            </w:pPr>
            <w:r w:rsidRPr="00F71BF3">
              <w:rPr>
                <w:sz w:val="22"/>
                <w:szCs w:val="22"/>
                <w:shd w:val="clear" w:color="auto" w:fill="FFFFFF"/>
              </w:rPr>
              <w:t>&lt;…&gt;</w:t>
            </w:r>
          </w:p>
          <w:p w:rsidR="007F4594" w:rsidRPr="00F71BF3" w:rsidRDefault="007F4594" w:rsidP="007F4594">
            <w:pPr>
              <w:ind w:firstLine="308"/>
              <w:jc w:val="both"/>
              <w:rPr>
                <w:b/>
                <w:sz w:val="22"/>
                <w:szCs w:val="22"/>
                <w:shd w:val="clear" w:color="auto" w:fill="FFFFFF"/>
              </w:rPr>
            </w:pPr>
            <w:r w:rsidRPr="00F71BF3">
              <w:rPr>
                <w:b/>
                <w:sz w:val="22"/>
                <w:szCs w:val="22"/>
                <w:shd w:val="clear" w:color="auto" w:fill="FFFFFF"/>
              </w:rPr>
              <w:t xml:space="preserve">6) сума недофінансування статей витрат структури тарифу у звітному році (на 2025 рік для постачальників універсальних послуг, перелік яких наведено у додатку 5 до Методики № 1176, визначається на підставі витрат, </w:t>
            </w:r>
            <w:r w:rsidRPr="00F71BF3">
              <w:rPr>
                <w:b/>
                <w:sz w:val="22"/>
                <w:szCs w:val="22"/>
                <w:shd w:val="clear" w:color="auto" w:fill="FFFFFF"/>
              </w:rPr>
              <w:lastRenderedPageBreak/>
              <w:t>врахованих у тарифах на звітний рік, перерахованих із застосуванням уточнюючого коригуючого коефіцієнта від зміни протягом звітного року фактичної кількості побутових споживачів ліцензіата, які знаходяться на контрольованій території держави (</w:t>
            </w:r>
            <w:proofErr w:type="spellStart"/>
            <w:r w:rsidRPr="00F71BF3">
              <w:rPr>
                <w:b/>
                <w:sz w:val="22"/>
                <w:szCs w:val="22"/>
                <w:shd w:val="clear" w:color="auto" w:fill="FFFFFF"/>
              </w:rPr>
              <w:t>КФСу</w:t>
            </w:r>
            <w:proofErr w:type="spellEnd"/>
            <w:r w:rsidRPr="00F71BF3">
              <w:rPr>
                <w:b/>
                <w:sz w:val="22"/>
                <w:szCs w:val="22"/>
                <w:shd w:val="clear" w:color="auto" w:fill="FFFFFF"/>
              </w:rPr>
              <w:t>)), що розраховується за формулою</w:t>
            </w:r>
          </w:p>
          <w:p w:rsidR="007F4594" w:rsidRPr="00F71BF3" w:rsidRDefault="007F4594" w:rsidP="007F4594">
            <w:pPr>
              <w:ind w:firstLine="308"/>
              <w:jc w:val="both"/>
              <w:rPr>
                <w:b/>
                <w:sz w:val="22"/>
                <w:szCs w:val="22"/>
                <w:shd w:val="clear" w:color="auto" w:fill="FFFFFF"/>
              </w:rPr>
            </w:pPr>
            <w:proofErr w:type="spellStart"/>
            <w:r w:rsidRPr="00F71BF3">
              <w:rPr>
                <w:b/>
                <w:sz w:val="22"/>
                <w:szCs w:val="22"/>
                <w:shd w:val="clear" w:color="auto" w:fill="FFFFFF"/>
              </w:rPr>
              <w:t>КФСу</w:t>
            </w:r>
            <w:proofErr w:type="spellEnd"/>
            <w:r w:rsidRPr="00F71BF3">
              <w:rPr>
                <w:b/>
                <w:sz w:val="22"/>
                <w:szCs w:val="22"/>
                <w:shd w:val="clear" w:color="auto" w:fill="FFFFFF"/>
              </w:rPr>
              <w:t xml:space="preserve"> = (1+КА* (∆</w:t>
            </w:r>
            <w:proofErr w:type="spellStart"/>
            <w:r w:rsidRPr="00F71BF3">
              <w:rPr>
                <w:b/>
                <w:sz w:val="22"/>
                <w:szCs w:val="22"/>
                <w:shd w:val="clear" w:color="auto" w:fill="FFFFFF"/>
              </w:rPr>
              <w:t>ПСt</w:t>
            </w:r>
            <w:proofErr w:type="spellEnd"/>
            <w:r w:rsidRPr="00F71BF3">
              <w:rPr>
                <w:b/>
                <w:sz w:val="22"/>
                <w:szCs w:val="22"/>
                <w:shd w:val="clear" w:color="auto" w:fill="FFFFFF"/>
              </w:rPr>
              <w:t xml:space="preserve"> / </w:t>
            </w:r>
            <w:proofErr w:type="spellStart"/>
            <w:r w:rsidRPr="00F71BF3">
              <w:rPr>
                <w:b/>
                <w:sz w:val="22"/>
                <w:szCs w:val="22"/>
                <w:shd w:val="clear" w:color="auto" w:fill="FFFFFF"/>
              </w:rPr>
              <w:t>ПСтt</w:t>
            </w:r>
            <w:proofErr w:type="spellEnd"/>
            <w:r w:rsidRPr="00F71BF3">
              <w:rPr>
                <w:b/>
                <w:sz w:val="22"/>
                <w:szCs w:val="22"/>
                <w:shd w:val="clear" w:color="auto" w:fill="FFFFFF"/>
              </w:rPr>
              <w:t>)), в. о.,</w:t>
            </w:r>
          </w:p>
          <w:p w:rsidR="007F4594" w:rsidRPr="00F71BF3" w:rsidRDefault="007F4594" w:rsidP="007F4594">
            <w:pPr>
              <w:ind w:firstLine="308"/>
              <w:jc w:val="both"/>
              <w:rPr>
                <w:b/>
                <w:sz w:val="22"/>
                <w:szCs w:val="22"/>
                <w:shd w:val="clear" w:color="auto" w:fill="FFFFFF"/>
              </w:rPr>
            </w:pPr>
            <w:r w:rsidRPr="00F71BF3">
              <w:rPr>
                <w:b/>
                <w:sz w:val="22"/>
                <w:szCs w:val="22"/>
                <w:shd w:val="clear" w:color="auto" w:fill="FFFFFF"/>
              </w:rPr>
              <w:t>де КА – коефіцієнт поправки на зміну кількості абонентів, встановлений НКРЕКП (КА = 0,7);</w:t>
            </w:r>
          </w:p>
          <w:p w:rsidR="007F4594" w:rsidRPr="00F71BF3" w:rsidRDefault="007F4594" w:rsidP="007F4594">
            <w:pPr>
              <w:ind w:firstLine="308"/>
              <w:jc w:val="both"/>
              <w:rPr>
                <w:b/>
                <w:sz w:val="22"/>
                <w:szCs w:val="22"/>
                <w:shd w:val="clear" w:color="auto" w:fill="FFFFFF"/>
              </w:rPr>
            </w:pPr>
            <w:r w:rsidRPr="00F71BF3">
              <w:rPr>
                <w:b/>
                <w:sz w:val="22"/>
                <w:szCs w:val="22"/>
                <w:shd w:val="clear" w:color="auto" w:fill="FFFFFF"/>
              </w:rPr>
              <w:t>∆</w:t>
            </w:r>
            <w:proofErr w:type="spellStart"/>
            <w:r w:rsidRPr="00F71BF3">
              <w:rPr>
                <w:b/>
                <w:sz w:val="22"/>
                <w:szCs w:val="22"/>
                <w:shd w:val="clear" w:color="auto" w:fill="FFFFFF"/>
              </w:rPr>
              <w:t>ПСt</w:t>
            </w:r>
            <w:proofErr w:type="spellEnd"/>
            <w:r w:rsidRPr="00F71BF3">
              <w:rPr>
                <w:b/>
                <w:sz w:val="22"/>
                <w:szCs w:val="22"/>
                <w:shd w:val="clear" w:color="auto" w:fill="FFFFFF"/>
              </w:rPr>
              <w:t xml:space="preserve"> – зміна фактичної кількості побутових споживачів ліцензіата, у звітному році, які знаходяться на контрольованій території держави, розрахована як різниця між фактичною кількістю побутових споживачів ліцензіата на кінець звітного періоду та кількістю побутових споживачів ліцензіата, врахованої при розрахунку тарифу на звітний рік; </w:t>
            </w:r>
          </w:p>
          <w:p w:rsidR="007F4594" w:rsidRPr="00F71BF3" w:rsidRDefault="007F4594" w:rsidP="007F4594">
            <w:pPr>
              <w:ind w:firstLine="308"/>
              <w:jc w:val="both"/>
              <w:rPr>
                <w:sz w:val="22"/>
                <w:szCs w:val="22"/>
                <w:shd w:val="clear" w:color="auto" w:fill="FFFFFF"/>
              </w:rPr>
            </w:pPr>
            <w:proofErr w:type="spellStart"/>
            <w:r w:rsidRPr="00F71BF3">
              <w:rPr>
                <w:b/>
                <w:sz w:val="22"/>
                <w:szCs w:val="22"/>
                <w:shd w:val="clear" w:color="auto" w:fill="FFFFFF"/>
              </w:rPr>
              <w:t>ПСтt</w:t>
            </w:r>
            <w:proofErr w:type="spellEnd"/>
            <w:r w:rsidRPr="00F71BF3">
              <w:rPr>
                <w:b/>
                <w:sz w:val="22"/>
                <w:szCs w:val="22"/>
                <w:shd w:val="clear" w:color="auto" w:fill="FFFFFF"/>
              </w:rPr>
              <w:t xml:space="preserve"> – кількість побутових споживачів ліцензіата, які знаходяться на контрольованій території держави, врахованих при розрахунку тарифу на звітний рік;</w:t>
            </w:r>
          </w:p>
        </w:tc>
        <w:tc>
          <w:tcPr>
            <w:tcW w:w="5066" w:type="dxa"/>
            <w:shd w:val="clear" w:color="auto" w:fill="auto"/>
          </w:tcPr>
          <w:p w:rsidR="007F4594" w:rsidRDefault="007F4594" w:rsidP="007F4594">
            <w:pPr>
              <w:ind w:firstLine="308"/>
              <w:jc w:val="both"/>
              <w:rPr>
                <w:i/>
                <w:sz w:val="22"/>
                <w:szCs w:val="22"/>
                <w:shd w:val="clear" w:color="auto" w:fill="FFFFFF"/>
              </w:rPr>
            </w:pPr>
            <w:r w:rsidRPr="00F71BF3">
              <w:rPr>
                <w:i/>
                <w:sz w:val="22"/>
                <w:szCs w:val="22"/>
                <w:shd w:val="clear" w:color="auto" w:fill="FFFFFF"/>
              </w:rPr>
              <w:lastRenderedPageBreak/>
              <w:t xml:space="preserve">ТОВ </w:t>
            </w:r>
            <w:r>
              <w:rPr>
                <w:i/>
                <w:sz w:val="22"/>
                <w:szCs w:val="22"/>
                <w:shd w:val="clear" w:color="auto" w:fill="FFFFFF"/>
              </w:rPr>
              <w:t>«</w:t>
            </w:r>
            <w:r w:rsidRPr="00F71BF3">
              <w:rPr>
                <w:i/>
                <w:sz w:val="22"/>
                <w:szCs w:val="22"/>
                <w:shd w:val="clear" w:color="auto" w:fill="FFFFFF"/>
              </w:rPr>
              <w:t>ХЕРСОНСЬКА ОБЛАСНА ЕК</w:t>
            </w:r>
            <w:r>
              <w:rPr>
                <w:i/>
                <w:sz w:val="22"/>
                <w:szCs w:val="22"/>
                <w:shd w:val="clear" w:color="auto" w:fill="FFFFFF"/>
              </w:rPr>
              <w:t>»</w:t>
            </w:r>
          </w:p>
          <w:p w:rsidR="007F4594" w:rsidRDefault="007F4594" w:rsidP="007F4594">
            <w:pPr>
              <w:ind w:firstLine="308"/>
              <w:jc w:val="both"/>
              <w:rPr>
                <w:i/>
                <w:sz w:val="22"/>
                <w:szCs w:val="22"/>
                <w:shd w:val="clear" w:color="auto" w:fill="FFFFFF"/>
              </w:rPr>
            </w:pPr>
          </w:p>
          <w:p w:rsidR="007F4594" w:rsidRDefault="007F4594" w:rsidP="007F4594">
            <w:pPr>
              <w:ind w:firstLine="308"/>
              <w:jc w:val="both"/>
              <w:rPr>
                <w:i/>
                <w:sz w:val="22"/>
                <w:szCs w:val="22"/>
                <w:shd w:val="clear" w:color="auto" w:fill="FFFFFF"/>
              </w:rPr>
            </w:pPr>
          </w:p>
          <w:p w:rsidR="007F4594" w:rsidRDefault="007F4594" w:rsidP="007F4594">
            <w:pPr>
              <w:ind w:firstLine="308"/>
              <w:jc w:val="both"/>
              <w:rPr>
                <w:i/>
                <w:sz w:val="22"/>
                <w:szCs w:val="22"/>
                <w:shd w:val="clear" w:color="auto" w:fill="FFFFFF"/>
              </w:rPr>
            </w:pPr>
          </w:p>
          <w:p w:rsidR="007F4594" w:rsidRDefault="007F4594" w:rsidP="007F4594">
            <w:pPr>
              <w:ind w:firstLine="308"/>
              <w:jc w:val="both"/>
              <w:rPr>
                <w:i/>
                <w:sz w:val="22"/>
                <w:szCs w:val="22"/>
                <w:shd w:val="clear" w:color="auto" w:fill="FFFFFF"/>
              </w:rPr>
            </w:pPr>
          </w:p>
          <w:p w:rsidR="007F4594" w:rsidRDefault="007F4594" w:rsidP="007F4594">
            <w:pPr>
              <w:ind w:firstLine="308"/>
              <w:jc w:val="both"/>
              <w:rPr>
                <w:i/>
                <w:sz w:val="22"/>
                <w:szCs w:val="22"/>
                <w:shd w:val="clear" w:color="auto" w:fill="FFFFFF"/>
              </w:rPr>
            </w:pPr>
          </w:p>
          <w:p w:rsidR="007F4594" w:rsidRDefault="007F4594" w:rsidP="007F4594">
            <w:pPr>
              <w:ind w:firstLine="308"/>
              <w:jc w:val="both"/>
              <w:rPr>
                <w:i/>
                <w:sz w:val="22"/>
                <w:szCs w:val="22"/>
                <w:shd w:val="clear" w:color="auto" w:fill="FFFFFF"/>
              </w:rPr>
            </w:pPr>
          </w:p>
          <w:p w:rsidR="007F4594" w:rsidRDefault="007F4594" w:rsidP="007F4594">
            <w:pPr>
              <w:ind w:firstLine="308"/>
              <w:jc w:val="both"/>
              <w:rPr>
                <w:i/>
                <w:sz w:val="22"/>
                <w:szCs w:val="22"/>
                <w:shd w:val="clear" w:color="auto" w:fill="FFFFFF"/>
              </w:rPr>
            </w:pPr>
          </w:p>
          <w:p w:rsidR="007F4594" w:rsidRDefault="007F4594" w:rsidP="007F4594">
            <w:pPr>
              <w:ind w:firstLine="308"/>
              <w:jc w:val="both"/>
              <w:rPr>
                <w:i/>
                <w:sz w:val="22"/>
                <w:szCs w:val="22"/>
                <w:shd w:val="clear" w:color="auto" w:fill="FFFFFF"/>
              </w:rPr>
            </w:pPr>
          </w:p>
          <w:p w:rsidR="007F4594" w:rsidRPr="00F67B4A" w:rsidRDefault="007F4594" w:rsidP="007F4594">
            <w:pPr>
              <w:suppressAutoHyphens/>
              <w:jc w:val="both"/>
              <w:rPr>
                <w:bCs/>
                <w:sz w:val="24"/>
                <w:szCs w:val="24"/>
              </w:rPr>
            </w:pPr>
            <w:r w:rsidRPr="00F67B4A">
              <w:rPr>
                <w:bCs/>
                <w:sz w:val="24"/>
                <w:szCs w:val="24"/>
              </w:rPr>
              <w:t xml:space="preserve">6) сума недофінансування статей витрат структури тарифу у звітному році (на 2025 рік для постачальників універсальних послуг, перелік яких наведено у додатку 5 до Методики </w:t>
            </w:r>
            <w:r w:rsidRPr="00F67B4A">
              <w:rPr>
                <w:bCs/>
                <w:sz w:val="24"/>
                <w:szCs w:val="24"/>
              </w:rPr>
              <w:lastRenderedPageBreak/>
              <w:t>№ 1176, визначається на підставі витрат, врахованих у тарифах на звітний рік, перерахованих із застосуванням уточнюючого коригуючого коефіцієнта від зміни протягом звітного року фактичної кількості побутових споживачів ліцензіата, які знаходяться на контрольованій території держави (</w:t>
            </w:r>
            <w:proofErr w:type="spellStart"/>
            <w:r w:rsidRPr="00F67B4A">
              <w:rPr>
                <w:bCs/>
                <w:sz w:val="24"/>
                <w:szCs w:val="24"/>
              </w:rPr>
              <w:t>КФСу</w:t>
            </w:r>
            <w:proofErr w:type="spellEnd"/>
            <w:r w:rsidRPr="00F67B4A">
              <w:rPr>
                <w:bCs/>
                <w:sz w:val="24"/>
                <w:szCs w:val="24"/>
              </w:rPr>
              <w:t>)), що розраховується за формулою</w:t>
            </w:r>
          </w:p>
          <w:p w:rsidR="007F4594" w:rsidRPr="00F67B4A" w:rsidRDefault="007F4594" w:rsidP="007F4594">
            <w:pPr>
              <w:suppressAutoHyphens/>
              <w:jc w:val="both"/>
              <w:rPr>
                <w:bCs/>
                <w:sz w:val="24"/>
                <w:szCs w:val="24"/>
              </w:rPr>
            </w:pPr>
            <w:proofErr w:type="spellStart"/>
            <w:r w:rsidRPr="00F67B4A">
              <w:rPr>
                <w:bCs/>
                <w:sz w:val="24"/>
                <w:szCs w:val="24"/>
              </w:rPr>
              <w:t>КФСу</w:t>
            </w:r>
            <w:proofErr w:type="spellEnd"/>
            <w:r w:rsidRPr="00F67B4A">
              <w:rPr>
                <w:bCs/>
                <w:sz w:val="24"/>
                <w:szCs w:val="24"/>
              </w:rPr>
              <w:t xml:space="preserve"> = (1+КА* (∆</w:t>
            </w:r>
            <w:proofErr w:type="spellStart"/>
            <w:r w:rsidRPr="00F67B4A">
              <w:rPr>
                <w:bCs/>
                <w:sz w:val="24"/>
                <w:szCs w:val="24"/>
              </w:rPr>
              <w:t>ПСt</w:t>
            </w:r>
            <w:proofErr w:type="spellEnd"/>
            <w:r w:rsidRPr="00F67B4A">
              <w:rPr>
                <w:bCs/>
                <w:sz w:val="24"/>
                <w:szCs w:val="24"/>
              </w:rPr>
              <w:t xml:space="preserve"> / </w:t>
            </w:r>
            <w:proofErr w:type="spellStart"/>
            <w:r w:rsidRPr="00F67B4A">
              <w:rPr>
                <w:bCs/>
                <w:sz w:val="24"/>
                <w:szCs w:val="24"/>
              </w:rPr>
              <w:t>ПСтt</w:t>
            </w:r>
            <w:proofErr w:type="spellEnd"/>
            <w:r w:rsidRPr="00F67B4A">
              <w:rPr>
                <w:bCs/>
                <w:sz w:val="24"/>
                <w:szCs w:val="24"/>
              </w:rPr>
              <w:t>)), в. о</w:t>
            </w:r>
            <w:r w:rsidRPr="00F67B4A">
              <w:rPr>
                <w:b/>
                <w:sz w:val="24"/>
                <w:szCs w:val="24"/>
              </w:rPr>
              <w:t xml:space="preserve">. </w:t>
            </w:r>
            <w:r w:rsidRPr="007447D7">
              <w:rPr>
                <w:b/>
                <w:sz w:val="24"/>
                <w:szCs w:val="24"/>
              </w:rPr>
              <w:t>(з округленням до чотирьох знаків після коми)</w:t>
            </w:r>
            <w:r w:rsidRPr="007447D7">
              <w:rPr>
                <w:bCs/>
                <w:sz w:val="24"/>
                <w:szCs w:val="24"/>
              </w:rPr>
              <w:t>;</w:t>
            </w:r>
          </w:p>
          <w:p w:rsidR="007F4594" w:rsidRPr="00F67B4A" w:rsidRDefault="007F4594" w:rsidP="007F4594">
            <w:pPr>
              <w:suppressAutoHyphens/>
              <w:jc w:val="both"/>
              <w:rPr>
                <w:bCs/>
                <w:sz w:val="24"/>
                <w:szCs w:val="24"/>
              </w:rPr>
            </w:pPr>
            <w:r w:rsidRPr="00F67B4A">
              <w:rPr>
                <w:bCs/>
                <w:sz w:val="24"/>
                <w:szCs w:val="24"/>
              </w:rPr>
              <w:t>де КА – коефіцієнт поправки на зміну кількості абонентів, встановлений НКРЕКП (КА = 0,7);</w:t>
            </w:r>
          </w:p>
          <w:p w:rsidR="007F4594" w:rsidRPr="00F67B4A" w:rsidRDefault="007F4594" w:rsidP="007F4594">
            <w:pPr>
              <w:suppressAutoHyphens/>
              <w:jc w:val="both"/>
              <w:rPr>
                <w:bCs/>
                <w:sz w:val="24"/>
                <w:szCs w:val="24"/>
              </w:rPr>
            </w:pPr>
            <w:r w:rsidRPr="00F67B4A">
              <w:rPr>
                <w:bCs/>
                <w:sz w:val="24"/>
                <w:szCs w:val="24"/>
              </w:rPr>
              <w:t>∆</w:t>
            </w:r>
            <w:proofErr w:type="spellStart"/>
            <w:r w:rsidRPr="00F67B4A">
              <w:rPr>
                <w:bCs/>
                <w:sz w:val="24"/>
                <w:szCs w:val="24"/>
              </w:rPr>
              <w:t>ПСt</w:t>
            </w:r>
            <w:proofErr w:type="spellEnd"/>
            <w:r w:rsidRPr="00F67B4A">
              <w:rPr>
                <w:bCs/>
                <w:sz w:val="24"/>
                <w:szCs w:val="24"/>
              </w:rPr>
              <w:t xml:space="preserve"> – зміна фактичної кількості побутових споживачів ліцензіата, у звітному році, які знаходяться на контрольованій території держави, розрахована як різниця між фактичною кількістю побутових споживачів ліцензіата на кінець звітного періоду та кількістю побутових споживачів ліцензіата, врахованої при розрахунку тарифу на звітний рік; </w:t>
            </w:r>
          </w:p>
          <w:p w:rsidR="007F4594" w:rsidRDefault="007F4594" w:rsidP="007F4594">
            <w:pPr>
              <w:ind w:firstLine="308"/>
              <w:jc w:val="both"/>
              <w:rPr>
                <w:bCs/>
                <w:sz w:val="24"/>
                <w:szCs w:val="24"/>
              </w:rPr>
            </w:pPr>
            <w:proofErr w:type="spellStart"/>
            <w:r w:rsidRPr="00F67B4A">
              <w:rPr>
                <w:bCs/>
                <w:sz w:val="24"/>
                <w:szCs w:val="24"/>
              </w:rPr>
              <w:t>ПСтt</w:t>
            </w:r>
            <w:proofErr w:type="spellEnd"/>
            <w:r w:rsidRPr="00F67B4A">
              <w:rPr>
                <w:bCs/>
                <w:sz w:val="24"/>
                <w:szCs w:val="24"/>
              </w:rPr>
              <w:t xml:space="preserve"> – кількість побутових споживачів ліцензіата, які знаходяться на контрольованій території держави, врахованих при розрахунку тарифу на звітний рік;</w:t>
            </w:r>
          </w:p>
          <w:p w:rsidR="007F4594"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r>
              <w:rPr>
                <w:i/>
                <w:sz w:val="22"/>
                <w:szCs w:val="22"/>
                <w:shd w:val="clear" w:color="auto" w:fill="FFFFFF"/>
              </w:rPr>
              <w:t>ОБҐРУНТУВАННЯ</w:t>
            </w:r>
            <w:r w:rsidRPr="009D3827">
              <w:rPr>
                <w:i/>
                <w:sz w:val="22"/>
                <w:szCs w:val="22"/>
                <w:shd w:val="clear" w:color="auto" w:fill="FFFFFF"/>
              </w:rPr>
              <w:t>:</w:t>
            </w:r>
          </w:p>
          <w:p w:rsidR="007F4594" w:rsidRPr="0060018A" w:rsidRDefault="007F4594" w:rsidP="007F4594">
            <w:pPr>
              <w:ind w:firstLine="308"/>
              <w:jc w:val="both"/>
              <w:rPr>
                <w:i/>
                <w:sz w:val="22"/>
                <w:szCs w:val="22"/>
                <w:shd w:val="clear" w:color="auto" w:fill="FFFFFF"/>
              </w:rPr>
            </w:pPr>
            <w:r w:rsidRPr="0060018A">
              <w:rPr>
                <w:bCs/>
                <w:i/>
                <w:sz w:val="24"/>
                <w:szCs w:val="24"/>
              </w:rPr>
              <w:t>Привести одиниці виміру у відповідність до розрахунку тарифу ПУП на 2025 рік згідно Методики</w:t>
            </w:r>
            <w:r w:rsidRPr="0060018A">
              <w:rPr>
                <w:i/>
              </w:rPr>
              <w:t xml:space="preserve"> </w:t>
            </w:r>
            <w:r w:rsidRPr="0060018A">
              <w:rPr>
                <w:bCs/>
                <w:i/>
                <w:sz w:val="24"/>
                <w:szCs w:val="24"/>
              </w:rPr>
              <w:t>розрахунку тарифу на послуги постачальника універсальних послуг № 1176 із застосуванням КФС у в. о. з округленням до чотирьох знаків після коми.</w:t>
            </w:r>
          </w:p>
        </w:tc>
        <w:tc>
          <w:tcPr>
            <w:tcW w:w="5066" w:type="dxa"/>
            <w:shd w:val="clear" w:color="auto" w:fill="auto"/>
            <w:vAlign w:val="center"/>
          </w:tcPr>
          <w:p w:rsidR="007F4594" w:rsidRPr="00041464" w:rsidRDefault="007F4594" w:rsidP="007F4594">
            <w:pPr>
              <w:rPr>
                <w:bCs/>
                <w:sz w:val="24"/>
                <w:szCs w:val="24"/>
              </w:rPr>
            </w:pPr>
          </w:p>
          <w:p w:rsidR="007F4594" w:rsidRPr="00041464" w:rsidRDefault="007F4594" w:rsidP="007F4594">
            <w:pPr>
              <w:rPr>
                <w:bCs/>
                <w:sz w:val="24"/>
                <w:szCs w:val="24"/>
              </w:rPr>
            </w:pPr>
          </w:p>
          <w:p w:rsidR="007F4594" w:rsidRPr="00041464" w:rsidRDefault="007F4594" w:rsidP="007F4594">
            <w:pPr>
              <w:rPr>
                <w:bCs/>
                <w:sz w:val="24"/>
                <w:szCs w:val="24"/>
              </w:rPr>
            </w:pPr>
          </w:p>
          <w:p w:rsidR="007F4594" w:rsidRPr="00041464" w:rsidRDefault="007F4594" w:rsidP="007F4594">
            <w:pPr>
              <w:rPr>
                <w:bCs/>
                <w:sz w:val="24"/>
                <w:szCs w:val="24"/>
              </w:rPr>
            </w:pPr>
          </w:p>
          <w:p w:rsidR="007F4594" w:rsidRPr="00041464" w:rsidRDefault="007F4594" w:rsidP="007F4594">
            <w:pPr>
              <w:rPr>
                <w:bCs/>
                <w:sz w:val="24"/>
                <w:szCs w:val="24"/>
              </w:rPr>
            </w:pPr>
          </w:p>
          <w:p w:rsidR="007F4594" w:rsidRPr="00041464" w:rsidRDefault="007F4594" w:rsidP="007F4594">
            <w:pPr>
              <w:rPr>
                <w:bCs/>
                <w:sz w:val="24"/>
                <w:szCs w:val="24"/>
              </w:rPr>
            </w:pPr>
          </w:p>
          <w:p w:rsidR="007F4594" w:rsidRPr="00D17E09" w:rsidRDefault="007F4594" w:rsidP="007F4594">
            <w:pPr>
              <w:rPr>
                <w:b/>
                <w:bCs/>
                <w:sz w:val="22"/>
                <w:szCs w:val="22"/>
              </w:rPr>
            </w:pPr>
            <w:r w:rsidRPr="00D17E09">
              <w:rPr>
                <w:b/>
                <w:bCs/>
                <w:sz w:val="22"/>
                <w:szCs w:val="22"/>
              </w:rPr>
              <w:t>Враховано з урахуванням наступного.</w:t>
            </w:r>
          </w:p>
          <w:p w:rsidR="007F4594" w:rsidRPr="00D21DE7" w:rsidRDefault="00DE216B" w:rsidP="00F722C3">
            <w:pPr>
              <w:pStyle w:val="rvps2"/>
              <w:shd w:val="clear" w:color="auto" w:fill="FFFFFF"/>
              <w:spacing w:before="0" w:beforeAutospacing="0" w:after="0" w:afterAutospacing="0"/>
              <w:jc w:val="both"/>
              <w:rPr>
                <w:bCs/>
                <w:lang w:val="uk-UA"/>
              </w:rPr>
            </w:pPr>
            <w:r>
              <w:rPr>
                <w:bCs/>
                <w:lang w:val="uk-UA"/>
              </w:rPr>
              <w:t>ПОТРЕБУЄ ОБГОВОРЕННЯ</w:t>
            </w:r>
          </w:p>
        </w:tc>
      </w:tr>
      <w:tr w:rsidR="007F4594" w:rsidRPr="009D3827" w:rsidTr="00887A4C">
        <w:trPr>
          <w:trHeight w:val="595"/>
        </w:trPr>
        <w:tc>
          <w:tcPr>
            <w:tcW w:w="15197" w:type="dxa"/>
            <w:gridSpan w:val="3"/>
            <w:shd w:val="clear" w:color="auto" w:fill="FFD966" w:themeFill="accent4" w:themeFillTint="99"/>
          </w:tcPr>
          <w:p w:rsidR="007F4594" w:rsidRPr="009D3827" w:rsidRDefault="007F4594" w:rsidP="007F4594">
            <w:pPr>
              <w:jc w:val="center"/>
              <w:rPr>
                <w:b/>
                <w:sz w:val="22"/>
                <w:szCs w:val="22"/>
              </w:rPr>
            </w:pPr>
            <w:r w:rsidRPr="009D3827">
              <w:rPr>
                <w:b/>
                <w:sz w:val="22"/>
                <w:szCs w:val="22"/>
              </w:rPr>
              <w:lastRenderedPageBreak/>
              <w:t>Додаток 29</w:t>
            </w:r>
          </w:p>
          <w:p w:rsidR="007F4594" w:rsidRPr="009D3827" w:rsidRDefault="007F4594" w:rsidP="007F4594">
            <w:pPr>
              <w:jc w:val="center"/>
              <w:rPr>
                <w:b/>
                <w:sz w:val="22"/>
                <w:szCs w:val="22"/>
              </w:rPr>
            </w:pPr>
          </w:p>
          <w:p w:rsidR="007F4594" w:rsidRPr="009D3827" w:rsidRDefault="007F4594" w:rsidP="007F4594">
            <w:pPr>
              <w:jc w:val="center"/>
              <w:rPr>
                <w:b/>
                <w:sz w:val="22"/>
                <w:szCs w:val="22"/>
              </w:rPr>
            </w:pPr>
            <w:r w:rsidRPr="009D3827">
              <w:rPr>
                <w:b/>
                <w:sz w:val="22"/>
                <w:szCs w:val="22"/>
              </w:rPr>
              <w:lastRenderedPageBreak/>
              <w:t>Методика визначення сум надлишково отриманого або недоотриманого доходу від здійснення ліцензованої діяльності з розподілу електричної енергії для операторів систем розподілу, які перейшли на стимулююче регулювання</w:t>
            </w:r>
          </w:p>
        </w:tc>
      </w:tr>
      <w:tr w:rsidR="007F4594" w:rsidRPr="009D3827" w:rsidTr="00276080">
        <w:trPr>
          <w:trHeight w:val="595"/>
        </w:trPr>
        <w:tc>
          <w:tcPr>
            <w:tcW w:w="5065" w:type="dxa"/>
            <w:shd w:val="clear" w:color="auto" w:fill="auto"/>
          </w:tcPr>
          <w:p w:rsidR="007F4594" w:rsidRPr="009D3827" w:rsidRDefault="007F4594" w:rsidP="007F4594">
            <w:pPr>
              <w:ind w:firstLine="308"/>
              <w:jc w:val="both"/>
              <w:rPr>
                <w:sz w:val="22"/>
                <w:szCs w:val="22"/>
                <w:shd w:val="clear" w:color="auto" w:fill="FFFFFF"/>
              </w:rPr>
            </w:pPr>
          </w:p>
          <w:p w:rsidR="007F4594" w:rsidRDefault="007F4594" w:rsidP="007F4594">
            <w:pPr>
              <w:ind w:firstLine="308"/>
              <w:jc w:val="both"/>
              <w:rPr>
                <w:sz w:val="22"/>
                <w:szCs w:val="22"/>
                <w:shd w:val="clear" w:color="auto" w:fill="FFFFFF"/>
              </w:rPr>
            </w:pPr>
          </w:p>
          <w:p w:rsidR="007F4594" w:rsidRPr="009D3827" w:rsidRDefault="007F4594" w:rsidP="007F4594">
            <w:pPr>
              <w:ind w:firstLine="308"/>
              <w:jc w:val="both"/>
              <w:rPr>
                <w:sz w:val="22"/>
                <w:szCs w:val="22"/>
                <w:shd w:val="clear" w:color="auto" w:fill="FFFFFF"/>
              </w:rPr>
            </w:pPr>
          </w:p>
          <w:p w:rsidR="007F4594" w:rsidRPr="009D3827" w:rsidRDefault="007F4594" w:rsidP="007F4594">
            <w:pPr>
              <w:ind w:firstLine="308"/>
              <w:jc w:val="both"/>
              <w:rPr>
                <w:sz w:val="22"/>
                <w:szCs w:val="22"/>
                <w:shd w:val="clear" w:color="auto" w:fill="FFFFFF"/>
              </w:rPr>
            </w:pPr>
            <w:r w:rsidRPr="009D3827">
              <w:rPr>
                <w:sz w:val="22"/>
                <w:szCs w:val="22"/>
                <w:shd w:val="clear" w:color="auto" w:fill="FFFFFF"/>
              </w:rPr>
              <w:t>4. З метою визначення об'єктивної суми коштів, отриманої для фінансування ліцензованої діяльності, при проведенні планових або позапланових перевірок в акті перевірки фіксуються такі показники:</w:t>
            </w:r>
          </w:p>
          <w:p w:rsidR="007F4594" w:rsidRPr="009D3827" w:rsidRDefault="007F4594" w:rsidP="007F4594">
            <w:pPr>
              <w:ind w:firstLine="308"/>
              <w:jc w:val="both"/>
              <w:rPr>
                <w:sz w:val="22"/>
                <w:szCs w:val="22"/>
                <w:shd w:val="clear" w:color="auto" w:fill="FFFFFF"/>
              </w:rPr>
            </w:pPr>
          </w:p>
          <w:p w:rsidR="007F4594" w:rsidRPr="009D3827" w:rsidRDefault="007F4594" w:rsidP="007F4594">
            <w:pPr>
              <w:ind w:firstLine="308"/>
              <w:jc w:val="both"/>
              <w:rPr>
                <w:sz w:val="22"/>
                <w:szCs w:val="22"/>
                <w:shd w:val="clear" w:color="auto" w:fill="FFFFFF"/>
              </w:rPr>
            </w:pPr>
            <w:r w:rsidRPr="009D3827">
              <w:rPr>
                <w:sz w:val="22"/>
                <w:szCs w:val="22"/>
                <w:shd w:val="clear" w:color="auto" w:fill="FFFFFF"/>
              </w:rPr>
              <w:t>&lt;…&gt;</w:t>
            </w:r>
          </w:p>
          <w:p w:rsidR="007F4594" w:rsidRPr="009D3827" w:rsidRDefault="007F4594" w:rsidP="007F4594">
            <w:pPr>
              <w:ind w:firstLine="308"/>
              <w:jc w:val="both"/>
              <w:rPr>
                <w:sz w:val="22"/>
                <w:szCs w:val="22"/>
                <w:shd w:val="clear" w:color="auto" w:fill="FFFFFF"/>
              </w:rPr>
            </w:pPr>
          </w:p>
          <w:p w:rsidR="007F4594" w:rsidRPr="009D3827" w:rsidRDefault="007F4594" w:rsidP="007F4594">
            <w:pPr>
              <w:ind w:firstLine="308"/>
              <w:jc w:val="both"/>
              <w:rPr>
                <w:sz w:val="22"/>
                <w:szCs w:val="22"/>
                <w:shd w:val="clear" w:color="auto" w:fill="FFFFFF"/>
              </w:rPr>
            </w:pPr>
            <w:r w:rsidRPr="009D3827">
              <w:rPr>
                <w:sz w:val="22"/>
                <w:szCs w:val="22"/>
                <w:shd w:val="clear" w:color="auto" w:fill="FFFFFF"/>
              </w:rPr>
              <w:t>4) сума уточнених операційних контрольованих витрат (ОКВ) у звітному році.</w:t>
            </w:r>
          </w:p>
          <w:p w:rsidR="007F4594" w:rsidRPr="009D3827" w:rsidRDefault="007F4594" w:rsidP="007F4594">
            <w:pPr>
              <w:ind w:firstLine="308"/>
              <w:jc w:val="both"/>
              <w:rPr>
                <w:sz w:val="22"/>
                <w:szCs w:val="22"/>
                <w:shd w:val="clear" w:color="auto" w:fill="FFFFFF"/>
              </w:rPr>
            </w:pPr>
            <w:r w:rsidRPr="009D3827">
              <w:rPr>
                <w:sz w:val="22"/>
                <w:szCs w:val="22"/>
                <w:shd w:val="clear" w:color="auto" w:fill="FFFFFF"/>
              </w:rPr>
              <w:t xml:space="preserve">За 2022 - 2024 роки для АТ "ДТЕК ДОНЕЦЬКІ ЕЛЕКТРОМЕРЕЖІ", </w:t>
            </w:r>
            <w:r w:rsidRPr="009D3827">
              <w:rPr>
                <w:b/>
                <w:sz w:val="22"/>
                <w:szCs w:val="22"/>
                <w:shd w:val="clear" w:color="auto" w:fill="FFFFFF"/>
              </w:rPr>
              <w:t>АТ </w:t>
            </w:r>
            <w:r w:rsidRPr="009D3827">
              <w:rPr>
                <w:sz w:val="22"/>
                <w:szCs w:val="22"/>
                <w:shd w:val="clear" w:color="auto" w:fill="FFFFFF"/>
              </w:rPr>
              <w:t>"ЗАПОРІЖЖЯОБЛЕНЕРГО", АТ "ХЕРСОНОБЛЕНЕРГО" та ТОВ "ДТЕК ВИСОКОВОЛЬТНІ МЕРЕЖІ" сума уточнених ОКВ не розраховується</w:t>
            </w:r>
            <w:r w:rsidRPr="00D10FC3">
              <w:rPr>
                <w:b/>
                <w:sz w:val="22"/>
                <w:szCs w:val="22"/>
                <w:shd w:val="clear" w:color="auto" w:fill="FFFFFF"/>
              </w:rPr>
              <w:t>;</w:t>
            </w:r>
          </w:p>
          <w:p w:rsidR="007F4594" w:rsidRPr="009D3827" w:rsidRDefault="007F4594" w:rsidP="007F4594">
            <w:pPr>
              <w:ind w:firstLine="308"/>
              <w:jc w:val="both"/>
              <w:rPr>
                <w:b/>
                <w:sz w:val="22"/>
                <w:szCs w:val="22"/>
                <w:shd w:val="clear" w:color="auto" w:fill="FFFFFF"/>
              </w:rPr>
            </w:pPr>
            <w:r w:rsidRPr="009D3827">
              <w:rPr>
                <w:b/>
                <w:sz w:val="22"/>
                <w:szCs w:val="22"/>
                <w:shd w:val="clear" w:color="auto" w:fill="FFFFFF"/>
              </w:rPr>
              <w:t>Для АТ «ДТЕК ДОНЕЦЬКІ ЕЛЕКТРОМЕРЕЖІ», АТ «ЗАПОРІЖЖЯОБЛЕНЕРГО», АТ «ХЕРСОНОБЛЕНЕРГО» та ТОВ «ДТЕК ВИСОКОВОЛЬТНІ МЕРЕЖІ», у зв’язку із окупацією/деокупацією територій їх ліцензованої діяльності, починаючи з 2025 року, уточнені ОКВ у звітному році дорівнюють витратам, урахованим у тарифах із застосуванням уточнюючого коригуючого коефіцієнта від зміни фактичних умовних одиниць обладнання ліцензіата, що знаходиться на контрольованій території держави (</w:t>
            </w:r>
            <w:proofErr w:type="spellStart"/>
            <w:r w:rsidRPr="009D3827">
              <w:rPr>
                <w:b/>
                <w:sz w:val="22"/>
                <w:szCs w:val="22"/>
                <w:shd w:val="clear" w:color="auto" w:fill="FFFFFF"/>
              </w:rPr>
              <w:t>КФУу</w:t>
            </w:r>
            <w:proofErr w:type="spellEnd"/>
            <w:r w:rsidRPr="009D3827">
              <w:rPr>
                <w:b/>
                <w:sz w:val="22"/>
                <w:szCs w:val="22"/>
                <w:shd w:val="clear" w:color="auto" w:fill="FFFFFF"/>
              </w:rPr>
              <w:t>), що розраховується за формулою</w:t>
            </w:r>
          </w:p>
          <w:p w:rsidR="007F4594" w:rsidRPr="009D3827" w:rsidRDefault="007F4594" w:rsidP="007F4594">
            <w:pPr>
              <w:ind w:firstLine="308"/>
              <w:jc w:val="both"/>
              <w:rPr>
                <w:b/>
                <w:sz w:val="22"/>
                <w:szCs w:val="22"/>
                <w:shd w:val="clear" w:color="auto" w:fill="FFFFFF"/>
              </w:rPr>
            </w:pPr>
            <w:proofErr w:type="spellStart"/>
            <w:r w:rsidRPr="009D3827">
              <w:rPr>
                <w:b/>
                <w:sz w:val="22"/>
                <w:szCs w:val="22"/>
                <w:shd w:val="clear" w:color="auto" w:fill="FFFFFF"/>
              </w:rPr>
              <w:t>КФУу</w:t>
            </w:r>
            <w:proofErr w:type="spellEnd"/>
            <w:r w:rsidRPr="009D3827">
              <w:rPr>
                <w:b/>
                <w:sz w:val="22"/>
                <w:szCs w:val="22"/>
                <w:shd w:val="clear" w:color="auto" w:fill="FFFFFF"/>
              </w:rPr>
              <w:t xml:space="preserve"> = (1+КУ*(∆</w:t>
            </w:r>
            <w:proofErr w:type="spellStart"/>
            <w:r w:rsidRPr="009D3827">
              <w:rPr>
                <w:b/>
                <w:sz w:val="22"/>
                <w:szCs w:val="22"/>
                <w:shd w:val="clear" w:color="auto" w:fill="FFFFFF"/>
              </w:rPr>
              <w:t>УО</w:t>
            </w:r>
            <w:r w:rsidRPr="009D3827">
              <w:rPr>
                <w:b/>
                <w:sz w:val="22"/>
                <w:szCs w:val="22"/>
                <w:shd w:val="clear" w:color="auto" w:fill="FFFFFF"/>
                <w:vertAlign w:val="subscript"/>
              </w:rPr>
              <w:t>t</w:t>
            </w:r>
            <w:proofErr w:type="spellEnd"/>
            <w:r w:rsidRPr="009D3827">
              <w:rPr>
                <w:b/>
                <w:sz w:val="22"/>
                <w:szCs w:val="22"/>
                <w:shd w:val="clear" w:color="auto" w:fill="FFFFFF"/>
              </w:rPr>
              <w:t xml:space="preserve"> / </w:t>
            </w:r>
            <w:proofErr w:type="spellStart"/>
            <w:r w:rsidRPr="009D3827">
              <w:rPr>
                <w:b/>
                <w:sz w:val="22"/>
                <w:szCs w:val="22"/>
                <w:shd w:val="clear" w:color="auto" w:fill="FFFFFF"/>
              </w:rPr>
              <w:t>УОт</w:t>
            </w:r>
            <w:r w:rsidRPr="009D3827">
              <w:rPr>
                <w:b/>
                <w:sz w:val="22"/>
                <w:szCs w:val="22"/>
                <w:shd w:val="clear" w:color="auto" w:fill="FFFFFF"/>
                <w:vertAlign w:val="subscript"/>
              </w:rPr>
              <w:t>t</w:t>
            </w:r>
            <w:proofErr w:type="spellEnd"/>
            <w:r w:rsidRPr="009D3827">
              <w:rPr>
                <w:b/>
                <w:sz w:val="22"/>
                <w:szCs w:val="22"/>
                <w:shd w:val="clear" w:color="auto" w:fill="FFFFFF"/>
              </w:rPr>
              <w:t>)), в. о.,</w:t>
            </w:r>
          </w:p>
          <w:p w:rsidR="007F4594" w:rsidRPr="009D3827" w:rsidRDefault="007F4594" w:rsidP="007F4594">
            <w:pPr>
              <w:ind w:firstLine="308"/>
              <w:jc w:val="both"/>
              <w:rPr>
                <w:b/>
                <w:sz w:val="22"/>
                <w:szCs w:val="22"/>
                <w:shd w:val="clear" w:color="auto" w:fill="FFFFFF"/>
              </w:rPr>
            </w:pPr>
          </w:p>
          <w:p w:rsidR="007F4594" w:rsidRPr="009D3827" w:rsidRDefault="007F4594" w:rsidP="007F4594">
            <w:pPr>
              <w:ind w:firstLine="308"/>
              <w:jc w:val="both"/>
              <w:rPr>
                <w:b/>
                <w:sz w:val="22"/>
                <w:szCs w:val="22"/>
                <w:shd w:val="clear" w:color="auto" w:fill="FFFFFF"/>
              </w:rPr>
            </w:pPr>
            <w:r w:rsidRPr="009D3827">
              <w:rPr>
                <w:b/>
                <w:sz w:val="22"/>
                <w:szCs w:val="22"/>
                <w:shd w:val="clear" w:color="auto" w:fill="FFFFFF"/>
              </w:rPr>
              <w:lastRenderedPageBreak/>
              <w:t>де КУ – коефіцієнт поправки на зміну кількості умовних одиниць обладнання, встановлений НКРЕКП (КУ = 0,7);</w:t>
            </w:r>
          </w:p>
          <w:p w:rsidR="007F4594" w:rsidRPr="009D3827" w:rsidRDefault="007F4594" w:rsidP="007F4594">
            <w:pPr>
              <w:ind w:firstLine="308"/>
              <w:jc w:val="both"/>
              <w:rPr>
                <w:b/>
                <w:sz w:val="22"/>
                <w:szCs w:val="22"/>
                <w:shd w:val="clear" w:color="auto" w:fill="FFFFFF"/>
              </w:rPr>
            </w:pPr>
            <w:r w:rsidRPr="009D3827">
              <w:rPr>
                <w:b/>
                <w:sz w:val="22"/>
                <w:szCs w:val="22"/>
                <w:shd w:val="clear" w:color="auto" w:fill="FFFFFF"/>
              </w:rPr>
              <w:t>∆</w:t>
            </w:r>
            <w:proofErr w:type="spellStart"/>
            <w:r w:rsidRPr="009D3827">
              <w:rPr>
                <w:b/>
                <w:sz w:val="22"/>
                <w:szCs w:val="22"/>
                <w:shd w:val="clear" w:color="auto" w:fill="FFFFFF"/>
              </w:rPr>
              <w:t>УО</w:t>
            </w:r>
            <w:r w:rsidRPr="009D3827">
              <w:rPr>
                <w:b/>
                <w:sz w:val="22"/>
                <w:szCs w:val="22"/>
                <w:shd w:val="clear" w:color="auto" w:fill="FFFFFF"/>
                <w:vertAlign w:val="subscript"/>
              </w:rPr>
              <w:t>t</w:t>
            </w:r>
            <w:proofErr w:type="spellEnd"/>
            <w:r w:rsidRPr="009D3827">
              <w:rPr>
                <w:b/>
                <w:sz w:val="22"/>
                <w:szCs w:val="22"/>
                <w:shd w:val="clear" w:color="auto" w:fill="FFFFFF"/>
              </w:rPr>
              <w:t xml:space="preserve"> – зміна фактичної кількості умовних одиниць обладнання у звітному році, що знаходиться на контрольованій території держави, розрахована як різниця між фактичною кількістю умовних одиниць обладнання на кінець звітного періоду (за даними форми звітності № 2-НКРЕКП-розподіл електричної енергії (за IV квартал) та кількістю умовних одиниць обладнання ліцензіата, врахованої при розрахунку тарифів на звітний рік, визначених відповідно до глави 8 Порядку № 1175;</w:t>
            </w:r>
          </w:p>
          <w:p w:rsidR="007F4594" w:rsidRPr="009D3827" w:rsidRDefault="007F4594" w:rsidP="007F4594">
            <w:pPr>
              <w:ind w:firstLine="308"/>
              <w:jc w:val="both"/>
              <w:rPr>
                <w:sz w:val="22"/>
                <w:szCs w:val="22"/>
                <w:shd w:val="clear" w:color="auto" w:fill="FFFFFF"/>
              </w:rPr>
            </w:pPr>
            <w:proofErr w:type="spellStart"/>
            <w:r w:rsidRPr="009D3827">
              <w:rPr>
                <w:b/>
                <w:sz w:val="22"/>
                <w:szCs w:val="22"/>
                <w:shd w:val="clear" w:color="auto" w:fill="FFFFFF"/>
              </w:rPr>
              <w:t>УОт</w:t>
            </w:r>
            <w:r w:rsidRPr="009D3827">
              <w:rPr>
                <w:b/>
                <w:sz w:val="22"/>
                <w:szCs w:val="22"/>
                <w:shd w:val="clear" w:color="auto" w:fill="FFFFFF"/>
                <w:vertAlign w:val="subscript"/>
              </w:rPr>
              <w:t>t</w:t>
            </w:r>
            <w:proofErr w:type="spellEnd"/>
            <w:r w:rsidRPr="009D3827">
              <w:rPr>
                <w:b/>
                <w:sz w:val="22"/>
                <w:szCs w:val="22"/>
                <w:shd w:val="clear" w:color="auto" w:fill="FFFFFF"/>
              </w:rPr>
              <w:t xml:space="preserve"> – кількість умовних одиниць обладнання у розрізі класів напруги, врахованих при розрахунку тарифів на звітний рік;</w:t>
            </w:r>
          </w:p>
          <w:p w:rsidR="007F4594" w:rsidRPr="009D3827" w:rsidRDefault="007F4594" w:rsidP="007F4594">
            <w:pPr>
              <w:ind w:firstLine="308"/>
              <w:jc w:val="both"/>
              <w:rPr>
                <w:sz w:val="22"/>
                <w:szCs w:val="22"/>
                <w:shd w:val="clear" w:color="auto" w:fill="FFFFFF"/>
              </w:rPr>
            </w:pPr>
          </w:p>
          <w:p w:rsidR="007F4594" w:rsidRPr="009D3827" w:rsidRDefault="007F4594" w:rsidP="007F4594">
            <w:pPr>
              <w:ind w:firstLine="308"/>
              <w:jc w:val="both"/>
              <w:rPr>
                <w:sz w:val="22"/>
                <w:szCs w:val="22"/>
                <w:shd w:val="clear" w:color="auto" w:fill="FFFFFF"/>
              </w:rPr>
            </w:pPr>
          </w:p>
        </w:tc>
        <w:tc>
          <w:tcPr>
            <w:tcW w:w="5066" w:type="dxa"/>
            <w:shd w:val="clear" w:color="auto" w:fill="auto"/>
          </w:tcPr>
          <w:p w:rsidR="007F4594" w:rsidRPr="009D3827" w:rsidRDefault="007F4594" w:rsidP="007F4594">
            <w:pPr>
              <w:ind w:firstLine="308"/>
              <w:jc w:val="both"/>
              <w:rPr>
                <w:i/>
                <w:sz w:val="22"/>
                <w:szCs w:val="22"/>
                <w:shd w:val="clear" w:color="auto" w:fill="FFFFFF"/>
              </w:rPr>
            </w:pPr>
            <w:r w:rsidRPr="009D3827">
              <w:rPr>
                <w:i/>
                <w:sz w:val="22"/>
                <w:szCs w:val="22"/>
                <w:shd w:val="clear" w:color="auto" w:fill="FFFFFF"/>
              </w:rPr>
              <w:lastRenderedPageBreak/>
              <w:t>АТ «ДТЕК ДНІПРОВСЬКІ ЕЛЕКТРОМЕРЕЖІ»</w:t>
            </w:r>
          </w:p>
          <w:p w:rsidR="007F4594" w:rsidRDefault="007F4594" w:rsidP="007F4594">
            <w:pPr>
              <w:ind w:firstLine="308"/>
              <w:jc w:val="both"/>
              <w:rPr>
                <w:i/>
                <w:sz w:val="22"/>
                <w:szCs w:val="22"/>
                <w:shd w:val="clear" w:color="auto" w:fill="FFFFFF"/>
              </w:rPr>
            </w:pPr>
            <w:r w:rsidRPr="009D3827">
              <w:rPr>
                <w:i/>
                <w:sz w:val="22"/>
                <w:szCs w:val="22"/>
                <w:shd w:val="clear" w:color="auto" w:fill="FFFFFF"/>
              </w:rPr>
              <w:t>АТ «ДТЕК ОДЕСЬКІ ЕЛЕКТРОМЕРЕЖІ»</w:t>
            </w:r>
          </w:p>
          <w:p w:rsidR="007F4594" w:rsidRPr="005102FC" w:rsidRDefault="007F4594" w:rsidP="007F4594">
            <w:pPr>
              <w:ind w:firstLine="308"/>
              <w:jc w:val="both"/>
              <w:rPr>
                <w:i/>
                <w:sz w:val="22"/>
                <w:szCs w:val="22"/>
                <w:shd w:val="clear" w:color="auto" w:fill="FFFFFF"/>
              </w:rPr>
            </w:pPr>
            <w:r w:rsidRPr="005102FC">
              <w:rPr>
                <w:i/>
                <w:sz w:val="22"/>
                <w:szCs w:val="22"/>
                <w:shd w:val="clear" w:color="auto" w:fill="FFFFFF"/>
              </w:rPr>
              <w:t>ГС «РЕУ»</w:t>
            </w:r>
          </w:p>
          <w:p w:rsidR="007F4594" w:rsidRPr="009D3827" w:rsidRDefault="007F4594" w:rsidP="007F4594">
            <w:pPr>
              <w:ind w:firstLine="308"/>
              <w:jc w:val="both"/>
              <w:rPr>
                <w:sz w:val="22"/>
                <w:szCs w:val="22"/>
                <w:shd w:val="clear" w:color="auto" w:fill="FFFFFF"/>
              </w:rPr>
            </w:pPr>
            <w:r w:rsidRPr="009D3827">
              <w:rPr>
                <w:sz w:val="22"/>
                <w:szCs w:val="22"/>
                <w:shd w:val="clear" w:color="auto" w:fill="FFFFFF"/>
              </w:rPr>
              <w:t>4. З метою визначення об'єктивної суми коштів, отриманої для фінансування ліцензованої діяльності, при проведенні планових або позапланових перевірок в акті перевірки фіксуються такі показники:</w:t>
            </w:r>
          </w:p>
          <w:p w:rsidR="007F4594" w:rsidRPr="009D3827" w:rsidRDefault="007F4594" w:rsidP="007F4594">
            <w:pPr>
              <w:ind w:firstLine="308"/>
              <w:jc w:val="both"/>
              <w:rPr>
                <w:sz w:val="22"/>
                <w:szCs w:val="22"/>
                <w:shd w:val="clear" w:color="auto" w:fill="FFFFFF"/>
              </w:rPr>
            </w:pPr>
          </w:p>
          <w:p w:rsidR="007F4594" w:rsidRPr="009D3827" w:rsidRDefault="007F4594" w:rsidP="007F4594">
            <w:pPr>
              <w:ind w:firstLine="308"/>
              <w:jc w:val="both"/>
              <w:rPr>
                <w:sz w:val="22"/>
                <w:szCs w:val="22"/>
                <w:shd w:val="clear" w:color="auto" w:fill="FFFFFF"/>
              </w:rPr>
            </w:pPr>
            <w:r w:rsidRPr="009D3827">
              <w:rPr>
                <w:sz w:val="22"/>
                <w:szCs w:val="22"/>
                <w:shd w:val="clear" w:color="auto" w:fill="FFFFFF"/>
              </w:rPr>
              <w:t>&lt;…&gt;</w:t>
            </w:r>
          </w:p>
          <w:p w:rsidR="007F4594" w:rsidRPr="009D3827" w:rsidRDefault="007F4594" w:rsidP="007F4594">
            <w:pPr>
              <w:ind w:firstLine="308"/>
              <w:jc w:val="both"/>
              <w:rPr>
                <w:sz w:val="22"/>
                <w:szCs w:val="22"/>
                <w:shd w:val="clear" w:color="auto" w:fill="FFFFFF"/>
              </w:rPr>
            </w:pPr>
          </w:p>
          <w:p w:rsidR="007F4594" w:rsidRPr="009D3827" w:rsidRDefault="007F4594" w:rsidP="007F4594">
            <w:pPr>
              <w:ind w:firstLine="308"/>
              <w:jc w:val="both"/>
              <w:rPr>
                <w:sz w:val="22"/>
                <w:szCs w:val="22"/>
                <w:shd w:val="clear" w:color="auto" w:fill="FFFFFF"/>
              </w:rPr>
            </w:pPr>
            <w:r w:rsidRPr="009D3827">
              <w:rPr>
                <w:sz w:val="22"/>
                <w:szCs w:val="22"/>
                <w:shd w:val="clear" w:color="auto" w:fill="FFFFFF"/>
              </w:rPr>
              <w:t>4) сума уточнених операційних контрольованих витрат (ОКВ) у звітному році.</w:t>
            </w:r>
          </w:p>
          <w:p w:rsidR="007F4594" w:rsidRPr="009D3827" w:rsidRDefault="007F4594" w:rsidP="007F4594">
            <w:pPr>
              <w:ind w:firstLine="308"/>
              <w:jc w:val="both"/>
              <w:rPr>
                <w:sz w:val="22"/>
                <w:szCs w:val="22"/>
                <w:shd w:val="clear" w:color="auto" w:fill="FFFFFF"/>
              </w:rPr>
            </w:pPr>
            <w:r w:rsidRPr="009D3827">
              <w:rPr>
                <w:sz w:val="22"/>
                <w:szCs w:val="22"/>
                <w:shd w:val="clear" w:color="auto" w:fill="FFFFFF"/>
              </w:rPr>
              <w:t xml:space="preserve">За 2022 - 2024 роки для АТ "ДТЕК ДОНЕЦЬКІ ЕЛЕКТРОМЕРЕЖІ", </w:t>
            </w:r>
            <w:r w:rsidRPr="009D3827">
              <w:rPr>
                <w:b/>
                <w:sz w:val="22"/>
                <w:szCs w:val="22"/>
                <w:shd w:val="clear" w:color="auto" w:fill="FFFFFF"/>
              </w:rPr>
              <w:t>АТ </w:t>
            </w:r>
            <w:r w:rsidRPr="009D3827">
              <w:rPr>
                <w:sz w:val="22"/>
                <w:szCs w:val="22"/>
                <w:shd w:val="clear" w:color="auto" w:fill="FFFFFF"/>
              </w:rPr>
              <w:t>"ЗАПОРІЖЖЯОБЛЕНЕРГО", АТ "ХЕРСОНОБЛЕНЕРГО" та ТОВ "ДТЕК ВИСОКОВОЛЬТНІ МЕРЕЖІ" сума уточнених ОКВ не розраховується;</w:t>
            </w:r>
          </w:p>
          <w:p w:rsidR="007F4594" w:rsidRPr="009D3827" w:rsidRDefault="007F4594" w:rsidP="007F4594">
            <w:pPr>
              <w:ind w:firstLine="308"/>
              <w:jc w:val="both"/>
              <w:rPr>
                <w:b/>
                <w:sz w:val="22"/>
                <w:szCs w:val="22"/>
                <w:shd w:val="clear" w:color="auto" w:fill="FFFFFF"/>
              </w:rPr>
            </w:pPr>
            <w:r w:rsidRPr="009D3827">
              <w:rPr>
                <w:b/>
                <w:sz w:val="22"/>
                <w:szCs w:val="22"/>
                <w:shd w:val="clear" w:color="auto" w:fill="FFFFFF"/>
              </w:rPr>
              <w:t>Для АТ «ДТЕК ДОНЕЦЬКІ ЕЛЕКТРОМЕРЕЖІ», АТ «ЗАПОРІЖЖЯОБЛЕНЕРГО», АТ «ХЕРСОНОБЛЕНЕРГО» та ТОВ «ДТЕК ВИСОКОВОЛЬТНІ МЕРЕЖІ», у зв’язку із окупацією/деокупацією територій їх ліцензованої діяльності, починаючи з 2025 року, уточнені ОКВ у звітному році дорівнюють витратам, урахованим у тарифах із застосуванням уточнюючого коригуючого коефіцієнта від зміни фактичних умовних одиниць обладнання ліцензіата, що знаходиться на контрольованій території держави (</w:t>
            </w:r>
            <w:proofErr w:type="spellStart"/>
            <w:r w:rsidRPr="009D3827">
              <w:rPr>
                <w:b/>
                <w:sz w:val="22"/>
                <w:szCs w:val="22"/>
                <w:shd w:val="clear" w:color="auto" w:fill="FFFFFF"/>
              </w:rPr>
              <w:t>КФУу</w:t>
            </w:r>
            <w:proofErr w:type="spellEnd"/>
            <w:r w:rsidRPr="009D3827">
              <w:rPr>
                <w:b/>
                <w:sz w:val="22"/>
                <w:szCs w:val="22"/>
                <w:shd w:val="clear" w:color="auto" w:fill="FFFFFF"/>
              </w:rPr>
              <w:t>), що розраховується за формулою</w:t>
            </w:r>
          </w:p>
          <w:p w:rsidR="007F4594" w:rsidRPr="0060018A" w:rsidRDefault="007F4594" w:rsidP="007F4594">
            <w:pPr>
              <w:ind w:firstLine="308"/>
              <w:jc w:val="both"/>
              <w:rPr>
                <w:b/>
                <w:sz w:val="22"/>
                <w:szCs w:val="22"/>
                <w:u w:val="single"/>
                <w:shd w:val="clear" w:color="auto" w:fill="FFFFFF"/>
              </w:rPr>
            </w:pPr>
            <w:proofErr w:type="spellStart"/>
            <w:r w:rsidRPr="009D3827">
              <w:rPr>
                <w:b/>
                <w:sz w:val="22"/>
                <w:szCs w:val="22"/>
                <w:shd w:val="clear" w:color="auto" w:fill="FFFFFF"/>
              </w:rPr>
              <w:t>КФУу</w:t>
            </w:r>
            <w:proofErr w:type="spellEnd"/>
            <w:r w:rsidRPr="009D3827">
              <w:rPr>
                <w:b/>
                <w:sz w:val="22"/>
                <w:szCs w:val="22"/>
                <w:shd w:val="clear" w:color="auto" w:fill="FFFFFF"/>
              </w:rPr>
              <w:t xml:space="preserve"> = (1+КУ*(∆</w:t>
            </w:r>
            <w:proofErr w:type="spellStart"/>
            <w:r w:rsidRPr="009D3827">
              <w:rPr>
                <w:b/>
                <w:sz w:val="22"/>
                <w:szCs w:val="22"/>
                <w:shd w:val="clear" w:color="auto" w:fill="FFFFFF"/>
              </w:rPr>
              <w:t>УО</w:t>
            </w:r>
            <w:r w:rsidRPr="009D3827">
              <w:rPr>
                <w:b/>
                <w:sz w:val="22"/>
                <w:szCs w:val="22"/>
                <w:shd w:val="clear" w:color="auto" w:fill="FFFFFF"/>
                <w:vertAlign w:val="subscript"/>
              </w:rPr>
              <w:t>t</w:t>
            </w:r>
            <w:proofErr w:type="spellEnd"/>
            <w:r w:rsidRPr="009D3827">
              <w:rPr>
                <w:b/>
                <w:sz w:val="22"/>
                <w:szCs w:val="22"/>
                <w:shd w:val="clear" w:color="auto" w:fill="FFFFFF"/>
              </w:rPr>
              <w:t xml:space="preserve"> / </w:t>
            </w:r>
            <w:proofErr w:type="spellStart"/>
            <w:r w:rsidRPr="009D3827">
              <w:rPr>
                <w:b/>
                <w:sz w:val="22"/>
                <w:szCs w:val="22"/>
                <w:shd w:val="clear" w:color="auto" w:fill="FFFFFF"/>
              </w:rPr>
              <w:t>УОт</w:t>
            </w:r>
            <w:r w:rsidRPr="009D3827">
              <w:rPr>
                <w:b/>
                <w:sz w:val="22"/>
                <w:szCs w:val="22"/>
                <w:shd w:val="clear" w:color="auto" w:fill="FFFFFF"/>
                <w:vertAlign w:val="subscript"/>
              </w:rPr>
              <w:t>t</w:t>
            </w:r>
            <w:proofErr w:type="spellEnd"/>
            <w:r w:rsidRPr="009D3827">
              <w:rPr>
                <w:b/>
                <w:sz w:val="22"/>
                <w:szCs w:val="22"/>
                <w:shd w:val="clear" w:color="auto" w:fill="FFFFFF"/>
              </w:rPr>
              <w:t xml:space="preserve">)), в. о. </w:t>
            </w:r>
            <w:r w:rsidRPr="0060018A">
              <w:rPr>
                <w:b/>
                <w:sz w:val="22"/>
                <w:szCs w:val="22"/>
                <w:u w:val="single"/>
                <w:shd w:val="clear" w:color="auto" w:fill="FFFFFF"/>
              </w:rPr>
              <w:t>з округленням до 4 знаків після коми,</w:t>
            </w:r>
          </w:p>
          <w:p w:rsidR="007F4594" w:rsidRPr="009D3827" w:rsidRDefault="007F4594" w:rsidP="007F4594">
            <w:pPr>
              <w:ind w:firstLine="308"/>
              <w:jc w:val="both"/>
              <w:rPr>
                <w:b/>
                <w:sz w:val="22"/>
                <w:szCs w:val="22"/>
                <w:shd w:val="clear" w:color="auto" w:fill="FFFFFF"/>
              </w:rPr>
            </w:pPr>
            <w:r w:rsidRPr="009D3827">
              <w:rPr>
                <w:b/>
                <w:sz w:val="22"/>
                <w:szCs w:val="22"/>
                <w:shd w:val="clear" w:color="auto" w:fill="FFFFFF"/>
              </w:rPr>
              <w:lastRenderedPageBreak/>
              <w:t>де КУ – коефіцієнт поправки на зміну кількості умовних одиниць обладнання, встановлений НКРЕКП (КУ = 0,7);</w:t>
            </w:r>
          </w:p>
          <w:p w:rsidR="007F4594" w:rsidRPr="009D3827" w:rsidRDefault="007F4594" w:rsidP="007F4594">
            <w:pPr>
              <w:ind w:firstLine="308"/>
              <w:jc w:val="both"/>
              <w:rPr>
                <w:b/>
                <w:sz w:val="22"/>
                <w:szCs w:val="22"/>
                <w:shd w:val="clear" w:color="auto" w:fill="FFFFFF"/>
              </w:rPr>
            </w:pPr>
            <w:r w:rsidRPr="009D3827">
              <w:rPr>
                <w:b/>
                <w:sz w:val="22"/>
                <w:szCs w:val="22"/>
                <w:shd w:val="clear" w:color="auto" w:fill="FFFFFF"/>
              </w:rPr>
              <w:t>∆</w:t>
            </w:r>
            <w:proofErr w:type="spellStart"/>
            <w:r w:rsidRPr="009D3827">
              <w:rPr>
                <w:b/>
                <w:sz w:val="22"/>
                <w:szCs w:val="22"/>
                <w:shd w:val="clear" w:color="auto" w:fill="FFFFFF"/>
              </w:rPr>
              <w:t>УО</w:t>
            </w:r>
            <w:r w:rsidRPr="009D3827">
              <w:rPr>
                <w:b/>
                <w:sz w:val="22"/>
                <w:szCs w:val="22"/>
                <w:shd w:val="clear" w:color="auto" w:fill="FFFFFF"/>
                <w:vertAlign w:val="subscript"/>
              </w:rPr>
              <w:t>t</w:t>
            </w:r>
            <w:proofErr w:type="spellEnd"/>
            <w:r w:rsidRPr="009D3827">
              <w:rPr>
                <w:b/>
                <w:sz w:val="22"/>
                <w:szCs w:val="22"/>
                <w:shd w:val="clear" w:color="auto" w:fill="FFFFFF"/>
              </w:rPr>
              <w:t xml:space="preserve"> – зміна фактичної кількості умовних одиниць обладнання у звітному році, що знаходиться на контрольованій території держави, розрахована як різниця між фактичною кількістю умовних одиниць обладнання на кінець звітного періоду (за даними форми звітності № 2-НКРЕКП-розподіл електричної енергії (за IV квартал) та кількістю умовних одиниць обладнання ліцензіата, врахованої при розрахунку тарифів на звітний рік, визначених відповідно до глави 8 Порядку № 1175;</w:t>
            </w:r>
          </w:p>
          <w:p w:rsidR="007F4594" w:rsidRPr="009D3827" w:rsidRDefault="007F4594" w:rsidP="007F4594">
            <w:pPr>
              <w:ind w:firstLine="308"/>
              <w:jc w:val="both"/>
              <w:rPr>
                <w:b/>
                <w:sz w:val="22"/>
                <w:szCs w:val="22"/>
                <w:shd w:val="clear" w:color="auto" w:fill="FFFFFF"/>
              </w:rPr>
            </w:pPr>
            <w:proofErr w:type="spellStart"/>
            <w:r w:rsidRPr="009D3827">
              <w:rPr>
                <w:b/>
                <w:sz w:val="22"/>
                <w:szCs w:val="22"/>
                <w:shd w:val="clear" w:color="auto" w:fill="FFFFFF"/>
              </w:rPr>
              <w:t>УОт</w:t>
            </w:r>
            <w:r w:rsidRPr="009D3827">
              <w:rPr>
                <w:b/>
                <w:sz w:val="22"/>
                <w:szCs w:val="22"/>
                <w:shd w:val="clear" w:color="auto" w:fill="FFFFFF"/>
                <w:vertAlign w:val="subscript"/>
              </w:rPr>
              <w:t>t</w:t>
            </w:r>
            <w:proofErr w:type="spellEnd"/>
            <w:r w:rsidRPr="009D3827">
              <w:rPr>
                <w:b/>
                <w:sz w:val="22"/>
                <w:szCs w:val="22"/>
                <w:shd w:val="clear" w:color="auto" w:fill="FFFFFF"/>
              </w:rPr>
              <w:t xml:space="preserve"> – кількість умовних одиниць обладнання</w:t>
            </w:r>
            <w:r w:rsidRPr="009D3827">
              <w:rPr>
                <w:b/>
                <w:color w:val="FF0000"/>
                <w:sz w:val="22"/>
                <w:szCs w:val="22"/>
                <w:shd w:val="clear" w:color="auto" w:fill="FFFFFF"/>
              </w:rPr>
              <w:t xml:space="preserve"> </w:t>
            </w:r>
            <w:r w:rsidRPr="0060018A">
              <w:rPr>
                <w:b/>
                <w:strike/>
                <w:sz w:val="22"/>
                <w:szCs w:val="22"/>
                <w:shd w:val="clear" w:color="auto" w:fill="FFFFFF"/>
              </w:rPr>
              <w:t>у розрізі класів напруги,</w:t>
            </w:r>
            <w:r w:rsidRPr="0060018A">
              <w:rPr>
                <w:b/>
                <w:sz w:val="22"/>
                <w:szCs w:val="22"/>
                <w:shd w:val="clear" w:color="auto" w:fill="FFFFFF"/>
              </w:rPr>
              <w:t xml:space="preserve"> </w:t>
            </w:r>
            <w:r w:rsidRPr="009D3827">
              <w:rPr>
                <w:b/>
                <w:sz w:val="22"/>
                <w:szCs w:val="22"/>
                <w:shd w:val="clear" w:color="auto" w:fill="FFFFFF"/>
              </w:rPr>
              <w:t>врахованих при розрахунку тарифів на звітний рік;</w:t>
            </w: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r>
              <w:rPr>
                <w:i/>
                <w:sz w:val="22"/>
                <w:szCs w:val="22"/>
                <w:shd w:val="clear" w:color="auto" w:fill="FFFFFF"/>
              </w:rPr>
              <w:t>ОБҐРУНТУВАННЯ</w:t>
            </w:r>
            <w:r w:rsidRPr="009D3827">
              <w:rPr>
                <w:i/>
                <w:sz w:val="22"/>
                <w:szCs w:val="22"/>
                <w:shd w:val="clear" w:color="auto" w:fill="FFFFFF"/>
              </w:rPr>
              <w:t>:</w:t>
            </w:r>
          </w:p>
          <w:p w:rsidR="007F4594" w:rsidRPr="0060018A" w:rsidRDefault="007F4594" w:rsidP="007F4594">
            <w:pPr>
              <w:ind w:firstLine="308"/>
              <w:jc w:val="both"/>
              <w:rPr>
                <w:i/>
                <w:sz w:val="22"/>
                <w:szCs w:val="22"/>
                <w:shd w:val="clear" w:color="auto" w:fill="FFFFFF"/>
              </w:rPr>
            </w:pPr>
            <w:r w:rsidRPr="0060018A">
              <w:rPr>
                <w:i/>
                <w:sz w:val="22"/>
                <w:szCs w:val="22"/>
                <w:shd w:val="clear" w:color="auto" w:fill="FFFFFF"/>
              </w:rPr>
              <w:t>Пропонуємо уточнення</w:t>
            </w:r>
          </w:p>
          <w:p w:rsidR="007F4594" w:rsidRPr="009D3827" w:rsidRDefault="007F4594" w:rsidP="007F4594">
            <w:pPr>
              <w:ind w:firstLine="308"/>
              <w:jc w:val="both"/>
              <w:rPr>
                <w:i/>
                <w:sz w:val="22"/>
                <w:szCs w:val="22"/>
                <w:shd w:val="clear" w:color="auto" w:fill="FFFFFF"/>
              </w:rPr>
            </w:pPr>
            <w:r w:rsidRPr="0060018A">
              <w:rPr>
                <w:i/>
                <w:sz w:val="22"/>
                <w:szCs w:val="22"/>
                <w:shd w:val="clear" w:color="auto" w:fill="FFFFFF"/>
              </w:rPr>
              <w:t xml:space="preserve">Для розрахунку </w:t>
            </w:r>
            <w:proofErr w:type="spellStart"/>
            <w:r w:rsidRPr="0060018A">
              <w:rPr>
                <w:i/>
                <w:sz w:val="22"/>
                <w:szCs w:val="22"/>
                <w:shd w:val="clear" w:color="auto" w:fill="FFFFFF"/>
              </w:rPr>
              <w:t>КФУу</w:t>
            </w:r>
            <w:proofErr w:type="spellEnd"/>
            <w:r w:rsidRPr="0060018A">
              <w:rPr>
                <w:i/>
                <w:sz w:val="22"/>
                <w:szCs w:val="22"/>
                <w:shd w:val="clear" w:color="auto" w:fill="FFFFFF"/>
              </w:rPr>
              <w:t xml:space="preserve"> використовується загальна сума </w:t>
            </w:r>
            <w:proofErr w:type="spellStart"/>
            <w:r w:rsidRPr="0060018A">
              <w:rPr>
                <w:i/>
                <w:sz w:val="22"/>
                <w:szCs w:val="22"/>
                <w:shd w:val="clear" w:color="auto" w:fill="FFFFFF"/>
              </w:rPr>
              <w:t>уо</w:t>
            </w:r>
            <w:proofErr w:type="spellEnd"/>
            <w:r w:rsidRPr="0060018A">
              <w:rPr>
                <w:i/>
                <w:sz w:val="22"/>
                <w:szCs w:val="22"/>
                <w:shd w:val="clear" w:color="auto" w:fill="FFFFFF"/>
              </w:rPr>
              <w:t xml:space="preserve"> обладнання, ділення </w:t>
            </w:r>
            <w:proofErr w:type="spellStart"/>
            <w:r w:rsidRPr="0060018A">
              <w:rPr>
                <w:i/>
                <w:sz w:val="22"/>
                <w:szCs w:val="22"/>
                <w:shd w:val="clear" w:color="auto" w:fill="FFFFFF"/>
              </w:rPr>
              <w:t>уо</w:t>
            </w:r>
            <w:proofErr w:type="spellEnd"/>
            <w:r w:rsidRPr="0060018A">
              <w:rPr>
                <w:i/>
                <w:sz w:val="22"/>
                <w:szCs w:val="22"/>
                <w:shd w:val="clear" w:color="auto" w:fill="FFFFFF"/>
              </w:rPr>
              <w:t xml:space="preserve"> на класи напруги при розрахунку недоцільне.</w:t>
            </w:r>
          </w:p>
        </w:tc>
        <w:tc>
          <w:tcPr>
            <w:tcW w:w="5066" w:type="dxa"/>
            <w:shd w:val="clear" w:color="auto" w:fill="auto"/>
            <w:vAlign w:val="center"/>
          </w:tcPr>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Pr="00D17E09" w:rsidRDefault="007F4594" w:rsidP="007F4594">
            <w:pPr>
              <w:rPr>
                <w:b/>
                <w:sz w:val="22"/>
                <w:szCs w:val="22"/>
              </w:rPr>
            </w:pPr>
            <w:r w:rsidRPr="00D17E09">
              <w:rPr>
                <w:b/>
                <w:sz w:val="22"/>
                <w:szCs w:val="22"/>
              </w:rPr>
              <w:t>Не враховано</w:t>
            </w:r>
          </w:p>
          <w:p w:rsidR="007F4594" w:rsidRPr="00D17E09" w:rsidRDefault="007F4594" w:rsidP="007F4594">
            <w:pPr>
              <w:jc w:val="both"/>
              <w:rPr>
                <w:b/>
                <w:sz w:val="22"/>
                <w:szCs w:val="22"/>
                <w:lang w:val="ru-RU"/>
              </w:rPr>
            </w:pPr>
            <w:r w:rsidRPr="00DE216B">
              <w:rPr>
                <w:bCs/>
                <w:sz w:val="22"/>
                <w:szCs w:val="22"/>
              </w:rPr>
              <w:t>Но</w:t>
            </w:r>
            <w:r w:rsidR="00D21DE7" w:rsidRPr="00DE216B">
              <w:rPr>
                <w:bCs/>
                <w:sz w:val="22"/>
                <w:szCs w:val="22"/>
              </w:rPr>
              <w:t>р</w:t>
            </w:r>
            <w:r w:rsidRPr="00DE216B">
              <w:rPr>
                <w:bCs/>
                <w:sz w:val="22"/>
                <w:szCs w:val="22"/>
              </w:rPr>
              <w:t xml:space="preserve">ма </w:t>
            </w:r>
            <w:r w:rsidRPr="00D17E09">
              <w:rPr>
                <w:bCs/>
                <w:sz w:val="22"/>
                <w:szCs w:val="22"/>
              </w:rPr>
              <w:t>щодо відображення в акті перевірки показників у відносних одиницях, наведена у</w:t>
            </w:r>
            <w:r w:rsidRPr="00D17E09">
              <w:rPr>
                <w:b/>
                <w:bCs/>
                <w:sz w:val="22"/>
                <w:szCs w:val="22"/>
              </w:rPr>
              <w:t xml:space="preserve"> </w:t>
            </w:r>
            <w:r w:rsidRPr="00D17E09">
              <w:rPr>
                <w:bCs/>
                <w:sz w:val="22"/>
                <w:szCs w:val="22"/>
              </w:rPr>
              <w:t>пункті 2 Додатку 25 до Порядку контролю № 428</w:t>
            </w:r>
          </w:p>
          <w:p w:rsidR="007F4594" w:rsidRDefault="007F4594" w:rsidP="007F4594">
            <w:pPr>
              <w:rPr>
                <w:b/>
                <w:sz w:val="22"/>
                <w:szCs w:val="22"/>
                <w:lang w:val="ru-RU"/>
              </w:rPr>
            </w:pPr>
          </w:p>
          <w:p w:rsidR="007F4594" w:rsidRDefault="007F4594" w:rsidP="007F4594">
            <w:pPr>
              <w:rPr>
                <w:b/>
                <w:sz w:val="22"/>
                <w:szCs w:val="22"/>
                <w:lang w:val="ru-RU"/>
              </w:rPr>
            </w:pPr>
          </w:p>
          <w:p w:rsidR="007F4594" w:rsidRDefault="007F4594" w:rsidP="007F4594">
            <w:pPr>
              <w:rPr>
                <w:b/>
                <w:sz w:val="22"/>
                <w:szCs w:val="22"/>
                <w:lang w:val="ru-RU"/>
              </w:rPr>
            </w:pPr>
          </w:p>
          <w:p w:rsidR="007F4594" w:rsidRDefault="007F4594" w:rsidP="007F4594">
            <w:pPr>
              <w:rPr>
                <w:b/>
                <w:sz w:val="22"/>
                <w:szCs w:val="22"/>
                <w:lang w:val="ru-RU"/>
              </w:rPr>
            </w:pPr>
          </w:p>
          <w:p w:rsidR="007F4594" w:rsidRDefault="007F4594" w:rsidP="007F4594">
            <w:pPr>
              <w:rPr>
                <w:b/>
                <w:sz w:val="22"/>
                <w:szCs w:val="22"/>
                <w:lang w:val="ru-RU"/>
              </w:rPr>
            </w:pPr>
          </w:p>
          <w:p w:rsidR="007F4594" w:rsidRDefault="007F4594" w:rsidP="007F4594">
            <w:pPr>
              <w:rPr>
                <w:b/>
                <w:sz w:val="22"/>
                <w:szCs w:val="22"/>
                <w:lang w:val="ru-RU"/>
              </w:rPr>
            </w:pPr>
          </w:p>
          <w:p w:rsidR="007F4594" w:rsidRDefault="007F4594" w:rsidP="007F4594">
            <w:pPr>
              <w:rPr>
                <w:b/>
                <w:sz w:val="22"/>
                <w:szCs w:val="22"/>
                <w:lang w:val="ru-RU"/>
              </w:rPr>
            </w:pPr>
          </w:p>
          <w:p w:rsidR="007F4594" w:rsidRDefault="007F4594" w:rsidP="007F4594">
            <w:pPr>
              <w:rPr>
                <w:b/>
                <w:sz w:val="22"/>
                <w:szCs w:val="22"/>
                <w:lang w:val="ru-RU"/>
              </w:rPr>
            </w:pPr>
          </w:p>
          <w:p w:rsidR="007F4594" w:rsidRDefault="007F4594" w:rsidP="007F4594">
            <w:pPr>
              <w:rPr>
                <w:b/>
                <w:sz w:val="22"/>
                <w:szCs w:val="22"/>
                <w:lang w:val="ru-RU"/>
              </w:rPr>
            </w:pPr>
          </w:p>
          <w:p w:rsidR="007F4594" w:rsidRDefault="007F4594" w:rsidP="007F4594">
            <w:pPr>
              <w:rPr>
                <w:b/>
                <w:sz w:val="22"/>
                <w:szCs w:val="22"/>
                <w:lang w:val="ru-RU"/>
              </w:rPr>
            </w:pPr>
          </w:p>
          <w:p w:rsidR="007F4594" w:rsidRDefault="007F4594" w:rsidP="007F4594">
            <w:pPr>
              <w:rPr>
                <w:b/>
                <w:sz w:val="22"/>
                <w:szCs w:val="22"/>
                <w:lang w:val="ru-RU"/>
              </w:rPr>
            </w:pPr>
          </w:p>
          <w:p w:rsidR="007F4594" w:rsidRDefault="007F4594" w:rsidP="007F4594">
            <w:pPr>
              <w:rPr>
                <w:b/>
                <w:sz w:val="22"/>
                <w:szCs w:val="22"/>
                <w:lang w:val="ru-RU"/>
              </w:rPr>
            </w:pPr>
          </w:p>
          <w:p w:rsidR="007F4594" w:rsidRDefault="007F4594" w:rsidP="007F4594">
            <w:pPr>
              <w:rPr>
                <w:b/>
                <w:sz w:val="22"/>
                <w:szCs w:val="22"/>
                <w:lang w:val="ru-RU"/>
              </w:rPr>
            </w:pPr>
          </w:p>
          <w:p w:rsidR="007F4594" w:rsidRDefault="007F4594" w:rsidP="007F4594">
            <w:pPr>
              <w:rPr>
                <w:b/>
                <w:sz w:val="22"/>
                <w:szCs w:val="22"/>
                <w:lang w:val="ru-RU"/>
              </w:rPr>
            </w:pPr>
          </w:p>
          <w:p w:rsidR="007F4594" w:rsidRPr="00335801" w:rsidRDefault="007F4594" w:rsidP="007F4594">
            <w:pPr>
              <w:rPr>
                <w:b/>
                <w:sz w:val="22"/>
                <w:szCs w:val="22"/>
              </w:rPr>
            </w:pPr>
            <w:r w:rsidRPr="00335801">
              <w:rPr>
                <w:b/>
                <w:sz w:val="22"/>
                <w:szCs w:val="22"/>
              </w:rPr>
              <w:t>Враховано</w:t>
            </w:r>
          </w:p>
          <w:p w:rsidR="007F4594" w:rsidRPr="002200D1" w:rsidRDefault="007F4594" w:rsidP="007F4594">
            <w:pPr>
              <w:rPr>
                <w:b/>
                <w:sz w:val="22"/>
                <w:szCs w:val="22"/>
                <w:lang w:val="ru-RU"/>
              </w:rPr>
            </w:pPr>
          </w:p>
        </w:tc>
      </w:tr>
      <w:tr w:rsidR="007F4594" w:rsidRPr="009D3827" w:rsidTr="00276080">
        <w:trPr>
          <w:trHeight w:val="595"/>
        </w:trPr>
        <w:tc>
          <w:tcPr>
            <w:tcW w:w="5065" w:type="dxa"/>
            <w:shd w:val="clear" w:color="auto" w:fill="auto"/>
          </w:tcPr>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sz w:val="22"/>
                <w:szCs w:val="22"/>
                <w:shd w:val="clear" w:color="auto" w:fill="FFFFFF"/>
              </w:rPr>
            </w:pPr>
            <w:r w:rsidRPr="009D3827">
              <w:rPr>
                <w:sz w:val="22"/>
                <w:szCs w:val="22"/>
                <w:shd w:val="clear" w:color="auto" w:fill="FFFFFF"/>
              </w:rPr>
              <w:t>4. З метою визначення об'єктивної суми коштів, отриманої для фінансування ліцензованої діяльності, при проведенні планових або позапланових перевірок в акті перевірки фіксуються такі показники:</w:t>
            </w:r>
          </w:p>
          <w:p w:rsidR="007F4594" w:rsidRPr="009D3827" w:rsidRDefault="007F4594" w:rsidP="007F4594">
            <w:pPr>
              <w:ind w:firstLine="308"/>
              <w:jc w:val="both"/>
              <w:rPr>
                <w:sz w:val="22"/>
                <w:szCs w:val="22"/>
                <w:shd w:val="clear" w:color="auto" w:fill="FFFFFF"/>
              </w:rPr>
            </w:pPr>
          </w:p>
          <w:p w:rsidR="007F4594" w:rsidRPr="009D3827" w:rsidRDefault="007F4594" w:rsidP="007F4594">
            <w:pPr>
              <w:ind w:firstLine="308"/>
              <w:jc w:val="both"/>
              <w:rPr>
                <w:sz w:val="22"/>
                <w:szCs w:val="22"/>
                <w:shd w:val="clear" w:color="auto" w:fill="FFFFFF"/>
              </w:rPr>
            </w:pPr>
            <w:r w:rsidRPr="009D3827">
              <w:rPr>
                <w:sz w:val="22"/>
                <w:szCs w:val="22"/>
                <w:shd w:val="clear" w:color="auto" w:fill="FFFFFF"/>
              </w:rPr>
              <w:t>&lt;…&gt;</w:t>
            </w:r>
          </w:p>
          <w:p w:rsidR="007F4594" w:rsidRPr="009D3827" w:rsidRDefault="007F4594" w:rsidP="007F4594">
            <w:pPr>
              <w:ind w:firstLine="308"/>
              <w:jc w:val="both"/>
              <w:rPr>
                <w:sz w:val="22"/>
                <w:szCs w:val="22"/>
                <w:shd w:val="clear" w:color="auto" w:fill="FFFFFF"/>
              </w:rPr>
            </w:pPr>
            <w:r w:rsidRPr="009D3827">
              <w:rPr>
                <w:sz w:val="22"/>
                <w:szCs w:val="22"/>
                <w:shd w:val="clear" w:color="auto" w:fill="FFFFFF"/>
              </w:rPr>
              <w:t xml:space="preserve">12) сума невиконання інвестиційної програми за звітний рік, яка визначається як сума коштів, передбачена схваленою інвестиційною програмою по заходах, які згідно з Порядком розроблення та подання на затвердження планів розвитку систем </w:t>
            </w:r>
            <w:r w:rsidRPr="009D3827">
              <w:rPr>
                <w:sz w:val="22"/>
                <w:szCs w:val="22"/>
                <w:shd w:val="clear" w:color="auto" w:fill="FFFFFF"/>
              </w:rPr>
              <w:lastRenderedPageBreak/>
              <w:t xml:space="preserve">розподілу та інвестиційних програм операторів систем розподілу, затвердженим постановою НКРЕКП від 04 вересня 2018 року N 955 </w:t>
            </w:r>
            <w:r w:rsidRPr="009D3827">
              <w:rPr>
                <w:b/>
                <w:sz w:val="22"/>
                <w:szCs w:val="22"/>
                <w:shd w:val="clear" w:color="auto" w:fill="FFFFFF"/>
              </w:rPr>
              <w:t>(далі – Порядок № 955)</w:t>
            </w:r>
            <w:r w:rsidRPr="009D3827">
              <w:rPr>
                <w:sz w:val="22"/>
                <w:szCs w:val="22"/>
                <w:shd w:val="clear" w:color="auto" w:fill="FFFFFF"/>
              </w:rPr>
              <w:t>, вважаються не виконаними (у тис. грн та % від загальної суми схваленої інвестиційної програми), з урахуванням постанови НКРЕКП від 26 квітня 2022 року N 406 "Про врегулювання деяких питань щодо виконання інвестиційних програм ліцензіатів з передачі та розподілу електричної енергії на 2022 рік у період дії в Україні воєнного стану та визнання такою, що втратила чинність, постанови НКРЕКП від 03 березня 2022 року N 338" (далі - постанова N 406), із зазначенням джерел фінансування, щодо яких відбулося невиконання інвестиційної програми;</w:t>
            </w:r>
          </w:p>
        </w:tc>
        <w:tc>
          <w:tcPr>
            <w:tcW w:w="5066" w:type="dxa"/>
            <w:shd w:val="clear" w:color="auto" w:fill="auto"/>
          </w:tcPr>
          <w:p w:rsidR="007F4594" w:rsidRPr="009D3827" w:rsidRDefault="007F4594" w:rsidP="007F4594">
            <w:pPr>
              <w:ind w:firstLine="308"/>
              <w:jc w:val="both"/>
              <w:rPr>
                <w:i/>
                <w:sz w:val="22"/>
                <w:szCs w:val="22"/>
                <w:shd w:val="clear" w:color="auto" w:fill="FFFFFF"/>
              </w:rPr>
            </w:pPr>
            <w:r w:rsidRPr="009D3827">
              <w:rPr>
                <w:i/>
                <w:sz w:val="22"/>
                <w:szCs w:val="22"/>
                <w:shd w:val="clear" w:color="auto" w:fill="FFFFFF"/>
              </w:rPr>
              <w:lastRenderedPageBreak/>
              <w:t>АТ «ДТЕК ДНІПРОВСЬКІ ЕЛЕКТРОМЕРЕЖІ»</w:t>
            </w:r>
          </w:p>
          <w:p w:rsidR="007F4594" w:rsidRDefault="007F4594" w:rsidP="007F4594">
            <w:pPr>
              <w:ind w:firstLine="308"/>
              <w:jc w:val="both"/>
              <w:rPr>
                <w:i/>
                <w:sz w:val="22"/>
                <w:szCs w:val="22"/>
                <w:shd w:val="clear" w:color="auto" w:fill="FFFFFF"/>
              </w:rPr>
            </w:pPr>
            <w:r w:rsidRPr="009D3827">
              <w:rPr>
                <w:i/>
                <w:sz w:val="22"/>
                <w:szCs w:val="22"/>
                <w:shd w:val="clear" w:color="auto" w:fill="FFFFFF"/>
              </w:rPr>
              <w:t>АТ «ДТЕК ОДЕСЬКІ ЕЛЕКТРОМЕРЕЖІ»</w:t>
            </w:r>
          </w:p>
          <w:p w:rsidR="007F4594" w:rsidRPr="005102FC" w:rsidRDefault="007F4594" w:rsidP="007F4594">
            <w:pPr>
              <w:ind w:firstLine="308"/>
              <w:jc w:val="both"/>
              <w:rPr>
                <w:i/>
                <w:sz w:val="22"/>
                <w:szCs w:val="22"/>
                <w:shd w:val="clear" w:color="auto" w:fill="FFFFFF"/>
              </w:rPr>
            </w:pPr>
            <w:r w:rsidRPr="005102FC">
              <w:rPr>
                <w:i/>
                <w:sz w:val="22"/>
                <w:szCs w:val="22"/>
                <w:shd w:val="clear" w:color="auto" w:fill="FFFFFF"/>
              </w:rPr>
              <w:t>ГС «РЕУ»</w:t>
            </w:r>
          </w:p>
          <w:p w:rsidR="007F4594" w:rsidRPr="009D3827" w:rsidRDefault="007F4594" w:rsidP="007F4594">
            <w:pPr>
              <w:ind w:firstLine="308"/>
              <w:jc w:val="both"/>
              <w:rPr>
                <w:sz w:val="22"/>
                <w:szCs w:val="22"/>
                <w:shd w:val="clear" w:color="auto" w:fill="FFFFFF"/>
              </w:rPr>
            </w:pPr>
            <w:r w:rsidRPr="009D3827">
              <w:rPr>
                <w:sz w:val="22"/>
                <w:szCs w:val="22"/>
                <w:shd w:val="clear" w:color="auto" w:fill="FFFFFF"/>
              </w:rPr>
              <w:t>4. З метою визначення об'єктивної суми коштів, отриманої для фінансування ліцензованої діяльності, при проведенні планових або позапланових перевірок в акті перевірки фіксуються такі показники:</w:t>
            </w:r>
          </w:p>
          <w:p w:rsidR="007F4594" w:rsidRPr="009D3827" w:rsidRDefault="007F4594" w:rsidP="007F4594">
            <w:pPr>
              <w:ind w:firstLine="308"/>
              <w:jc w:val="both"/>
              <w:rPr>
                <w:sz w:val="22"/>
                <w:szCs w:val="22"/>
                <w:shd w:val="clear" w:color="auto" w:fill="FFFFFF"/>
              </w:rPr>
            </w:pPr>
          </w:p>
          <w:p w:rsidR="007F4594" w:rsidRPr="009D3827" w:rsidRDefault="007F4594" w:rsidP="007F4594">
            <w:pPr>
              <w:ind w:firstLine="308"/>
              <w:jc w:val="both"/>
              <w:rPr>
                <w:sz w:val="22"/>
                <w:szCs w:val="22"/>
                <w:shd w:val="clear" w:color="auto" w:fill="FFFFFF"/>
              </w:rPr>
            </w:pPr>
            <w:r w:rsidRPr="009D3827">
              <w:rPr>
                <w:sz w:val="22"/>
                <w:szCs w:val="22"/>
                <w:shd w:val="clear" w:color="auto" w:fill="FFFFFF"/>
              </w:rPr>
              <w:t>…&gt;</w:t>
            </w:r>
          </w:p>
          <w:p w:rsidR="007F4594" w:rsidRPr="009D3827" w:rsidRDefault="007F4594" w:rsidP="007F4594">
            <w:pPr>
              <w:ind w:firstLine="308"/>
              <w:jc w:val="both"/>
              <w:rPr>
                <w:sz w:val="22"/>
                <w:szCs w:val="22"/>
                <w:shd w:val="clear" w:color="auto" w:fill="FFFFFF"/>
              </w:rPr>
            </w:pPr>
          </w:p>
          <w:p w:rsidR="007F4594" w:rsidRPr="0060018A" w:rsidRDefault="007F4594" w:rsidP="007F4594">
            <w:pPr>
              <w:jc w:val="both"/>
              <w:rPr>
                <w:b/>
                <w:bCs/>
                <w:i/>
                <w:iCs/>
                <w:sz w:val="22"/>
                <w:szCs w:val="22"/>
                <w:u w:val="single"/>
              </w:rPr>
            </w:pPr>
            <w:r w:rsidRPr="0060018A">
              <w:rPr>
                <w:b/>
                <w:bCs/>
                <w:i/>
                <w:iCs/>
                <w:sz w:val="22"/>
                <w:szCs w:val="22"/>
                <w:u w:val="single"/>
              </w:rPr>
              <w:t>Пропонується додати в постанову № 406 або цю постанову:</w:t>
            </w:r>
          </w:p>
          <w:p w:rsidR="007F4594" w:rsidRPr="009D3827" w:rsidRDefault="007F4594" w:rsidP="007F4594">
            <w:pPr>
              <w:jc w:val="both"/>
              <w:rPr>
                <w:b/>
                <w:bCs/>
                <w:sz w:val="22"/>
                <w:szCs w:val="22"/>
              </w:rPr>
            </w:pPr>
            <w:r w:rsidRPr="009D3827">
              <w:rPr>
                <w:b/>
                <w:bCs/>
                <w:sz w:val="22"/>
                <w:szCs w:val="22"/>
              </w:rPr>
              <w:t xml:space="preserve">Якщо внаслідок бойових дій були зруйновані або зазнали критичних пошкоджень об'єкти, </w:t>
            </w:r>
            <w:r w:rsidRPr="009D3827">
              <w:rPr>
                <w:b/>
                <w:bCs/>
                <w:sz w:val="22"/>
                <w:szCs w:val="22"/>
              </w:rPr>
              <w:lastRenderedPageBreak/>
              <w:t xml:space="preserve">будівництво/реконструкція/модернізація яких передбачалася відповідним заходом затвердженої інвестиційної програми, та при цьому додаткове фінансування на ліквідацію наслідків бойових дій з метою виконання такого заходу протягом поточного року не було можливим з урахуванням термінів та технічної можливості його реалізації, то такий захід вважається виконаним в обсягах актів виконаних робіт та вартості отриманого обладнання. </w:t>
            </w:r>
          </w:p>
          <w:p w:rsidR="007F4594" w:rsidRPr="009D3827" w:rsidRDefault="007F4594" w:rsidP="007F4594">
            <w:pPr>
              <w:ind w:firstLine="308"/>
              <w:jc w:val="both"/>
              <w:rPr>
                <w:b/>
                <w:bCs/>
                <w:sz w:val="22"/>
                <w:szCs w:val="22"/>
              </w:rPr>
            </w:pPr>
            <w:r w:rsidRPr="009D3827">
              <w:rPr>
                <w:b/>
                <w:bCs/>
                <w:sz w:val="22"/>
                <w:szCs w:val="22"/>
              </w:rPr>
              <w:t>Різниця між затвердженою сумою заходу відповідної інвестиційної програми та виконанням, що визначається у випадах завдання критичних пошкоджень/руйнувань на підставі підтверджуючих документів (акти виконаних робіт, платіжні документи тощо), підлягає врахуванню в якості джерела фінансування інвестиційної програми на рік, що є наступним за звітним.</w:t>
            </w:r>
          </w:p>
          <w:p w:rsidR="007F4594" w:rsidRPr="009D3827" w:rsidRDefault="007F4594" w:rsidP="007F4594">
            <w:pPr>
              <w:ind w:firstLine="308"/>
              <w:jc w:val="both"/>
              <w:rPr>
                <w:i/>
                <w:sz w:val="22"/>
                <w:szCs w:val="22"/>
                <w:shd w:val="clear" w:color="auto" w:fill="FFFFFF"/>
              </w:rPr>
            </w:pPr>
          </w:p>
          <w:p w:rsidR="007F4594" w:rsidRPr="0060018A" w:rsidRDefault="007F4594" w:rsidP="007F4594">
            <w:pPr>
              <w:ind w:firstLine="308"/>
              <w:jc w:val="both"/>
              <w:rPr>
                <w:i/>
                <w:sz w:val="22"/>
                <w:szCs w:val="22"/>
                <w:shd w:val="clear" w:color="auto" w:fill="FFFFFF"/>
              </w:rPr>
            </w:pPr>
            <w:r w:rsidRPr="0060018A">
              <w:rPr>
                <w:i/>
                <w:sz w:val="22"/>
                <w:szCs w:val="22"/>
                <w:shd w:val="clear" w:color="auto" w:fill="FFFFFF"/>
              </w:rPr>
              <w:t>ОБҐРУНТУВАННЯ:</w:t>
            </w:r>
          </w:p>
          <w:p w:rsidR="007F4594" w:rsidRPr="0060018A" w:rsidRDefault="007F4594" w:rsidP="007F4594">
            <w:pPr>
              <w:jc w:val="both"/>
              <w:rPr>
                <w:i/>
                <w:sz w:val="22"/>
                <w:szCs w:val="22"/>
              </w:rPr>
            </w:pPr>
            <w:r w:rsidRPr="0060018A">
              <w:rPr>
                <w:i/>
                <w:sz w:val="22"/>
                <w:szCs w:val="22"/>
              </w:rPr>
              <w:t>Діяльність ОСР в 2025 році супроводжується цілеспрямованими ракетно-</w:t>
            </w:r>
            <w:proofErr w:type="spellStart"/>
            <w:r w:rsidRPr="0060018A">
              <w:rPr>
                <w:i/>
                <w:sz w:val="22"/>
                <w:szCs w:val="22"/>
              </w:rPr>
              <w:t>дроновими</w:t>
            </w:r>
            <w:proofErr w:type="spellEnd"/>
            <w:r w:rsidRPr="0060018A">
              <w:rPr>
                <w:i/>
                <w:sz w:val="22"/>
                <w:szCs w:val="22"/>
              </w:rPr>
              <w:t xml:space="preserve"> ударами по активам ОСР, порушеннями схем нормального режиму роботи внаслідок руйнувань та пошкоджень. </w:t>
            </w:r>
          </w:p>
          <w:p w:rsidR="007F4594" w:rsidRPr="009D3827" w:rsidRDefault="007F4594" w:rsidP="007F4594">
            <w:pPr>
              <w:ind w:firstLine="308"/>
              <w:jc w:val="both"/>
              <w:rPr>
                <w:i/>
                <w:sz w:val="22"/>
                <w:szCs w:val="22"/>
                <w:shd w:val="clear" w:color="auto" w:fill="FFFFFF"/>
              </w:rPr>
            </w:pPr>
            <w:r w:rsidRPr="0060018A">
              <w:rPr>
                <w:i/>
                <w:sz w:val="22"/>
                <w:szCs w:val="22"/>
              </w:rPr>
              <w:t>Мають місце повітряні удари по об’єктам ОСР, що виконуються в рамках затверджених інвестиційних програм 2025 року і при цьому, відсутня технічна можливість вчасного відновлення та виконання відповідних заходів ІП через суттєві пошкодження, особливо у випадках завдання таких ударів в 3-4 кварталах 2025 року. У разі руйнувань та критичних пошкоджень об’єктів ІП 2025, за належних обґрунтувань, пропонуємо виконання по таким заходам визначати відповідно до актів виконаних робіт та вартості отриманого обладнання (на склад).</w:t>
            </w:r>
          </w:p>
        </w:tc>
        <w:tc>
          <w:tcPr>
            <w:tcW w:w="5066" w:type="dxa"/>
            <w:shd w:val="clear" w:color="auto" w:fill="auto"/>
            <w:vAlign w:val="center"/>
          </w:tcPr>
          <w:p w:rsidR="007F4594" w:rsidRPr="0060018A" w:rsidRDefault="007F4594" w:rsidP="007F4594">
            <w:pPr>
              <w:jc w:val="both"/>
              <w:rPr>
                <w:b/>
                <w:sz w:val="22"/>
                <w:szCs w:val="22"/>
              </w:rPr>
            </w:pPr>
            <w:r w:rsidRPr="0060018A">
              <w:rPr>
                <w:b/>
                <w:sz w:val="22"/>
                <w:szCs w:val="22"/>
              </w:rPr>
              <w:lastRenderedPageBreak/>
              <w:t>Пропоз</w:t>
            </w:r>
            <w:r w:rsidRPr="003C2824">
              <w:rPr>
                <w:b/>
                <w:sz w:val="22"/>
                <w:szCs w:val="22"/>
              </w:rPr>
              <w:t>ицію</w:t>
            </w:r>
            <w:r w:rsidRPr="0060018A">
              <w:rPr>
                <w:b/>
                <w:sz w:val="22"/>
                <w:szCs w:val="22"/>
              </w:rPr>
              <w:t xml:space="preserve"> врахован</w:t>
            </w:r>
            <w:r w:rsidRPr="008A546C">
              <w:rPr>
                <w:b/>
                <w:sz w:val="22"/>
                <w:szCs w:val="22"/>
              </w:rPr>
              <w:t>о в</w:t>
            </w:r>
            <w:r w:rsidRPr="0060018A">
              <w:rPr>
                <w:b/>
                <w:sz w:val="22"/>
                <w:szCs w:val="22"/>
              </w:rPr>
              <w:t xml:space="preserve"> розробленому проєкті рішення НКРЕКП «Про внесення зміни до постанови НКРЕКП від 26 квітня 2022 року</w:t>
            </w:r>
            <w:r w:rsidRPr="0060018A">
              <w:rPr>
                <w:b/>
                <w:sz w:val="22"/>
                <w:szCs w:val="22"/>
              </w:rPr>
              <w:br/>
              <w:t>№ 406».</w:t>
            </w:r>
          </w:p>
          <w:p w:rsidR="007F4594" w:rsidRPr="009D3827" w:rsidRDefault="007F4594" w:rsidP="00DE216B">
            <w:pPr>
              <w:rPr>
                <w:b/>
                <w:sz w:val="22"/>
                <w:szCs w:val="22"/>
              </w:rPr>
            </w:pPr>
          </w:p>
        </w:tc>
      </w:tr>
      <w:tr w:rsidR="007F4594" w:rsidRPr="009D3827" w:rsidTr="00BF5C81">
        <w:trPr>
          <w:trHeight w:val="595"/>
        </w:trPr>
        <w:tc>
          <w:tcPr>
            <w:tcW w:w="5065" w:type="dxa"/>
            <w:shd w:val="clear" w:color="auto" w:fill="auto"/>
          </w:tcPr>
          <w:p w:rsidR="007F4594" w:rsidRPr="009D3827" w:rsidRDefault="007F4594" w:rsidP="007F4594">
            <w:pPr>
              <w:ind w:firstLine="308"/>
              <w:jc w:val="both"/>
              <w:rPr>
                <w:sz w:val="22"/>
                <w:szCs w:val="22"/>
                <w:shd w:val="clear" w:color="auto" w:fill="FFFFFF"/>
              </w:rPr>
            </w:pPr>
            <w:r w:rsidRPr="009D3827">
              <w:rPr>
                <w:sz w:val="22"/>
                <w:szCs w:val="22"/>
                <w:shd w:val="clear" w:color="auto" w:fill="FFFFFF"/>
              </w:rPr>
              <w:lastRenderedPageBreak/>
              <w:t>4. З метою визначення об'єктивної суми коштів, отриманої для фінансування ліцензованої діяльності, при проведенні планових або позапланових перевірок в акті перевірки фіксуються такі показники:</w:t>
            </w:r>
          </w:p>
          <w:p w:rsidR="007F4594" w:rsidRPr="009D3827" w:rsidRDefault="007F4594" w:rsidP="007F4594">
            <w:pPr>
              <w:ind w:firstLine="308"/>
              <w:jc w:val="both"/>
              <w:rPr>
                <w:sz w:val="22"/>
                <w:szCs w:val="22"/>
                <w:shd w:val="clear" w:color="auto" w:fill="FFFFFF"/>
              </w:rPr>
            </w:pPr>
          </w:p>
          <w:p w:rsidR="007F4594" w:rsidRPr="009D3827" w:rsidRDefault="007F4594" w:rsidP="007F4594">
            <w:pPr>
              <w:ind w:firstLine="308"/>
              <w:jc w:val="both"/>
              <w:rPr>
                <w:sz w:val="22"/>
                <w:szCs w:val="22"/>
                <w:shd w:val="clear" w:color="auto" w:fill="FFFFFF"/>
              </w:rPr>
            </w:pPr>
            <w:r w:rsidRPr="009D3827">
              <w:rPr>
                <w:sz w:val="22"/>
                <w:szCs w:val="22"/>
                <w:shd w:val="clear" w:color="auto" w:fill="FFFFFF"/>
              </w:rPr>
              <w:t>&lt;…&gt;</w:t>
            </w:r>
          </w:p>
          <w:p w:rsidR="007F4594" w:rsidRPr="009D3827" w:rsidRDefault="007F4594" w:rsidP="007F4594">
            <w:pPr>
              <w:ind w:firstLine="308"/>
              <w:jc w:val="both"/>
              <w:rPr>
                <w:sz w:val="22"/>
                <w:szCs w:val="22"/>
                <w:shd w:val="clear" w:color="auto" w:fill="FFFFFF"/>
              </w:rPr>
            </w:pPr>
            <w:r w:rsidRPr="009D3827">
              <w:rPr>
                <w:sz w:val="22"/>
                <w:szCs w:val="22"/>
                <w:shd w:val="clear" w:color="auto" w:fill="FFFFFF"/>
              </w:rPr>
              <w:t>18) величина дефіциту або профіциту коштів у частині надходжень та витрат, пов'язаних з наданням послуг з приєднання електроустановок замовників до електричних мереж, що надані у звітному періоді (за календарний рік), яка визначається відповідно до методики (порядку) формування плати за приєднання до системи передачі та системи розподілу та підтверджується звітністю та первинними документами.</w:t>
            </w:r>
          </w:p>
          <w:p w:rsidR="007F4594" w:rsidRPr="009D3827" w:rsidRDefault="007F4594" w:rsidP="007F4594">
            <w:pPr>
              <w:ind w:firstLine="308"/>
              <w:jc w:val="both"/>
              <w:rPr>
                <w:b/>
                <w:sz w:val="22"/>
                <w:szCs w:val="22"/>
                <w:shd w:val="clear" w:color="auto" w:fill="FFFFFF"/>
              </w:rPr>
            </w:pPr>
            <w:r w:rsidRPr="009D3827">
              <w:rPr>
                <w:b/>
                <w:sz w:val="22"/>
                <w:szCs w:val="22"/>
                <w:shd w:val="clear" w:color="auto" w:fill="FFFFFF"/>
              </w:rPr>
              <w:t>При розрахунку величини дефіциту або профіциту коштів фактичні капітальні витрати, понесені під час надання послуг за приєднання, за якими зафіксовано дефіцит коштів, приймаються рівними нулю, якщо ОСР порушено строки надання цих послуг, визначені нормативно-правовими актами та/або договором;</w:t>
            </w:r>
          </w:p>
        </w:tc>
        <w:tc>
          <w:tcPr>
            <w:tcW w:w="5066" w:type="dxa"/>
            <w:shd w:val="clear" w:color="auto" w:fill="auto"/>
          </w:tcPr>
          <w:p w:rsidR="007F4594" w:rsidRPr="007C7AED" w:rsidRDefault="007F4594" w:rsidP="007F4594">
            <w:pPr>
              <w:ind w:firstLine="308"/>
              <w:jc w:val="both"/>
              <w:rPr>
                <w:i/>
                <w:sz w:val="22"/>
                <w:szCs w:val="22"/>
                <w:shd w:val="clear" w:color="auto" w:fill="FFFFFF"/>
              </w:rPr>
            </w:pPr>
            <w:r w:rsidRPr="007C7AED">
              <w:rPr>
                <w:i/>
                <w:sz w:val="22"/>
                <w:szCs w:val="22"/>
                <w:shd w:val="clear" w:color="auto" w:fill="FFFFFF"/>
              </w:rPr>
              <w:t>АТ «ВІННИЦЯОБЛЕНЕРГО»</w:t>
            </w:r>
          </w:p>
          <w:p w:rsidR="007F4594" w:rsidRPr="007C7AED" w:rsidRDefault="007F4594" w:rsidP="007F4594">
            <w:pPr>
              <w:ind w:firstLine="308"/>
              <w:jc w:val="both"/>
              <w:rPr>
                <w:i/>
                <w:sz w:val="22"/>
                <w:szCs w:val="22"/>
                <w:shd w:val="clear" w:color="auto" w:fill="FFFFFF"/>
              </w:rPr>
            </w:pPr>
          </w:p>
          <w:p w:rsidR="007F4594" w:rsidRPr="007C7AED" w:rsidRDefault="007F4594" w:rsidP="007F4594">
            <w:pPr>
              <w:ind w:firstLine="308"/>
              <w:jc w:val="both"/>
              <w:rPr>
                <w:i/>
                <w:sz w:val="22"/>
                <w:szCs w:val="22"/>
                <w:shd w:val="clear" w:color="auto" w:fill="FFFFFF"/>
              </w:rPr>
            </w:pPr>
          </w:p>
          <w:p w:rsidR="007F4594" w:rsidRPr="007C7AED" w:rsidRDefault="007F4594" w:rsidP="007F4594">
            <w:pPr>
              <w:ind w:firstLine="308"/>
              <w:jc w:val="both"/>
              <w:rPr>
                <w:i/>
                <w:sz w:val="22"/>
                <w:szCs w:val="22"/>
                <w:shd w:val="clear" w:color="auto" w:fill="FFFFFF"/>
              </w:rPr>
            </w:pPr>
          </w:p>
          <w:p w:rsidR="007F4594" w:rsidRPr="0014691A" w:rsidRDefault="007F4594" w:rsidP="007F4594">
            <w:pPr>
              <w:ind w:firstLine="308"/>
              <w:jc w:val="both"/>
              <w:rPr>
                <w:i/>
                <w:sz w:val="22"/>
                <w:szCs w:val="22"/>
                <w:shd w:val="clear" w:color="auto" w:fill="FFFFFF"/>
              </w:rPr>
            </w:pPr>
          </w:p>
          <w:p w:rsidR="007F4594" w:rsidRPr="007C7AED" w:rsidRDefault="007F4594" w:rsidP="007F4594">
            <w:pPr>
              <w:ind w:firstLine="308"/>
              <w:jc w:val="both"/>
              <w:rPr>
                <w:i/>
                <w:sz w:val="22"/>
                <w:szCs w:val="22"/>
                <w:shd w:val="clear" w:color="auto" w:fill="FFFFFF"/>
              </w:rPr>
            </w:pPr>
          </w:p>
          <w:p w:rsidR="007F4594" w:rsidRDefault="007F4594" w:rsidP="007F4594">
            <w:pPr>
              <w:ind w:firstLine="308"/>
              <w:jc w:val="both"/>
              <w:rPr>
                <w:color w:val="000000" w:themeColor="text1"/>
                <w:sz w:val="22"/>
                <w:szCs w:val="22"/>
              </w:rPr>
            </w:pPr>
          </w:p>
          <w:p w:rsidR="007F4594" w:rsidRDefault="007F4594" w:rsidP="007F4594">
            <w:pPr>
              <w:ind w:firstLine="308"/>
              <w:jc w:val="both"/>
              <w:rPr>
                <w:color w:val="000000" w:themeColor="text1"/>
                <w:sz w:val="22"/>
                <w:szCs w:val="22"/>
              </w:rPr>
            </w:pPr>
          </w:p>
          <w:p w:rsidR="007F4594" w:rsidRDefault="007F4594" w:rsidP="007F4594">
            <w:pPr>
              <w:ind w:firstLine="308"/>
              <w:jc w:val="both"/>
              <w:rPr>
                <w:color w:val="000000" w:themeColor="text1"/>
                <w:sz w:val="22"/>
                <w:szCs w:val="22"/>
              </w:rPr>
            </w:pPr>
          </w:p>
          <w:p w:rsidR="007F4594" w:rsidRDefault="007F4594" w:rsidP="007F4594">
            <w:pPr>
              <w:ind w:firstLine="308"/>
              <w:jc w:val="both"/>
              <w:rPr>
                <w:color w:val="000000" w:themeColor="text1"/>
                <w:sz w:val="22"/>
                <w:szCs w:val="22"/>
              </w:rPr>
            </w:pPr>
          </w:p>
          <w:p w:rsidR="007F4594" w:rsidRDefault="007F4594" w:rsidP="007F4594">
            <w:pPr>
              <w:ind w:firstLine="308"/>
              <w:jc w:val="both"/>
              <w:rPr>
                <w:color w:val="000000" w:themeColor="text1"/>
                <w:sz w:val="22"/>
                <w:szCs w:val="22"/>
              </w:rPr>
            </w:pPr>
          </w:p>
          <w:p w:rsidR="007F4594" w:rsidRDefault="007F4594" w:rsidP="007F4594">
            <w:pPr>
              <w:ind w:firstLine="308"/>
              <w:jc w:val="both"/>
              <w:rPr>
                <w:color w:val="000000" w:themeColor="text1"/>
                <w:sz w:val="22"/>
                <w:szCs w:val="22"/>
              </w:rPr>
            </w:pPr>
          </w:p>
          <w:p w:rsidR="007F4594" w:rsidRDefault="007F4594" w:rsidP="007F4594">
            <w:pPr>
              <w:ind w:firstLine="308"/>
              <w:jc w:val="both"/>
              <w:rPr>
                <w:color w:val="000000" w:themeColor="text1"/>
                <w:sz w:val="22"/>
                <w:szCs w:val="22"/>
              </w:rPr>
            </w:pPr>
          </w:p>
          <w:p w:rsidR="007F4594" w:rsidRDefault="007F4594" w:rsidP="007F4594">
            <w:pPr>
              <w:ind w:firstLine="308"/>
              <w:jc w:val="both"/>
              <w:rPr>
                <w:color w:val="000000" w:themeColor="text1"/>
                <w:sz w:val="22"/>
                <w:szCs w:val="22"/>
              </w:rPr>
            </w:pPr>
          </w:p>
          <w:p w:rsidR="007F4594" w:rsidRDefault="007F4594" w:rsidP="007F4594">
            <w:pPr>
              <w:ind w:firstLine="308"/>
              <w:jc w:val="both"/>
              <w:rPr>
                <w:color w:val="000000" w:themeColor="text1"/>
                <w:sz w:val="22"/>
                <w:szCs w:val="22"/>
              </w:rPr>
            </w:pPr>
            <w:r>
              <w:rPr>
                <w:color w:val="000000" w:themeColor="text1"/>
                <w:sz w:val="22"/>
                <w:szCs w:val="22"/>
              </w:rPr>
              <w:t>…………………………………….</w:t>
            </w:r>
          </w:p>
          <w:p w:rsidR="007F4594" w:rsidRPr="007C7AED" w:rsidRDefault="007F4594" w:rsidP="007F4594">
            <w:pPr>
              <w:ind w:firstLine="308"/>
              <w:jc w:val="both"/>
              <w:rPr>
                <w:color w:val="000000" w:themeColor="text1"/>
                <w:sz w:val="22"/>
                <w:szCs w:val="22"/>
              </w:rPr>
            </w:pPr>
            <w:r w:rsidRPr="007C7AED">
              <w:rPr>
                <w:color w:val="000000" w:themeColor="text1"/>
                <w:sz w:val="22"/>
                <w:szCs w:val="22"/>
              </w:rPr>
              <w:t>При розрахунку величини дефіциту або профіциту коштів фактичні капітальні витрати, понесені під час надання послуг за приєднання, за якими зафіксовано дефіцит коштів, приймаються рівними нулю, якщо ОСР порушено строки надання цих послуг, визначені нормативно-правовими актами та/або договором, та враховуючи додаткову угоду про продовження терміну реалізації приєднань та вимоги пункту 4.2.4 глави 4.2 розділу IV "Кодексу систем розподілу" щодо можливого відтермінування надання послуги на 60 календарних днів;</w:t>
            </w:r>
          </w:p>
          <w:p w:rsidR="007F4594" w:rsidRPr="0060018A" w:rsidRDefault="007F4594" w:rsidP="007F4594">
            <w:pPr>
              <w:ind w:firstLine="308"/>
              <w:jc w:val="both"/>
              <w:rPr>
                <w:i/>
                <w:sz w:val="22"/>
                <w:szCs w:val="22"/>
                <w:shd w:val="clear" w:color="auto" w:fill="FFFFFF"/>
              </w:rPr>
            </w:pPr>
          </w:p>
          <w:p w:rsidR="007F4594" w:rsidRPr="0060018A" w:rsidRDefault="007F4594" w:rsidP="007F4594">
            <w:pPr>
              <w:ind w:firstLine="308"/>
              <w:jc w:val="both"/>
              <w:rPr>
                <w:i/>
                <w:sz w:val="22"/>
                <w:szCs w:val="22"/>
                <w:shd w:val="clear" w:color="auto" w:fill="FFFFFF"/>
              </w:rPr>
            </w:pPr>
            <w:r w:rsidRPr="0060018A">
              <w:rPr>
                <w:i/>
                <w:sz w:val="22"/>
                <w:szCs w:val="22"/>
                <w:shd w:val="clear" w:color="auto" w:fill="FFFFFF"/>
              </w:rPr>
              <w:t>ОБҐРУНТУВАННЯ:</w:t>
            </w:r>
          </w:p>
          <w:p w:rsidR="007F4594" w:rsidRPr="0060018A" w:rsidRDefault="007F4594" w:rsidP="007F4594">
            <w:pPr>
              <w:ind w:firstLine="308"/>
              <w:jc w:val="both"/>
              <w:rPr>
                <w:i/>
                <w:color w:val="000000" w:themeColor="text1"/>
                <w:sz w:val="22"/>
                <w:szCs w:val="22"/>
              </w:rPr>
            </w:pPr>
            <w:r w:rsidRPr="0060018A">
              <w:rPr>
                <w:i/>
                <w:color w:val="000000" w:themeColor="text1"/>
                <w:sz w:val="22"/>
                <w:szCs w:val="22"/>
              </w:rPr>
              <w:t>1. При поверненні коштів по приєднанням, по яким зафіксовано дефіцит коштів, ОСР буде будувати дані об’єкти за свої кошти;</w:t>
            </w:r>
          </w:p>
          <w:p w:rsidR="007F4594" w:rsidRPr="0060018A" w:rsidRDefault="007F4594" w:rsidP="007F4594">
            <w:pPr>
              <w:ind w:firstLine="308"/>
              <w:jc w:val="both"/>
              <w:rPr>
                <w:i/>
                <w:color w:val="000000" w:themeColor="text1"/>
                <w:sz w:val="22"/>
                <w:szCs w:val="22"/>
              </w:rPr>
            </w:pPr>
            <w:r w:rsidRPr="0060018A">
              <w:rPr>
                <w:i/>
                <w:color w:val="000000" w:themeColor="text1"/>
                <w:sz w:val="22"/>
                <w:szCs w:val="22"/>
              </w:rPr>
              <w:t>2. При перевірці НКРЕКП доведеться повертати кошти, витрачені ОСР при дефіцитному приєднанні.</w:t>
            </w:r>
          </w:p>
          <w:p w:rsidR="007F4594" w:rsidRPr="0060018A" w:rsidRDefault="007F4594" w:rsidP="007F4594">
            <w:pPr>
              <w:ind w:firstLine="308"/>
              <w:jc w:val="both"/>
              <w:rPr>
                <w:i/>
                <w:color w:val="000000" w:themeColor="text1"/>
                <w:sz w:val="22"/>
                <w:szCs w:val="22"/>
              </w:rPr>
            </w:pPr>
            <w:r w:rsidRPr="0060018A">
              <w:rPr>
                <w:i/>
                <w:color w:val="000000" w:themeColor="text1"/>
                <w:sz w:val="22"/>
                <w:szCs w:val="22"/>
              </w:rPr>
              <w:t>3. При плановій перевірці ОСР також сплачує штрафи при виявленні порушень.</w:t>
            </w:r>
          </w:p>
          <w:p w:rsidR="007F4594" w:rsidRPr="0060018A" w:rsidRDefault="007F4594" w:rsidP="007F4594">
            <w:pPr>
              <w:ind w:firstLine="308"/>
              <w:jc w:val="both"/>
              <w:rPr>
                <w:i/>
                <w:color w:val="000000" w:themeColor="text1"/>
                <w:sz w:val="22"/>
                <w:szCs w:val="22"/>
              </w:rPr>
            </w:pPr>
            <w:r w:rsidRPr="0060018A">
              <w:rPr>
                <w:i/>
                <w:color w:val="000000" w:themeColor="text1"/>
                <w:sz w:val="22"/>
                <w:szCs w:val="22"/>
              </w:rPr>
              <w:lastRenderedPageBreak/>
              <w:t>Просимо вважати внесення даних змін до проекту рішення НКРЕКП такими, що є неприйнятними.</w:t>
            </w:r>
          </w:p>
          <w:p w:rsidR="007F4594" w:rsidRPr="007C7AED" w:rsidRDefault="007F4594" w:rsidP="007F4594">
            <w:pPr>
              <w:ind w:firstLine="308"/>
              <w:jc w:val="both"/>
              <w:rPr>
                <w:color w:val="000000" w:themeColor="text1"/>
                <w:sz w:val="22"/>
                <w:szCs w:val="22"/>
              </w:rPr>
            </w:pPr>
          </w:p>
          <w:p w:rsidR="007F4594" w:rsidRPr="007C7AED" w:rsidRDefault="007F4594" w:rsidP="007F4594">
            <w:pPr>
              <w:ind w:firstLine="308"/>
              <w:jc w:val="both"/>
              <w:rPr>
                <w:i/>
                <w:sz w:val="22"/>
                <w:szCs w:val="22"/>
                <w:shd w:val="clear" w:color="auto" w:fill="FFFFFF"/>
              </w:rPr>
            </w:pPr>
            <w:r w:rsidRPr="007C7AED">
              <w:rPr>
                <w:i/>
                <w:sz w:val="22"/>
                <w:szCs w:val="22"/>
                <w:shd w:val="clear" w:color="auto" w:fill="FFFFFF"/>
              </w:rPr>
              <w:t>АТ «ДТЕК ДНІПРОВСЬКІ ЕЛЕКТРОМЕРЕЖІ»</w:t>
            </w:r>
          </w:p>
          <w:p w:rsidR="007F4594" w:rsidRPr="007C7AED" w:rsidRDefault="007F4594" w:rsidP="007F4594">
            <w:pPr>
              <w:ind w:firstLine="308"/>
              <w:jc w:val="both"/>
              <w:rPr>
                <w:i/>
                <w:sz w:val="22"/>
                <w:szCs w:val="22"/>
                <w:shd w:val="clear" w:color="auto" w:fill="FFFFFF"/>
              </w:rPr>
            </w:pPr>
            <w:r w:rsidRPr="007C7AED">
              <w:rPr>
                <w:i/>
                <w:sz w:val="22"/>
                <w:szCs w:val="22"/>
                <w:shd w:val="clear" w:color="auto" w:fill="FFFFFF"/>
              </w:rPr>
              <w:t>АТ «ДТЕК ОДЕСЬКІ ЕЛЕКТРОМЕРЕЖІ»</w:t>
            </w:r>
          </w:p>
          <w:p w:rsidR="007F4594" w:rsidRPr="002E417C" w:rsidRDefault="007F4594" w:rsidP="007F4594">
            <w:pPr>
              <w:ind w:firstLine="308"/>
              <w:jc w:val="both"/>
              <w:rPr>
                <w:b/>
                <w:sz w:val="22"/>
                <w:szCs w:val="22"/>
              </w:rPr>
            </w:pPr>
            <w:r w:rsidRPr="007C7AED">
              <w:rPr>
                <w:b/>
                <w:sz w:val="22"/>
                <w:szCs w:val="22"/>
                <w:shd w:val="clear" w:color="auto" w:fill="FFFFFF"/>
              </w:rPr>
              <w:t>При</w:t>
            </w:r>
            <w:r w:rsidRPr="007C7AED">
              <w:rPr>
                <w:b/>
                <w:sz w:val="22"/>
                <w:szCs w:val="22"/>
              </w:rPr>
              <w:t xml:space="preserve"> розрахунку величини дефіциту або профіциту коштів фактичні капітальні витрати, понесені під час надання послуг за приєднання, за якими зафіксовано дефіцит коштів, приймаються рівними нулю, </w:t>
            </w:r>
            <w:r w:rsidRPr="007C7AED">
              <w:rPr>
                <w:b/>
                <w:color w:val="000000" w:themeColor="text1"/>
                <w:sz w:val="22"/>
                <w:szCs w:val="22"/>
              </w:rPr>
              <w:t>якщо термін надання цих послуг з боку ОСР перевищує 730 днів та термін, визначений договором. Якщо строк виконання менше 730 днів або строк більше ніж 730 днів, але подовжений термін виконання додатковими угодами з замовниками, то дефіцит коштів рахується повністю, виходячи з понесених капітальних витрат</w:t>
            </w:r>
            <w:r w:rsidRPr="002E417C">
              <w:rPr>
                <w:b/>
                <w:sz w:val="22"/>
                <w:szCs w:val="22"/>
              </w:rPr>
              <w:t>.</w:t>
            </w:r>
          </w:p>
          <w:p w:rsidR="007F4594" w:rsidRPr="007C7AED" w:rsidRDefault="007F4594" w:rsidP="007F4594">
            <w:pPr>
              <w:ind w:firstLine="308"/>
              <w:jc w:val="both"/>
              <w:rPr>
                <w:i/>
                <w:sz w:val="22"/>
                <w:szCs w:val="22"/>
                <w:shd w:val="clear" w:color="auto" w:fill="FFFFFF"/>
              </w:rPr>
            </w:pPr>
          </w:p>
          <w:p w:rsidR="007F4594" w:rsidRPr="007C7AED" w:rsidRDefault="007F4594" w:rsidP="007F4594">
            <w:pPr>
              <w:ind w:firstLine="308"/>
              <w:jc w:val="both"/>
              <w:rPr>
                <w:i/>
                <w:sz w:val="22"/>
                <w:szCs w:val="22"/>
                <w:shd w:val="clear" w:color="auto" w:fill="FFFFFF"/>
              </w:rPr>
            </w:pPr>
            <w:r>
              <w:rPr>
                <w:i/>
                <w:sz w:val="22"/>
                <w:szCs w:val="22"/>
                <w:shd w:val="clear" w:color="auto" w:fill="FFFFFF"/>
              </w:rPr>
              <w:t>ОБҐРУНТУВАННЯ</w:t>
            </w:r>
            <w:r w:rsidRPr="007C7AED">
              <w:rPr>
                <w:i/>
                <w:sz w:val="22"/>
                <w:szCs w:val="22"/>
                <w:shd w:val="clear" w:color="auto" w:fill="FFFFFF"/>
              </w:rPr>
              <w:t>:</w:t>
            </w:r>
          </w:p>
          <w:p w:rsidR="007F4594" w:rsidRPr="0060018A" w:rsidRDefault="007F4594" w:rsidP="007F4594">
            <w:pPr>
              <w:ind w:firstLine="308"/>
              <w:jc w:val="both"/>
              <w:rPr>
                <w:i/>
                <w:iCs/>
                <w:sz w:val="22"/>
                <w:szCs w:val="22"/>
                <w:shd w:val="clear" w:color="auto" w:fill="FFFFFF"/>
              </w:rPr>
            </w:pPr>
            <w:r w:rsidRPr="0060018A">
              <w:rPr>
                <w:i/>
                <w:sz w:val="22"/>
                <w:szCs w:val="22"/>
                <w:shd w:val="clear" w:color="auto" w:fill="FFFFFF"/>
              </w:rPr>
              <w:t xml:space="preserve">Вимогами Постанови НКРЕКП від 26.03.2022 №352 Про особливості тимчасового приєднання електроустановок до системи розподілу у період дії в Україні воєнного стану передбачено, що </w:t>
            </w:r>
            <w:r w:rsidRPr="0060018A">
              <w:rPr>
                <w:i/>
                <w:iCs/>
                <w:sz w:val="22"/>
                <w:szCs w:val="22"/>
                <w:shd w:val="clear" w:color="auto" w:fill="FFFFFF"/>
              </w:rPr>
              <w:t xml:space="preserve">«На період дії в Україні воєнного стану, за результатами проведеного НКРЕКП заходу державного контролю за період діяльності, починаючи з 2023 року, фактичні капітальні витрати, понесені під час надання послуги за j-те приєднання, за якими зафіксовано дефіцит коштів, приймаються рівними нулю якщо </w:t>
            </w:r>
          </w:p>
          <w:p w:rsidR="007F4594" w:rsidRPr="0060018A" w:rsidRDefault="007F4594" w:rsidP="007F4594">
            <w:pPr>
              <w:ind w:firstLine="308"/>
              <w:jc w:val="both"/>
              <w:rPr>
                <w:i/>
                <w:iCs/>
                <w:sz w:val="22"/>
                <w:szCs w:val="22"/>
                <w:shd w:val="clear" w:color="auto" w:fill="FFFFFF"/>
              </w:rPr>
            </w:pPr>
            <w:r w:rsidRPr="0060018A">
              <w:rPr>
                <w:i/>
                <w:iCs/>
                <w:sz w:val="22"/>
                <w:szCs w:val="22"/>
                <w:shd w:val="clear" w:color="auto" w:fill="FFFFFF"/>
              </w:rPr>
              <w:t>…. строк надання послуги зі стандартного приєднання становить понад 730 днів (при цьому, календарний період 2022 року у розрахунку не враховується)»</w:t>
            </w:r>
          </w:p>
          <w:p w:rsidR="007F4594" w:rsidRPr="0060018A" w:rsidRDefault="007F4594" w:rsidP="007F4594">
            <w:pPr>
              <w:ind w:firstLine="308"/>
              <w:jc w:val="both"/>
              <w:rPr>
                <w:i/>
                <w:sz w:val="22"/>
                <w:szCs w:val="22"/>
                <w:shd w:val="clear" w:color="auto" w:fill="FFFFFF"/>
              </w:rPr>
            </w:pPr>
            <w:r w:rsidRPr="0060018A">
              <w:rPr>
                <w:i/>
                <w:sz w:val="22"/>
                <w:szCs w:val="22"/>
                <w:shd w:val="clear" w:color="auto" w:fill="FFFFFF"/>
              </w:rPr>
              <w:t>Враховуючи масовані ракетно-</w:t>
            </w:r>
            <w:proofErr w:type="spellStart"/>
            <w:r w:rsidRPr="0060018A">
              <w:rPr>
                <w:i/>
                <w:sz w:val="22"/>
                <w:szCs w:val="22"/>
                <w:shd w:val="clear" w:color="auto" w:fill="FFFFFF"/>
              </w:rPr>
              <w:t>дронові</w:t>
            </w:r>
            <w:proofErr w:type="spellEnd"/>
            <w:r w:rsidRPr="0060018A">
              <w:rPr>
                <w:i/>
                <w:sz w:val="22"/>
                <w:szCs w:val="22"/>
                <w:shd w:val="clear" w:color="auto" w:fill="FFFFFF"/>
              </w:rPr>
              <w:t xml:space="preserve"> удари по енергетичній інфраструктурі Одеського регіону, що призвели до критичних руйнувань </w:t>
            </w:r>
            <w:proofErr w:type="spellStart"/>
            <w:r w:rsidRPr="0060018A">
              <w:rPr>
                <w:i/>
                <w:sz w:val="22"/>
                <w:szCs w:val="22"/>
                <w:shd w:val="clear" w:color="auto" w:fill="FFFFFF"/>
              </w:rPr>
              <w:lastRenderedPageBreak/>
              <w:t>енергообладнання</w:t>
            </w:r>
            <w:proofErr w:type="spellEnd"/>
            <w:r w:rsidRPr="0060018A">
              <w:rPr>
                <w:i/>
                <w:sz w:val="22"/>
                <w:szCs w:val="22"/>
                <w:shd w:val="clear" w:color="auto" w:fill="FFFFFF"/>
              </w:rPr>
              <w:t xml:space="preserve"> живлячих центрів, надання послуги з приєднання у визначені КСР терміни, в більшості випадків, не є можливим. Наприклад, </w:t>
            </w:r>
            <w:proofErr w:type="spellStart"/>
            <w:r w:rsidRPr="0060018A">
              <w:rPr>
                <w:i/>
                <w:sz w:val="22"/>
                <w:szCs w:val="22"/>
                <w:shd w:val="clear" w:color="auto" w:fill="FFFFFF"/>
              </w:rPr>
              <w:t>енергообладнання</w:t>
            </w:r>
            <w:proofErr w:type="spellEnd"/>
            <w:r w:rsidRPr="0060018A">
              <w:rPr>
                <w:i/>
                <w:sz w:val="22"/>
                <w:szCs w:val="22"/>
                <w:shd w:val="clear" w:color="auto" w:fill="FFFFFF"/>
              </w:rPr>
              <w:t xml:space="preserve"> півдня Одеської області, де зруйновано/суттєво пошкоджено всі ПС напругою 110 кВ, та відсутня схема нормального режиму.</w:t>
            </w:r>
          </w:p>
          <w:p w:rsidR="007F4594" w:rsidRPr="007C7AED" w:rsidRDefault="007F4594" w:rsidP="007F4594">
            <w:pPr>
              <w:ind w:firstLine="308"/>
              <w:jc w:val="both"/>
              <w:rPr>
                <w:i/>
                <w:sz w:val="22"/>
                <w:szCs w:val="22"/>
                <w:shd w:val="clear" w:color="auto" w:fill="FFFFFF"/>
              </w:rPr>
            </w:pPr>
          </w:p>
          <w:p w:rsidR="007F4594" w:rsidRDefault="007F4594" w:rsidP="007F4594">
            <w:pPr>
              <w:ind w:firstLine="308"/>
              <w:jc w:val="both"/>
              <w:rPr>
                <w:i/>
                <w:sz w:val="22"/>
                <w:szCs w:val="22"/>
                <w:shd w:val="clear" w:color="auto" w:fill="FFFFFF"/>
              </w:rPr>
            </w:pPr>
            <w:r w:rsidRPr="007C7AED">
              <w:rPr>
                <w:i/>
                <w:sz w:val="22"/>
                <w:szCs w:val="22"/>
                <w:shd w:val="clear" w:color="auto" w:fill="FFFFFF"/>
              </w:rPr>
              <w:t>ПРАТ «ЛЬВІВОБЛЕНЕРГО»</w:t>
            </w:r>
          </w:p>
          <w:p w:rsidR="007F4594" w:rsidRPr="005102FC" w:rsidRDefault="007F4594" w:rsidP="007F4594">
            <w:pPr>
              <w:ind w:firstLine="308"/>
              <w:jc w:val="both"/>
              <w:rPr>
                <w:i/>
                <w:sz w:val="22"/>
                <w:szCs w:val="22"/>
                <w:shd w:val="clear" w:color="auto" w:fill="FFFFFF"/>
              </w:rPr>
            </w:pPr>
            <w:r w:rsidRPr="005102FC">
              <w:rPr>
                <w:i/>
                <w:sz w:val="22"/>
                <w:szCs w:val="22"/>
                <w:shd w:val="clear" w:color="auto" w:fill="FFFFFF"/>
              </w:rPr>
              <w:t>ГС «РЕУ»</w:t>
            </w:r>
          </w:p>
          <w:p w:rsidR="007F4594" w:rsidRPr="007C7AED" w:rsidRDefault="007F4594" w:rsidP="007F4594">
            <w:pPr>
              <w:ind w:firstLine="308"/>
              <w:jc w:val="both"/>
              <w:rPr>
                <w:color w:val="000000" w:themeColor="text1"/>
                <w:sz w:val="22"/>
                <w:szCs w:val="22"/>
                <w:shd w:val="clear" w:color="auto" w:fill="FFFFFF"/>
              </w:rPr>
            </w:pPr>
            <w:r w:rsidRPr="007C7AED">
              <w:rPr>
                <w:sz w:val="22"/>
                <w:szCs w:val="22"/>
                <w:shd w:val="clear" w:color="auto" w:fill="FFFFFF"/>
              </w:rPr>
              <w:t>18</w:t>
            </w:r>
            <w:r w:rsidRPr="007C7AED">
              <w:rPr>
                <w:color w:val="000000" w:themeColor="text1"/>
                <w:sz w:val="22"/>
                <w:szCs w:val="22"/>
                <w:shd w:val="clear" w:color="auto" w:fill="FFFFFF"/>
              </w:rPr>
              <w:t>) величина дефіциту або профіциту коштів у частині надходжень та витрат, пов'язаних з наданням послуг з приєднання електроустановок замовників до електричних мереж, що надані у звітному періоді (за календарний рік), яка визначається відповідно до методики (порядку) формування плати за приєднання до системи передачі та системи розподілу та підтверджується звітністю та первинними документами;</w:t>
            </w:r>
          </w:p>
          <w:p w:rsidR="007F4594" w:rsidRPr="007C7AED" w:rsidRDefault="007F4594" w:rsidP="007F4594">
            <w:pPr>
              <w:ind w:firstLine="308"/>
              <w:jc w:val="both"/>
              <w:rPr>
                <w:b/>
                <w:strike/>
                <w:color w:val="000000" w:themeColor="text1"/>
                <w:sz w:val="22"/>
                <w:szCs w:val="22"/>
                <w:shd w:val="clear" w:color="auto" w:fill="FFFFFF"/>
              </w:rPr>
            </w:pPr>
            <w:r w:rsidRPr="007C7AED">
              <w:rPr>
                <w:b/>
                <w:strike/>
                <w:color w:val="000000" w:themeColor="text1"/>
                <w:sz w:val="22"/>
                <w:szCs w:val="22"/>
                <w:shd w:val="clear" w:color="auto" w:fill="FFFFFF"/>
              </w:rPr>
              <w:t>При розрахунку величини дефіциту або профіциту коштів фактичні капітальні витрати, понесені під час надання послуг за приєднання, за якими зафіксовано дефіцит коштів, приймаються рівними нулю, якщо ОСР порушено строки надання цих послуг, визначені нормативно-правовими актами та/або договором;</w:t>
            </w:r>
          </w:p>
          <w:p w:rsidR="007F4594" w:rsidRPr="007C7AED" w:rsidRDefault="007F4594" w:rsidP="007F4594">
            <w:pPr>
              <w:ind w:firstLine="308"/>
              <w:jc w:val="both"/>
              <w:rPr>
                <w:i/>
                <w:sz w:val="22"/>
                <w:szCs w:val="22"/>
                <w:shd w:val="clear" w:color="auto" w:fill="FFFFFF"/>
              </w:rPr>
            </w:pPr>
          </w:p>
          <w:p w:rsidR="007F4594" w:rsidRPr="0060018A" w:rsidRDefault="007F4594" w:rsidP="007F4594">
            <w:pPr>
              <w:ind w:firstLine="308"/>
              <w:jc w:val="both"/>
              <w:rPr>
                <w:i/>
                <w:sz w:val="22"/>
                <w:szCs w:val="22"/>
                <w:shd w:val="clear" w:color="auto" w:fill="FFFFFF"/>
              </w:rPr>
            </w:pPr>
            <w:r w:rsidRPr="0060018A">
              <w:rPr>
                <w:i/>
                <w:sz w:val="22"/>
                <w:szCs w:val="22"/>
                <w:shd w:val="clear" w:color="auto" w:fill="FFFFFF"/>
              </w:rPr>
              <w:t>ОБҐРУНТУВАННЯ ПРАТ «ЛЬВІВОБЛЕНЕРГО»:</w:t>
            </w:r>
          </w:p>
          <w:p w:rsidR="007F4594" w:rsidRPr="0060018A" w:rsidRDefault="007F4594" w:rsidP="007F4594">
            <w:pPr>
              <w:ind w:firstLine="284"/>
              <w:jc w:val="both"/>
              <w:rPr>
                <w:i/>
                <w:color w:val="000000" w:themeColor="text1"/>
                <w:sz w:val="22"/>
                <w:szCs w:val="22"/>
              </w:rPr>
            </w:pPr>
            <w:r w:rsidRPr="0060018A">
              <w:rPr>
                <w:i/>
                <w:color w:val="000000" w:themeColor="text1"/>
                <w:sz w:val="22"/>
                <w:szCs w:val="22"/>
              </w:rPr>
              <w:t xml:space="preserve">1. Чинним законодавством, зокрема </w:t>
            </w:r>
            <w:proofErr w:type="spellStart"/>
            <w:r w:rsidRPr="0060018A">
              <w:rPr>
                <w:i/>
                <w:color w:val="000000" w:themeColor="text1"/>
                <w:sz w:val="22"/>
                <w:szCs w:val="22"/>
              </w:rPr>
              <w:t>пп</w:t>
            </w:r>
            <w:proofErr w:type="spellEnd"/>
            <w:r w:rsidRPr="0060018A">
              <w:rPr>
                <w:i/>
                <w:color w:val="000000" w:themeColor="text1"/>
                <w:sz w:val="22"/>
                <w:szCs w:val="22"/>
              </w:rPr>
              <w:t xml:space="preserve">. 3.4–3.6, 4.5, 4.6, 5.7 Методики (порядку) формування плати за приєднання до системи передачі та системи розподілу, затвердженої постановою НКРЕКП від 18.12.2018  № 1965 вже передбачено механізм визначення дефіциту/профіциту коштів та застосування коефіцієнтів оптимізації витрат. </w:t>
            </w:r>
            <w:r w:rsidRPr="0060018A">
              <w:rPr>
                <w:i/>
                <w:color w:val="000000" w:themeColor="text1"/>
                <w:sz w:val="22"/>
                <w:szCs w:val="22"/>
                <w:u w:val="single"/>
              </w:rPr>
              <w:t>Водночас приведення фактичних капітальних витрат до нуля, у разі порушення строків не передбачено</w:t>
            </w:r>
            <w:r w:rsidRPr="0060018A">
              <w:rPr>
                <w:i/>
                <w:color w:val="000000" w:themeColor="text1"/>
                <w:sz w:val="22"/>
                <w:szCs w:val="22"/>
              </w:rPr>
              <w:t xml:space="preserve">. Отже, запропонована норма </w:t>
            </w:r>
            <w:r w:rsidRPr="0060018A">
              <w:rPr>
                <w:i/>
                <w:color w:val="000000" w:themeColor="text1"/>
                <w:sz w:val="22"/>
                <w:szCs w:val="22"/>
              </w:rPr>
              <w:lastRenderedPageBreak/>
              <w:t>суперечитиме вже чинному правовому регулюванню даного питання.</w:t>
            </w:r>
          </w:p>
          <w:p w:rsidR="007F4594" w:rsidRPr="0060018A" w:rsidRDefault="007F4594" w:rsidP="007F4594">
            <w:pPr>
              <w:ind w:firstLine="284"/>
              <w:jc w:val="both"/>
              <w:rPr>
                <w:i/>
                <w:color w:val="000000" w:themeColor="text1"/>
                <w:sz w:val="22"/>
                <w:szCs w:val="22"/>
              </w:rPr>
            </w:pPr>
            <w:r w:rsidRPr="0060018A">
              <w:rPr>
                <w:i/>
                <w:color w:val="000000" w:themeColor="text1"/>
                <w:sz w:val="22"/>
                <w:szCs w:val="22"/>
              </w:rPr>
              <w:t>2. Також, в законодавстві,  зокрема з ч. 20 ст. 21 Закону України «Про ринок електричної енергії» вже наявний порядок контролю та вилучення необґрунтованих витрат.</w:t>
            </w:r>
          </w:p>
          <w:p w:rsidR="007F4594" w:rsidRPr="0060018A" w:rsidRDefault="007F4594" w:rsidP="007F4594">
            <w:pPr>
              <w:ind w:firstLine="284"/>
              <w:jc w:val="both"/>
              <w:rPr>
                <w:i/>
                <w:color w:val="000000" w:themeColor="text1"/>
                <w:sz w:val="22"/>
                <w:szCs w:val="22"/>
              </w:rPr>
            </w:pPr>
            <w:r w:rsidRPr="0060018A">
              <w:rPr>
                <w:i/>
                <w:color w:val="000000" w:themeColor="text1"/>
                <w:sz w:val="22"/>
                <w:szCs w:val="22"/>
              </w:rPr>
              <w:t xml:space="preserve">Так, відповідно до зазначених норм, Регулятор (НКРЕКП), перевіряє обґрунтованість і достовірність фактичних витрат оператора системи розподілу (надалі – ОСР).У разі виявлення необґрунтованих витрат вони можуть бути вилучені із розрахунку дефіциту/профіциту коштів. </w:t>
            </w:r>
          </w:p>
          <w:p w:rsidR="007F4594" w:rsidRPr="0060018A" w:rsidRDefault="007F4594" w:rsidP="007F4594">
            <w:pPr>
              <w:ind w:firstLine="284"/>
              <w:jc w:val="both"/>
              <w:rPr>
                <w:i/>
                <w:color w:val="000000" w:themeColor="text1"/>
                <w:sz w:val="22"/>
                <w:szCs w:val="22"/>
              </w:rPr>
            </w:pPr>
            <w:r w:rsidRPr="0060018A">
              <w:rPr>
                <w:i/>
                <w:color w:val="000000" w:themeColor="text1"/>
                <w:sz w:val="22"/>
                <w:szCs w:val="22"/>
              </w:rPr>
              <w:t>Таким чином, чинне законодавство забезпечує вже необхідний контроль необґрунтованих капітальних витрат.</w:t>
            </w:r>
          </w:p>
          <w:p w:rsidR="007F4594" w:rsidRPr="0060018A" w:rsidRDefault="007F4594" w:rsidP="007F4594">
            <w:pPr>
              <w:ind w:firstLine="284"/>
              <w:jc w:val="both"/>
              <w:rPr>
                <w:i/>
                <w:color w:val="000000" w:themeColor="text1"/>
                <w:sz w:val="22"/>
                <w:szCs w:val="22"/>
              </w:rPr>
            </w:pPr>
            <w:r w:rsidRPr="0060018A">
              <w:rPr>
                <w:i/>
                <w:color w:val="000000" w:themeColor="text1"/>
                <w:sz w:val="22"/>
                <w:szCs w:val="22"/>
              </w:rPr>
              <w:t>3. Окрім цього, законодавство передбачає відповідальність ОСР за порушення строків приєднання, що є додатковою гарантією для Замовника.</w:t>
            </w:r>
          </w:p>
          <w:p w:rsidR="007F4594" w:rsidRPr="0060018A" w:rsidRDefault="007F4594" w:rsidP="007F4594">
            <w:pPr>
              <w:ind w:firstLine="284"/>
              <w:jc w:val="both"/>
              <w:rPr>
                <w:i/>
                <w:color w:val="000000" w:themeColor="text1"/>
                <w:sz w:val="22"/>
                <w:szCs w:val="22"/>
              </w:rPr>
            </w:pPr>
            <w:r w:rsidRPr="0060018A">
              <w:rPr>
                <w:i/>
                <w:color w:val="000000" w:themeColor="text1"/>
                <w:sz w:val="22"/>
                <w:szCs w:val="22"/>
              </w:rPr>
              <w:t xml:space="preserve">Зокрема, </w:t>
            </w:r>
            <w:proofErr w:type="spellStart"/>
            <w:r w:rsidRPr="0060018A">
              <w:rPr>
                <w:i/>
                <w:color w:val="000000" w:themeColor="text1"/>
                <w:sz w:val="22"/>
                <w:szCs w:val="22"/>
              </w:rPr>
              <w:t>п.п</w:t>
            </w:r>
            <w:proofErr w:type="spellEnd"/>
            <w:r w:rsidRPr="0060018A">
              <w:rPr>
                <w:i/>
                <w:color w:val="000000" w:themeColor="text1"/>
                <w:sz w:val="22"/>
                <w:szCs w:val="22"/>
              </w:rPr>
              <w:t>. 4.2.6, 4.3.3 Кодексу системи розподілу (надалі – КСР) передбачено повернення коштів за зверненням замовника. При цьому у разі прострочення понад 120 днів – повернення 100 % сплаченої плати.</w:t>
            </w:r>
          </w:p>
          <w:p w:rsidR="007F4594" w:rsidRPr="0060018A" w:rsidRDefault="007F4594" w:rsidP="007F4594">
            <w:pPr>
              <w:ind w:firstLine="284"/>
              <w:jc w:val="both"/>
              <w:rPr>
                <w:i/>
                <w:color w:val="000000" w:themeColor="text1"/>
                <w:sz w:val="22"/>
                <w:szCs w:val="22"/>
              </w:rPr>
            </w:pPr>
            <w:r w:rsidRPr="0060018A">
              <w:rPr>
                <w:i/>
                <w:color w:val="000000" w:themeColor="text1"/>
                <w:sz w:val="22"/>
                <w:szCs w:val="22"/>
              </w:rPr>
              <w:t>Крім того, змінами до КСР (постанова НКРЕКП № 1145 від 29.07.2025) посилено вимоги щодо внесення змін до договорів про приєднання та уточнено порядок та обмежено строки їх продовження (п. 4.2.4 КСР): до 60 днів – загальне продовження та до 240 днів – у разі необхідності відведення земельних ділянок.</w:t>
            </w:r>
          </w:p>
          <w:p w:rsidR="007F4594" w:rsidRPr="0060018A" w:rsidRDefault="007F4594" w:rsidP="007F4594">
            <w:pPr>
              <w:ind w:firstLine="284"/>
              <w:jc w:val="both"/>
              <w:rPr>
                <w:i/>
                <w:color w:val="000000" w:themeColor="text1"/>
                <w:sz w:val="22"/>
                <w:szCs w:val="22"/>
              </w:rPr>
            </w:pPr>
            <w:r w:rsidRPr="0060018A">
              <w:rPr>
                <w:i/>
                <w:color w:val="000000" w:themeColor="text1"/>
                <w:sz w:val="22"/>
                <w:szCs w:val="22"/>
              </w:rPr>
              <w:t xml:space="preserve">5. Також,  на період дії воєнного стану, встановлені вже додаткові обмеження для ОСР, зокрема пунктом 13 постанови НКРЕКП № 352 від 26.03.2022 передбачено випадки, коли капітальні витрати приймаються рівними нулю (зокрема при невідповідності проектно-кошторисної документації, некоректному визначенні типу </w:t>
            </w:r>
            <w:r w:rsidRPr="0060018A">
              <w:rPr>
                <w:i/>
                <w:color w:val="000000" w:themeColor="text1"/>
                <w:sz w:val="22"/>
                <w:szCs w:val="22"/>
              </w:rPr>
              <w:lastRenderedPageBreak/>
              <w:t>приєднання, перевищенні строку нестандартного приєднання на 730 днів, тощо).</w:t>
            </w:r>
          </w:p>
          <w:p w:rsidR="007F4594" w:rsidRPr="0060018A" w:rsidRDefault="007F4594" w:rsidP="007F4594">
            <w:pPr>
              <w:ind w:firstLine="284"/>
              <w:jc w:val="both"/>
              <w:rPr>
                <w:i/>
                <w:color w:val="000000" w:themeColor="text1"/>
                <w:sz w:val="22"/>
                <w:szCs w:val="22"/>
              </w:rPr>
            </w:pPr>
            <w:r w:rsidRPr="0060018A">
              <w:rPr>
                <w:i/>
                <w:color w:val="000000" w:themeColor="text1"/>
                <w:sz w:val="22"/>
                <w:szCs w:val="22"/>
              </w:rPr>
              <w:t>Зважаючи на це вважаємо, що нормами чинного законодавства передбачено достатній рівень відповідальності та контролю за оператором системи розподілу щодо надання ним послуг з приєднання.</w:t>
            </w:r>
          </w:p>
          <w:p w:rsidR="007F4594" w:rsidRPr="0060018A" w:rsidRDefault="007F4594" w:rsidP="007F4594">
            <w:pPr>
              <w:ind w:firstLine="284"/>
              <w:jc w:val="both"/>
              <w:rPr>
                <w:i/>
                <w:color w:val="000000" w:themeColor="text1"/>
                <w:sz w:val="22"/>
                <w:szCs w:val="22"/>
              </w:rPr>
            </w:pPr>
            <w:r w:rsidRPr="0060018A">
              <w:rPr>
                <w:i/>
                <w:color w:val="000000" w:themeColor="text1"/>
                <w:sz w:val="22"/>
                <w:szCs w:val="22"/>
              </w:rPr>
              <w:t>При цьому, для Замовників передбачено</w:t>
            </w:r>
            <w:r w:rsidRPr="007C7AED">
              <w:rPr>
                <w:color w:val="000000" w:themeColor="text1"/>
                <w:sz w:val="22"/>
                <w:szCs w:val="22"/>
              </w:rPr>
              <w:t xml:space="preserve"> </w:t>
            </w:r>
            <w:r w:rsidRPr="0060018A">
              <w:rPr>
                <w:i/>
                <w:color w:val="000000" w:themeColor="text1"/>
                <w:sz w:val="22"/>
                <w:szCs w:val="22"/>
              </w:rPr>
              <w:t>широкий спектр гарантій та компенсацій дотримання їхній прав у взаємовідносинах з ОСР.</w:t>
            </w:r>
          </w:p>
          <w:p w:rsidR="007F4594" w:rsidRPr="0060018A" w:rsidRDefault="007F4594" w:rsidP="007F4594">
            <w:pPr>
              <w:ind w:firstLine="284"/>
              <w:jc w:val="both"/>
              <w:rPr>
                <w:i/>
                <w:color w:val="000000" w:themeColor="text1"/>
                <w:sz w:val="22"/>
                <w:szCs w:val="22"/>
              </w:rPr>
            </w:pPr>
            <w:r w:rsidRPr="0060018A">
              <w:rPr>
                <w:i/>
                <w:color w:val="000000" w:themeColor="text1"/>
                <w:sz w:val="22"/>
                <w:szCs w:val="22"/>
              </w:rPr>
              <w:t>ПрАТ «</w:t>
            </w:r>
            <w:proofErr w:type="spellStart"/>
            <w:r w:rsidRPr="0060018A">
              <w:rPr>
                <w:i/>
                <w:color w:val="000000" w:themeColor="text1"/>
                <w:sz w:val="22"/>
                <w:szCs w:val="22"/>
              </w:rPr>
              <w:t>Львівобленерго</w:t>
            </w:r>
            <w:proofErr w:type="spellEnd"/>
            <w:r w:rsidRPr="0060018A">
              <w:rPr>
                <w:i/>
                <w:color w:val="000000" w:themeColor="text1"/>
                <w:sz w:val="22"/>
                <w:szCs w:val="22"/>
              </w:rPr>
              <w:t xml:space="preserve">» вважає, що при здійсненні ліцензійного контролю в умовах воєнного стану доцільно забезпечити комплексний та зважений підхід до оцінки діяльності ОСР з урахуванням об’єктивних обставин, що істотно впливають на можливість своєчасного виконання зобов’язань. </w:t>
            </w:r>
          </w:p>
          <w:p w:rsidR="007F4594" w:rsidRPr="0060018A" w:rsidRDefault="007F4594" w:rsidP="007F4594">
            <w:pPr>
              <w:ind w:firstLine="284"/>
              <w:jc w:val="both"/>
              <w:rPr>
                <w:i/>
                <w:color w:val="000000" w:themeColor="text1"/>
                <w:sz w:val="22"/>
                <w:szCs w:val="22"/>
              </w:rPr>
            </w:pPr>
            <w:r w:rsidRPr="0060018A">
              <w:rPr>
                <w:i/>
                <w:color w:val="000000" w:themeColor="text1"/>
                <w:sz w:val="22"/>
                <w:szCs w:val="22"/>
              </w:rPr>
              <w:t xml:space="preserve">Зокрема, йдеться про об’єктивні перешкоди, що виникають у процесі відведення земель та погодження </w:t>
            </w:r>
            <w:proofErr w:type="spellStart"/>
            <w:r w:rsidRPr="0060018A">
              <w:rPr>
                <w:i/>
                <w:color w:val="000000" w:themeColor="text1"/>
                <w:sz w:val="22"/>
                <w:szCs w:val="22"/>
              </w:rPr>
              <w:t>проєктної</w:t>
            </w:r>
            <w:proofErr w:type="spellEnd"/>
            <w:r w:rsidRPr="0060018A">
              <w:rPr>
                <w:i/>
                <w:color w:val="000000" w:themeColor="text1"/>
                <w:sz w:val="22"/>
                <w:szCs w:val="22"/>
              </w:rPr>
              <w:t xml:space="preserve"> документації через нестабільне функціонування органів місцевого самоврядування, відмови або зволікання суміжних землевласників у погодженні трас прокладання мереж, браком кваліфікованих фахівців як у ОСР, так і в підрядних структурах, а також із затримками постачання матеріально-технічних ресурсів і наявними логістичними обмеженнями. Зазначені обставини мають системний характер і не залежать безпосередньо від волі ОСР, проте істотно впливають на реалізацію послуг з приєднання.</w:t>
            </w:r>
          </w:p>
          <w:p w:rsidR="007F4594" w:rsidRPr="0060018A" w:rsidRDefault="007F4594" w:rsidP="007F4594">
            <w:pPr>
              <w:ind w:firstLine="284"/>
              <w:jc w:val="both"/>
              <w:rPr>
                <w:i/>
                <w:color w:val="000000" w:themeColor="text1"/>
                <w:sz w:val="22"/>
                <w:szCs w:val="22"/>
              </w:rPr>
            </w:pPr>
            <w:r w:rsidRPr="0060018A">
              <w:rPr>
                <w:i/>
                <w:color w:val="000000" w:themeColor="text1"/>
                <w:sz w:val="22"/>
                <w:szCs w:val="22"/>
              </w:rPr>
              <w:t>З урахуванням викладеного, пропонуємо відтермінувати  впровадження запропонованих змін на період після скасування воєнного стану з метою збереження балансу інтересів усіх учасників правовідносин — замовників, операторів систем розподілу.</w:t>
            </w:r>
          </w:p>
          <w:p w:rsidR="007F4594" w:rsidRPr="00E23D77" w:rsidRDefault="007F4594" w:rsidP="007F4594">
            <w:pPr>
              <w:ind w:firstLine="284"/>
              <w:jc w:val="both"/>
              <w:rPr>
                <w:color w:val="000000" w:themeColor="text1"/>
                <w:sz w:val="22"/>
                <w:szCs w:val="22"/>
              </w:rPr>
            </w:pPr>
          </w:p>
          <w:p w:rsidR="007F4594" w:rsidRPr="00E23D77" w:rsidRDefault="007F4594" w:rsidP="007F4594">
            <w:pPr>
              <w:ind w:firstLine="284"/>
              <w:jc w:val="both"/>
              <w:rPr>
                <w:i/>
                <w:sz w:val="22"/>
                <w:szCs w:val="22"/>
                <w:shd w:val="clear" w:color="auto" w:fill="FFFFFF"/>
              </w:rPr>
            </w:pPr>
            <w:r>
              <w:rPr>
                <w:i/>
                <w:sz w:val="22"/>
                <w:szCs w:val="22"/>
                <w:shd w:val="clear" w:color="auto" w:fill="FFFFFF"/>
              </w:rPr>
              <w:t>ОБҐРУНТУВАННЯ</w:t>
            </w:r>
            <w:r w:rsidRPr="00E23D77">
              <w:rPr>
                <w:i/>
                <w:sz w:val="22"/>
                <w:szCs w:val="22"/>
                <w:shd w:val="clear" w:color="auto" w:fill="FFFFFF"/>
              </w:rPr>
              <w:t xml:space="preserve"> ГС «РЕУ»:</w:t>
            </w:r>
          </w:p>
          <w:p w:rsidR="007F4594" w:rsidRPr="0060018A" w:rsidRDefault="007F4594" w:rsidP="007F4594">
            <w:pPr>
              <w:jc w:val="both"/>
              <w:rPr>
                <w:i/>
                <w:sz w:val="22"/>
                <w:szCs w:val="22"/>
                <w:shd w:val="clear" w:color="auto" w:fill="FFFFFF"/>
              </w:rPr>
            </w:pPr>
            <w:r w:rsidRPr="0060018A">
              <w:rPr>
                <w:i/>
                <w:sz w:val="22"/>
                <w:szCs w:val="22"/>
                <w:shd w:val="clear" w:color="auto" w:fill="FFFFFF"/>
              </w:rPr>
              <w:lastRenderedPageBreak/>
              <w:t>Порядок приєднання нових електроустановок та технічного переоснащення визначається Законом «Про ринок електричної енергії», Кодексом системи розподілу (КСР), постановою НКРЕКП № 352 щодо тимчасових приєднань у період воєнного стану та Методикою формування плати за приєднання (постанова № 1965). Методика вже містить механізми оптимізації витрат, але не передбачає вилучення або нульового значення капітальних витрат, тому застосування такого підходу під час ліцензійного контролю суперечитиме законодавству.</w:t>
            </w:r>
          </w:p>
          <w:p w:rsidR="007F4594" w:rsidRPr="0060018A" w:rsidRDefault="007F4594" w:rsidP="007F4594">
            <w:pPr>
              <w:jc w:val="both"/>
              <w:rPr>
                <w:i/>
                <w:sz w:val="22"/>
                <w:szCs w:val="22"/>
                <w:shd w:val="clear" w:color="auto" w:fill="FFFFFF"/>
              </w:rPr>
            </w:pPr>
            <w:r w:rsidRPr="0060018A">
              <w:rPr>
                <w:i/>
                <w:sz w:val="22"/>
                <w:szCs w:val="22"/>
                <w:shd w:val="clear" w:color="auto" w:fill="FFFFFF"/>
              </w:rPr>
              <w:t>Водночас Регулятор має повноваження перевіряти обґрунтованість фактичних витрат ОСР і вилучати необґрунтовані суми з розрахунку дефіциту/профіциту коштів. Крім того, КСР встановлює значну відповідальність ОСР за порушення строків надання послуг з приєднання, включно з поверненням замовнику плати за приєднання у разі прострочення без об’єктивних причин. Останні зміни до КСР (зокрема постанова № 1145 від 29.07.2025) суттєво посилили вимоги до зміни умов договорів про приєднання та процедури продовження строків виконання робіт.</w:t>
            </w:r>
          </w:p>
          <w:p w:rsidR="007F4594" w:rsidRPr="0060018A" w:rsidRDefault="007F4594" w:rsidP="007F4594">
            <w:pPr>
              <w:jc w:val="both"/>
              <w:rPr>
                <w:i/>
                <w:sz w:val="22"/>
                <w:szCs w:val="22"/>
                <w:shd w:val="clear" w:color="auto" w:fill="FFFFFF"/>
              </w:rPr>
            </w:pPr>
            <w:r w:rsidRPr="0060018A">
              <w:rPr>
                <w:i/>
                <w:sz w:val="22"/>
                <w:szCs w:val="22"/>
                <w:shd w:val="clear" w:color="auto" w:fill="FFFFFF"/>
              </w:rPr>
              <w:t>Також у 2025 році були уточнені правила збільшення строків стандартного приєднання, включно з обмеженням загальної тривалості продовжень (до 60 днів, а у випадку земельних процедур — до 240 днів). Окремо постанова № 352 передбачає випадки, коли фактичні капітальні витрати за приєднанням можуть бути визнані нульовими за результатами контролю НКРЕКП.</w:t>
            </w:r>
          </w:p>
          <w:p w:rsidR="007F4594" w:rsidRPr="0060018A" w:rsidRDefault="007F4594" w:rsidP="007F4594">
            <w:pPr>
              <w:jc w:val="both"/>
              <w:rPr>
                <w:i/>
                <w:sz w:val="22"/>
                <w:szCs w:val="22"/>
                <w:shd w:val="clear" w:color="auto" w:fill="FFFFFF"/>
              </w:rPr>
            </w:pPr>
            <w:r w:rsidRPr="0060018A">
              <w:rPr>
                <w:i/>
                <w:sz w:val="22"/>
                <w:szCs w:val="22"/>
                <w:shd w:val="clear" w:color="auto" w:fill="FFFFFF"/>
              </w:rPr>
              <w:t xml:space="preserve">Разом із тим, при оцінці діяльності ОСР доцільно враховувати об’єктивні фактори, що суттєво впливають на строки та можливість виконання робіт у період воєнного стану: складність комунікації із замовниками, проблеми з відведенням земельних ділянок, кадровий дефіцит, перебої з постачанням матеріалів, зростання цін, різке </w:t>
            </w:r>
            <w:r w:rsidRPr="0060018A">
              <w:rPr>
                <w:i/>
                <w:sz w:val="22"/>
                <w:szCs w:val="22"/>
                <w:shd w:val="clear" w:color="auto" w:fill="FFFFFF"/>
              </w:rPr>
              <w:lastRenderedPageBreak/>
              <w:t>збільшення кількості заявок, непогодження трас будівництва, а також складні умови доступу в гірських районах.</w:t>
            </w:r>
          </w:p>
          <w:p w:rsidR="007F4594" w:rsidRPr="0060018A" w:rsidRDefault="007F4594" w:rsidP="007F4594">
            <w:pPr>
              <w:jc w:val="both"/>
              <w:rPr>
                <w:i/>
                <w:sz w:val="22"/>
                <w:szCs w:val="22"/>
                <w:shd w:val="clear" w:color="auto" w:fill="FFFFFF"/>
              </w:rPr>
            </w:pPr>
            <w:r w:rsidRPr="0060018A">
              <w:rPr>
                <w:i/>
                <w:sz w:val="22"/>
                <w:szCs w:val="22"/>
                <w:shd w:val="clear" w:color="auto" w:fill="FFFFFF"/>
              </w:rPr>
              <w:t>Запровадження додаткових штрафних санкцій без урахування цих обставин може призвести до значних фінансових втрат ОСР та негативних наслідків для всього ринку електроенергії. Тому Громадська спілка «Розумні електромережі України» вважає, що проєкт постанови НКРЕКП потребує доопрацювання з урахуванням балансу інтересів усіх сторін, зокрема операторів системи розподілу, які в умовах воєнного стану забезпечують надійне електропостачання та виконання послуг з приєднання.</w:t>
            </w:r>
          </w:p>
          <w:p w:rsidR="007F4594" w:rsidRPr="00E23D77" w:rsidRDefault="007F4594" w:rsidP="007F4594">
            <w:pPr>
              <w:ind w:firstLine="308"/>
              <w:jc w:val="both"/>
              <w:rPr>
                <w:i/>
                <w:sz w:val="22"/>
                <w:szCs w:val="22"/>
                <w:shd w:val="clear" w:color="auto" w:fill="FFFFFF"/>
              </w:rPr>
            </w:pPr>
          </w:p>
          <w:p w:rsidR="007F4594" w:rsidRDefault="007F4594" w:rsidP="007F4594">
            <w:pPr>
              <w:ind w:firstLine="308"/>
              <w:jc w:val="both"/>
              <w:rPr>
                <w:i/>
                <w:sz w:val="22"/>
                <w:szCs w:val="22"/>
                <w:shd w:val="clear" w:color="auto" w:fill="FFFFFF"/>
              </w:rPr>
            </w:pPr>
            <w:r w:rsidRPr="00E23D77">
              <w:rPr>
                <w:i/>
                <w:sz w:val="22"/>
                <w:szCs w:val="22"/>
                <w:shd w:val="clear" w:color="auto" w:fill="FFFFFF"/>
              </w:rPr>
              <w:t>АТ «ПРИКАРПАТТЯОБЛЕНЕРГО</w:t>
            </w:r>
            <w:r w:rsidRPr="007C7AED">
              <w:rPr>
                <w:i/>
                <w:sz w:val="22"/>
                <w:szCs w:val="22"/>
                <w:shd w:val="clear" w:color="auto" w:fill="FFFFFF"/>
              </w:rPr>
              <w:t>»</w:t>
            </w:r>
          </w:p>
          <w:p w:rsidR="007F4594" w:rsidRPr="007C7AED" w:rsidRDefault="007F4594" w:rsidP="007F4594">
            <w:pPr>
              <w:ind w:firstLine="308"/>
              <w:jc w:val="both"/>
              <w:rPr>
                <w:i/>
                <w:sz w:val="22"/>
                <w:szCs w:val="22"/>
                <w:shd w:val="clear" w:color="auto" w:fill="FFFFFF"/>
              </w:rPr>
            </w:pPr>
            <w:r>
              <w:rPr>
                <w:i/>
                <w:sz w:val="22"/>
                <w:szCs w:val="22"/>
                <w:shd w:val="clear" w:color="auto" w:fill="FFFFFF"/>
              </w:rPr>
              <w:t>ПРАТ «РІВНЕОБЛЕНЕРГО»</w:t>
            </w:r>
          </w:p>
          <w:p w:rsidR="007F4594" w:rsidRDefault="007F4594" w:rsidP="007F4594">
            <w:pPr>
              <w:ind w:firstLine="308"/>
              <w:jc w:val="both"/>
              <w:rPr>
                <w:i/>
                <w:sz w:val="22"/>
                <w:szCs w:val="22"/>
                <w:shd w:val="clear" w:color="auto" w:fill="FFFFFF"/>
              </w:rPr>
            </w:pPr>
            <w:r w:rsidRPr="00BF0320">
              <w:rPr>
                <w:i/>
                <w:sz w:val="22"/>
                <w:szCs w:val="22"/>
                <w:shd w:val="clear" w:color="auto" w:fill="FFFFFF"/>
              </w:rPr>
              <w:t>АТ «ЧЕРНІВЦІОБЛЕНЕРГО»</w:t>
            </w:r>
          </w:p>
          <w:p w:rsidR="007F4594" w:rsidRPr="007C7AED" w:rsidRDefault="007F4594" w:rsidP="007F4594">
            <w:pPr>
              <w:ind w:firstLine="308"/>
              <w:jc w:val="both"/>
              <w:rPr>
                <w:sz w:val="22"/>
                <w:szCs w:val="22"/>
                <w:shd w:val="clear" w:color="auto" w:fill="FFFFFF"/>
              </w:rPr>
            </w:pPr>
            <w:r w:rsidRPr="007C7AED">
              <w:rPr>
                <w:sz w:val="22"/>
                <w:szCs w:val="22"/>
                <w:shd w:val="clear" w:color="auto" w:fill="FFFFFF"/>
              </w:rPr>
              <w:t>18) величина дефіциту або профіциту коштів у частині надходжень та витрат, пов'язаних з наданням послуг з приєднання електроустановок замовників до електричних мереж, що надані у звітному періоді (за календарний рік), яка визначається відповідно до методики (порядку) формування плати за приєднання до системи передачі та системи розподілу та підтверджується звітністю та первинними документами;</w:t>
            </w:r>
          </w:p>
          <w:p w:rsidR="007F4594" w:rsidRPr="007C7AED" w:rsidRDefault="007F4594" w:rsidP="007F4594">
            <w:pPr>
              <w:ind w:firstLine="308"/>
              <w:jc w:val="both"/>
              <w:rPr>
                <w:b/>
                <w:strike/>
                <w:sz w:val="22"/>
                <w:szCs w:val="22"/>
                <w:shd w:val="clear" w:color="auto" w:fill="FFFFFF"/>
              </w:rPr>
            </w:pPr>
            <w:r w:rsidRPr="007C7AED">
              <w:rPr>
                <w:b/>
                <w:strike/>
                <w:sz w:val="22"/>
                <w:szCs w:val="22"/>
                <w:shd w:val="clear" w:color="auto" w:fill="FFFFFF"/>
              </w:rPr>
              <w:t>При розрахунку величини дефіциту або профіциту коштів фактичні капітальні витрати, понесені під час надання послуг за приєднання, за якими зафіксовано дефіцит коштів, приймаються рівними нулю, якщо ОСР порушено строки надання цих послуг, визначені нормативно-правовими актами та/або договором;</w:t>
            </w:r>
          </w:p>
          <w:p w:rsidR="007F4594" w:rsidRPr="007C7AED" w:rsidRDefault="007F4594" w:rsidP="007F4594">
            <w:pPr>
              <w:ind w:firstLine="308"/>
              <w:jc w:val="both"/>
              <w:rPr>
                <w:i/>
                <w:sz w:val="22"/>
                <w:szCs w:val="22"/>
                <w:shd w:val="clear" w:color="auto" w:fill="FFFFFF"/>
              </w:rPr>
            </w:pPr>
          </w:p>
          <w:p w:rsidR="007F4594" w:rsidRPr="007C7AED" w:rsidRDefault="007F4594" w:rsidP="007F4594">
            <w:pPr>
              <w:ind w:firstLine="308"/>
              <w:jc w:val="both"/>
              <w:rPr>
                <w:i/>
                <w:sz w:val="22"/>
                <w:szCs w:val="22"/>
                <w:shd w:val="clear" w:color="auto" w:fill="FFFFFF"/>
              </w:rPr>
            </w:pPr>
            <w:r>
              <w:rPr>
                <w:i/>
                <w:sz w:val="22"/>
                <w:szCs w:val="22"/>
                <w:shd w:val="clear" w:color="auto" w:fill="FFFFFF"/>
              </w:rPr>
              <w:t xml:space="preserve">ОБҐРУНТУВАННЯ </w:t>
            </w:r>
            <w:r w:rsidRPr="00E23D77">
              <w:rPr>
                <w:i/>
                <w:sz w:val="22"/>
                <w:szCs w:val="22"/>
                <w:shd w:val="clear" w:color="auto" w:fill="FFFFFF"/>
              </w:rPr>
              <w:t>АТ «ПРИКАРПАТТЯОБЛЕНЕРГО</w:t>
            </w:r>
            <w:r w:rsidRPr="007C7AED">
              <w:rPr>
                <w:i/>
                <w:sz w:val="22"/>
                <w:szCs w:val="22"/>
                <w:shd w:val="clear" w:color="auto" w:fill="FFFFFF"/>
              </w:rPr>
              <w:t>»:</w:t>
            </w:r>
          </w:p>
          <w:p w:rsidR="007F4594" w:rsidRPr="0060018A" w:rsidRDefault="007F4594" w:rsidP="007F4594">
            <w:pPr>
              <w:tabs>
                <w:tab w:val="left" w:pos="993"/>
              </w:tabs>
              <w:ind w:firstLine="709"/>
              <w:jc w:val="both"/>
              <w:rPr>
                <w:bCs/>
                <w:i/>
                <w:sz w:val="22"/>
                <w:szCs w:val="22"/>
              </w:rPr>
            </w:pPr>
            <w:r w:rsidRPr="0060018A">
              <w:rPr>
                <w:bCs/>
                <w:i/>
                <w:sz w:val="22"/>
                <w:szCs w:val="22"/>
              </w:rPr>
              <w:lastRenderedPageBreak/>
              <w:t>У даний час порядок приєднання нових електроустановок, а також технічного переоснащення (зміни технічних параметрів електричних мереж системи розподілу) визначено Законом України «Про ринок електричної енергії», Кодексом системи розподілу, Постановою НКРЕКП від 26.03.2022 № 352 «</w:t>
            </w:r>
            <w:r w:rsidRPr="0060018A">
              <w:rPr>
                <w:i/>
                <w:sz w:val="22"/>
                <w:szCs w:val="22"/>
                <w:shd w:val="clear" w:color="auto" w:fill="FFFFFF"/>
              </w:rPr>
              <w:t xml:space="preserve">Про особливості тимчасового приєднання електроустановок до </w:t>
            </w:r>
            <w:r w:rsidRPr="0060018A">
              <w:rPr>
                <w:bCs/>
                <w:i/>
                <w:sz w:val="22"/>
                <w:szCs w:val="22"/>
              </w:rPr>
              <w:t>системи розподілу у період дії в Україні воєнного стану», а також Методикою (порядком) формування плати за приєднання до системи передачі та системи розподілу, затвердженою постановою НКРЕКП від 18.12.2018  № 1965 (далі - Методика).</w:t>
            </w:r>
          </w:p>
          <w:p w:rsidR="007F4594" w:rsidRPr="0060018A" w:rsidRDefault="007F4594" w:rsidP="007F4594">
            <w:pPr>
              <w:tabs>
                <w:tab w:val="left" w:pos="993"/>
              </w:tabs>
              <w:ind w:firstLine="709"/>
              <w:jc w:val="both"/>
              <w:rPr>
                <w:i/>
                <w:sz w:val="22"/>
                <w:szCs w:val="22"/>
                <w:shd w:val="clear" w:color="auto" w:fill="FFFFFF"/>
              </w:rPr>
            </w:pPr>
            <w:r w:rsidRPr="0060018A">
              <w:rPr>
                <w:bCs/>
                <w:i/>
                <w:sz w:val="22"/>
                <w:szCs w:val="22"/>
              </w:rPr>
              <w:t xml:space="preserve">Порядок визначення величини </w:t>
            </w:r>
            <w:r w:rsidRPr="0060018A">
              <w:rPr>
                <w:i/>
                <w:sz w:val="22"/>
                <w:szCs w:val="22"/>
                <w:shd w:val="clear" w:color="auto" w:fill="FFFFFF"/>
              </w:rPr>
              <w:t xml:space="preserve">дефіциту або профіциту коштів щодо надходжень та витрат, пов'язаних з наданням послуг зі стандартних приєднань регламентовано пунктами 3.4-3.6 Методики, а також пунктами 4.5, 4.6 та 5.7 Методики – для нестандартних приєднань. При цьому, дані пункти вже передбачають коефіцієнти оптимізації витрат, однак вилучення капітальних витрат чи їх приведення до нуля Методика не передбачає. Як наслідок, впровадження такого підходу при здійсненні планового заходу із проведення ліцензійного контролю </w:t>
            </w:r>
            <w:r w:rsidRPr="0060018A">
              <w:rPr>
                <w:b/>
                <w:i/>
                <w:sz w:val="22"/>
                <w:szCs w:val="22"/>
                <w:shd w:val="clear" w:color="auto" w:fill="FFFFFF"/>
              </w:rPr>
              <w:t>прямо суперечитиме чинному законодавству</w:t>
            </w:r>
            <w:r w:rsidRPr="0060018A">
              <w:rPr>
                <w:i/>
                <w:sz w:val="22"/>
                <w:szCs w:val="22"/>
                <w:shd w:val="clear" w:color="auto" w:fill="FFFFFF"/>
              </w:rPr>
              <w:t>.</w:t>
            </w:r>
          </w:p>
          <w:p w:rsidR="007F4594" w:rsidRPr="0060018A" w:rsidRDefault="007F4594" w:rsidP="007F4594">
            <w:pPr>
              <w:tabs>
                <w:tab w:val="left" w:pos="993"/>
              </w:tabs>
              <w:ind w:firstLine="709"/>
              <w:jc w:val="both"/>
              <w:rPr>
                <w:i/>
                <w:sz w:val="22"/>
                <w:szCs w:val="22"/>
                <w:shd w:val="clear" w:color="auto" w:fill="FFFFFF"/>
              </w:rPr>
            </w:pPr>
            <w:r w:rsidRPr="0060018A">
              <w:rPr>
                <w:i/>
                <w:sz w:val="22"/>
                <w:szCs w:val="22"/>
                <w:shd w:val="clear" w:color="auto" w:fill="FFFFFF"/>
              </w:rPr>
              <w:t>Крім того, відповідно до норм частини 20 Статті 21 Закону України «Про р</w:t>
            </w:r>
            <w:r w:rsidRPr="0060018A">
              <w:rPr>
                <w:i/>
                <w:color w:val="000000"/>
                <w:sz w:val="22"/>
                <w:szCs w:val="22"/>
                <w:shd w:val="clear" w:color="auto" w:fill="FFFFFF"/>
              </w:rPr>
              <w:t>инок е</w:t>
            </w:r>
            <w:r w:rsidRPr="0060018A">
              <w:rPr>
                <w:i/>
                <w:sz w:val="22"/>
                <w:szCs w:val="22"/>
                <w:shd w:val="clear" w:color="auto" w:fill="FFFFFF"/>
              </w:rPr>
              <w:t>лектричної енергії» Регулятор в обов’язковому порядку здійснює перевірку обґрунтованості та достовірності відображених у зазначеному звіті розмірів фактичних витрат оператора системи передачі та оператора системи розподілу на </w:t>
            </w:r>
            <w:bookmarkStart w:id="2" w:name="w1_182"/>
            <w:r w:rsidRPr="0060018A">
              <w:rPr>
                <w:i/>
                <w:sz w:val="22"/>
                <w:szCs w:val="22"/>
                <w:shd w:val="clear" w:color="auto" w:fill="FFFFFF"/>
              </w:rPr>
              <w:fldChar w:fldCharType="begin"/>
            </w:r>
            <w:r w:rsidRPr="0060018A">
              <w:rPr>
                <w:i/>
                <w:sz w:val="22"/>
                <w:szCs w:val="22"/>
                <w:shd w:val="clear" w:color="auto" w:fill="FFFFFF"/>
              </w:rPr>
              <w:instrText xml:space="preserve"> HYPERLINK "https://zakon.rada.gov.ua/rada/show/2019-19?ed=20250828&amp;find=1&amp;text=%D0%BF%D1%80%D0%B8%D1%94%D0%B4%D0%BD%D0%B0%D0%BD%D0%BD%D1%8F" \l "w1_183" </w:instrText>
            </w:r>
            <w:r w:rsidRPr="0060018A">
              <w:rPr>
                <w:i/>
                <w:sz w:val="22"/>
                <w:szCs w:val="22"/>
                <w:shd w:val="clear" w:color="auto" w:fill="FFFFFF"/>
              </w:rPr>
              <w:fldChar w:fldCharType="separate"/>
            </w:r>
            <w:r w:rsidRPr="0060018A">
              <w:rPr>
                <w:i/>
                <w:sz w:val="22"/>
                <w:szCs w:val="22"/>
                <w:shd w:val="clear" w:color="auto" w:fill="FFFFFF"/>
              </w:rPr>
              <w:t>приєднання</w:t>
            </w:r>
            <w:r w:rsidRPr="0060018A">
              <w:rPr>
                <w:i/>
                <w:sz w:val="22"/>
                <w:szCs w:val="22"/>
                <w:shd w:val="clear" w:color="auto" w:fill="FFFFFF"/>
              </w:rPr>
              <w:fldChar w:fldCharType="end"/>
            </w:r>
            <w:bookmarkEnd w:id="2"/>
            <w:r w:rsidRPr="0060018A">
              <w:rPr>
                <w:i/>
                <w:sz w:val="22"/>
                <w:szCs w:val="22"/>
                <w:shd w:val="clear" w:color="auto" w:fill="FFFFFF"/>
              </w:rPr>
              <w:t xml:space="preserve"> електроустановок замовників до електричних мереж, отже якщо НКРЕКП при здійсненні перевірки дотримання операторами системи розподілу виявить необґрунтовані капітальні витрати – то дані витрати можуть </w:t>
            </w:r>
            <w:r w:rsidRPr="0060018A">
              <w:rPr>
                <w:i/>
                <w:sz w:val="22"/>
                <w:szCs w:val="22"/>
                <w:shd w:val="clear" w:color="auto" w:fill="FFFFFF"/>
              </w:rPr>
              <w:lastRenderedPageBreak/>
              <w:t xml:space="preserve">бути вилучені із структури дефіциту або профіциту коштів щодо надходжень та витрат, пов'язаних з наданням послуг з приєднання. </w:t>
            </w:r>
          </w:p>
          <w:p w:rsidR="007F4594" w:rsidRPr="0060018A" w:rsidRDefault="007F4594" w:rsidP="007F4594">
            <w:pPr>
              <w:tabs>
                <w:tab w:val="left" w:pos="993"/>
              </w:tabs>
              <w:ind w:firstLine="709"/>
              <w:jc w:val="both"/>
              <w:rPr>
                <w:bCs/>
                <w:i/>
                <w:sz w:val="22"/>
                <w:szCs w:val="22"/>
              </w:rPr>
            </w:pPr>
            <w:r w:rsidRPr="0060018A">
              <w:rPr>
                <w:i/>
                <w:sz w:val="22"/>
                <w:szCs w:val="22"/>
                <w:shd w:val="clear" w:color="auto" w:fill="FFFFFF"/>
              </w:rPr>
              <w:t xml:space="preserve">Разом із тим,  нормами пункту 4.2.6 та </w:t>
            </w:r>
            <w:r w:rsidRPr="0060018A">
              <w:rPr>
                <w:i/>
                <w:sz w:val="22"/>
                <w:szCs w:val="22"/>
              </w:rPr>
              <w:t xml:space="preserve">пункту 4.3.3 глави 4.3 розділу IV </w:t>
            </w:r>
            <w:r w:rsidRPr="0060018A">
              <w:rPr>
                <w:i/>
                <w:sz w:val="22"/>
                <w:szCs w:val="22"/>
                <w:shd w:val="clear" w:color="auto" w:fill="FFFFFF"/>
              </w:rPr>
              <w:t>Кодексу систем розподілу передбачена відповідальність ОСР у разі порушення термінів надання послуг з приєднання. Згідно з ними, у разі порушення строку надання послуги без об’єктивних на це причин та не продовження строку надання послуги (із відображенням даної згоди із замовником у договірних відносинах) – ОСР після звернення Замовника повертає йому кошти, сплачені як плата за приєднання (при цьому якщо порушення строку перевищує 120 днів – повертає 100 % сплачених коштів).</w:t>
            </w:r>
          </w:p>
          <w:p w:rsidR="007F4594" w:rsidRPr="0060018A" w:rsidRDefault="007F4594" w:rsidP="007F4594">
            <w:pPr>
              <w:shd w:val="clear" w:color="auto" w:fill="FFFFFF"/>
              <w:ind w:firstLine="709"/>
              <w:jc w:val="both"/>
              <w:rPr>
                <w:i/>
                <w:sz w:val="22"/>
                <w:szCs w:val="22"/>
                <w:lang w:eastAsia="uk-UA"/>
              </w:rPr>
            </w:pPr>
            <w:r w:rsidRPr="0060018A">
              <w:rPr>
                <w:bCs/>
                <w:i/>
                <w:sz w:val="22"/>
                <w:szCs w:val="22"/>
              </w:rPr>
              <w:t xml:space="preserve">Також, змінами до КСР від </w:t>
            </w:r>
            <w:r w:rsidRPr="0060018A">
              <w:rPr>
                <w:i/>
                <w:iCs/>
                <w:sz w:val="22"/>
                <w:szCs w:val="22"/>
                <w:lang w:eastAsia="uk-UA"/>
              </w:rPr>
              <w:t xml:space="preserve">29.07.2025, внесеними до пункту </w:t>
            </w:r>
            <w:r w:rsidRPr="0060018A">
              <w:rPr>
                <w:i/>
                <w:sz w:val="22"/>
                <w:szCs w:val="22"/>
                <w:lang w:eastAsia="uk-UA"/>
              </w:rPr>
              <w:t xml:space="preserve">4.3.3 глави 4.3 розділу IV КСР </w:t>
            </w:r>
            <w:r w:rsidRPr="0060018A">
              <w:rPr>
                <w:i/>
                <w:iCs/>
                <w:sz w:val="22"/>
                <w:szCs w:val="22"/>
                <w:lang w:eastAsia="uk-UA"/>
              </w:rPr>
              <w:t>Постановою НКРЕКП № 1145, Регулятором встановлено значно жорсткіші умови в</w:t>
            </w:r>
            <w:r w:rsidRPr="0060018A">
              <w:rPr>
                <w:i/>
                <w:sz w:val="22"/>
                <w:szCs w:val="22"/>
                <w:lang w:eastAsia="uk-UA"/>
              </w:rPr>
              <w:t>несення сторонами змін до договору про приєднання, у тому числі щодо зміни форми та порядку розрахунків вартості послуг з приєднання, строку дії договору про приєднання. Після цього внесення змін в договір про приєднання  на умовах та у порядку, що не передбачені вимогами КСР та Закону України «Про ринок електричної енергії», не допускається.</w:t>
            </w:r>
          </w:p>
          <w:p w:rsidR="007F4594" w:rsidRPr="0060018A" w:rsidRDefault="007F4594" w:rsidP="007F4594">
            <w:pPr>
              <w:shd w:val="clear" w:color="auto" w:fill="FFFFFF"/>
              <w:ind w:firstLine="709"/>
              <w:jc w:val="both"/>
              <w:rPr>
                <w:i/>
                <w:sz w:val="22"/>
                <w:szCs w:val="22"/>
                <w:lang w:eastAsia="uk-UA"/>
              </w:rPr>
            </w:pPr>
            <w:r w:rsidRPr="0060018A">
              <w:rPr>
                <w:i/>
                <w:sz w:val="22"/>
                <w:szCs w:val="22"/>
                <w:lang w:eastAsia="uk-UA"/>
              </w:rPr>
              <w:t>Додатково, минуло року відбулись зміни і доповнення КСР (</w:t>
            </w:r>
            <w:r w:rsidRPr="0060018A">
              <w:rPr>
                <w:i/>
                <w:iCs/>
                <w:sz w:val="22"/>
                <w:szCs w:val="22"/>
                <w:lang w:eastAsia="uk-UA"/>
              </w:rPr>
              <w:t>пункт 4.2.4 глави 4.2 розділу IV</w:t>
            </w:r>
            <w:r w:rsidRPr="0060018A">
              <w:rPr>
                <w:i/>
                <w:sz w:val="22"/>
                <w:szCs w:val="22"/>
                <w:lang w:eastAsia="uk-UA"/>
              </w:rPr>
              <w:t xml:space="preserve">), щодо процедур збільшення строку надання послуги зі стандартного приєднання, для реалізації якого ОСР здійснює будівництво нових електричних мереж від точки забезпечення потужності до точки приєднання, які також посилили відповідальність ОСР за вчасність надання послуги з приєднання. Так, у разі необхідності збільшення строку надання послуги зі стандартного приєднання, ОСР не пізніше ніж за 10 календарних </w:t>
            </w:r>
            <w:r w:rsidRPr="0060018A">
              <w:rPr>
                <w:i/>
                <w:sz w:val="22"/>
                <w:szCs w:val="22"/>
                <w:lang w:eastAsia="uk-UA"/>
              </w:rPr>
              <w:lastRenderedPageBreak/>
              <w:t xml:space="preserve">днів до закінчення строку надання послуги зі стандартного приєднання письмово через особистий кабінет замовника, на електронну адресу та у разі наявності в заяві про приєднання відповідної відмітки – на поштову адресу, повідомляє замовника про збільшення строку надання послуги зі стандартного приєднання </w:t>
            </w:r>
            <w:r w:rsidRPr="0060018A">
              <w:rPr>
                <w:b/>
                <w:i/>
                <w:sz w:val="22"/>
                <w:szCs w:val="22"/>
                <w:lang w:eastAsia="uk-UA"/>
              </w:rPr>
              <w:t>не більше ніж на 30 календарних днів</w:t>
            </w:r>
            <w:r w:rsidRPr="0060018A">
              <w:rPr>
                <w:i/>
                <w:sz w:val="22"/>
                <w:szCs w:val="22"/>
                <w:lang w:eastAsia="uk-UA"/>
              </w:rPr>
              <w:t xml:space="preserve">. При цьому, строк надання послуги зі стандартного приєднання може бути збільшений згідно з вимогами цього абзацу у разі, якщо за таким стандартним приєднанням строк не збільшувався з інших підстав, визначених цим пунктом, а загальна сумарна кількість днів, на яку може бути збільшено строк надання послуги зі стандартного приєднання з підстав, визначених у пункті </w:t>
            </w:r>
            <w:r w:rsidRPr="0060018A">
              <w:rPr>
                <w:i/>
                <w:iCs/>
                <w:sz w:val="22"/>
                <w:szCs w:val="22"/>
                <w:lang w:eastAsia="uk-UA"/>
              </w:rPr>
              <w:t>4.2.4 глави 4.2 розділу IV КСР</w:t>
            </w:r>
            <w:r w:rsidRPr="0060018A">
              <w:rPr>
                <w:i/>
                <w:sz w:val="22"/>
                <w:szCs w:val="22"/>
                <w:lang w:eastAsia="uk-UA"/>
              </w:rPr>
              <w:t xml:space="preserve">, </w:t>
            </w:r>
            <w:r w:rsidRPr="0060018A">
              <w:rPr>
                <w:b/>
                <w:i/>
                <w:sz w:val="22"/>
                <w:szCs w:val="22"/>
                <w:lang w:eastAsia="uk-UA"/>
              </w:rPr>
              <w:t>не може перевищувати 60 календарних днів</w:t>
            </w:r>
            <w:r w:rsidRPr="0060018A">
              <w:rPr>
                <w:i/>
                <w:sz w:val="22"/>
                <w:szCs w:val="22"/>
                <w:lang w:eastAsia="uk-UA"/>
              </w:rPr>
              <w:t>.</w:t>
            </w:r>
          </w:p>
          <w:p w:rsidR="007F4594" w:rsidRPr="0060018A" w:rsidRDefault="007F4594" w:rsidP="007F4594">
            <w:pPr>
              <w:shd w:val="clear" w:color="auto" w:fill="FFFFFF"/>
              <w:ind w:firstLine="709"/>
              <w:jc w:val="both"/>
              <w:rPr>
                <w:i/>
                <w:sz w:val="22"/>
                <w:szCs w:val="22"/>
                <w:lang w:eastAsia="uk-UA"/>
              </w:rPr>
            </w:pPr>
            <w:bookmarkStart w:id="3" w:name="n5450"/>
            <w:bookmarkStart w:id="4" w:name="n4838"/>
            <w:bookmarkEnd w:id="3"/>
            <w:bookmarkEnd w:id="4"/>
            <w:r w:rsidRPr="0060018A">
              <w:rPr>
                <w:i/>
                <w:iCs/>
                <w:sz w:val="22"/>
                <w:szCs w:val="22"/>
                <w:lang w:eastAsia="uk-UA"/>
              </w:rPr>
              <w:t>Крім цього, у</w:t>
            </w:r>
            <w:r w:rsidRPr="0060018A">
              <w:rPr>
                <w:i/>
                <w:sz w:val="22"/>
                <w:szCs w:val="22"/>
                <w:lang w:eastAsia="uk-UA"/>
              </w:rPr>
              <w:t xml:space="preserve"> разі необхідності здійснення заходів щодо відведення земельних ділянок для розміщення відповідних об'єктів електроенергетики - загальна сумарна кількість днів, на яку може бути збільшено строк надання послуги зі стандартного приєднання, не може перевищувати відповідно 240 календарних днів.</w:t>
            </w:r>
          </w:p>
          <w:p w:rsidR="007F4594" w:rsidRPr="0060018A" w:rsidRDefault="007F4594" w:rsidP="007F4594">
            <w:pPr>
              <w:shd w:val="clear" w:color="auto" w:fill="FFFFFF"/>
              <w:ind w:firstLine="709"/>
              <w:jc w:val="both"/>
              <w:rPr>
                <w:i/>
                <w:sz w:val="22"/>
                <w:szCs w:val="22"/>
                <w:lang w:eastAsia="uk-UA"/>
              </w:rPr>
            </w:pPr>
            <w:r w:rsidRPr="0060018A">
              <w:rPr>
                <w:i/>
                <w:sz w:val="22"/>
                <w:szCs w:val="22"/>
                <w:lang w:eastAsia="uk-UA"/>
              </w:rPr>
              <w:t xml:space="preserve">Отже, на думку АТ «Прикарпаттяобленерго» на сьогодні відповідальність оператора системи розподілу перед Замовником у разі недотримання строків надання послуги з приєднання є достатньо високою та містить дієвий механізм компенсації коштів сплачених Замовником, як плата за приєднання, та притягнення ОСР до відповідальності. </w:t>
            </w:r>
          </w:p>
          <w:p w:rsidR="007F4594" w:rsidRPr="0060018A" w:rsidRDefault="007F4594" w:rsidP="007F4594">
            <w:pPr>
              <w:shd w:val="clear" w:color="auto" w:fill="FFFFFF"/>
              <w:ind w:firstLine="709"/>
              <w:jc w:val="both"/>
              <w:rPr>
                <w:bCs/>
                <w:i/>
                <w:sz w:val="22"/>
                <w:szCs w:val="22"/>
              </w:rPr>
            </w:pPr>
            <w:r w:rsidRPr="0060018A">
              <w:rPr>
                <w:i/>
                <w:sz w:val="22"/>
                <w:szCs w:val="22"/>
                <w:lang w:eastAsia="uk-UA"/>
              </w:rPr>
              <w:t xml:space="preserve">Варто також зауважити, що </w:t>
            </w:r>
            <w:r w:rsidRPr="0060018A">
              <w:rPr>
                <w:bCs/>
                <w:i/>
                <w:sz w:val="22"/>
                <w:szCs w:val="22"/>
              </w:rPr>
              <w:t xml:space="preserve">в додаток до </w:t>
            </w:r>
            <w:proofErr w:type="spellStart"/>
            <w:r w:rsidRPr="0060018A">
              <w:rPr>
                <w:bCs/>
                <w:i/>
                <w:sz w:val="22"/>
                <w:szCs w:val="22"/>
              </w:rPr>
              <w:t>вищепереліченого</w:t>
            </w:r>
            <w:proofErr w:type="spellEnd"/>
            <w:r w:rsidRPr="0060018A">
              <w:rPr>
                <w:bCs/>
                <w:i/>
                <w:sz w:val="22"/>
                <w:szCs w:val="22"/>
              </w:rPr>
              <w:t xml:space="preserve">, відповідно до пункту </w:t>
            </w:r>
            <w:r w:rsidRPr="0060018A">
              <w:rPr>
                <w:i/>
                <w:sz w:val="22"/>
                <w:szCs w:val="22"/>
                <w:lang w:eastAsia="uk-UA"/>
              </w:rPr>
              <w:t xml:space="preserve">13 Постанови НКРЕКП № 352 від 26.03.2022, - на період дії в Україні воєнного стану, Регулятором передбачено ряд умов, при яких за результатами проведеного НКРЕКП заходу державного </w:t>
            </w:r>
            <w:r w:rsidRPr="0060018A">
              <w:rPr>
                <w:i/>
                <w:sz w:val="22"/>
                <w:szCs w:val="22"/>
                <w:lang w:eastAsia="uk-UA"/>
              </w:rPr>
              <w:lastRenderedPageBreak/>
              <w:t>контролю за період діяльності, починаючи з 2023 року, фактичні капітальні витрати, понесені під час надання послуги за j-те приєднання, за якими зафіксовано дефіцит коштів, приймаються рівними нулю</w:t>
            </w:r>
            <w:bookmarkStart w:id="5" w:name="2380"/>
            <w:bookmarkEnd w:id="5"/>
            <w:r w:rsidRPr="0060018A">
              <w:rPr>
                <w:i/>
                <w:sz w:val="22"/>
                <w:szCs w:val="22"/>
                <w:lang w:eastAsia="uk-UA"/>
              </w:rPr>
              <w:t xml:space="preserve"> (в разі невідповідності проектної документації; неповноти документів доданих до заяви приєднання; некоректного визначення типу приєднання; надання послуги зі стандартного приєднання становить понад 730 днів; відображення витрат на інші цілі, не пов'язані зі створенням технічної можливості для прийому (передачі) у місце приєднання електроустановки замовника відповідної потужності з дотриманням показників її якості та надійності; створення резерву потужності в обладнанні понад 50 % без обґрунтування з відповідними розрахунками необхідності створення такого резерву потужності в ПКД; ін.). </w:t>
            </w:r>
          </w:p>
          <w:p w:rsidR="007F4594" w:rsidRPr="0060018A" w:rsidRDefault="007F4594" w:rsidP="007F4594">
            <w:pPr>
              <w:tabs>
                <w:tab w:val="left" w:pos="993"/>
              </w:tabs>
              <w:ind w:firstLine="709"/>
              <w:jc w:val="both"/>
              <w:rPr>
                <w:bCs/>
                <w:i/>
                <w:sz w:val="22"/>
                <w:szCs w:val="22"/>
              </w:rPr>
            </w:pPr>
            <w:r w:rsidRPr="0060018A">
              <w:rPr>
                <w:bCs/>
                <w:i/>
                <w:sz w:val="22"/>
                <w:szCs w:val="22"/>
              </w:rPr>
              <w:t xml:space="preserve">При цьому, на думку Товариства Регулятору, при проведенні заходів із ліцензійного контролю, доцільно не тільки перевіряти дотримання операторами системи розподілу численних та жорстких вимог щодо приєднання електроустановок Замовників, але й брати до уваги фактори, які протягом останніх років мають суттєвий вплив на можливості ОСР щодо якості та вчасності надання послуг з приєднання, зокрема:   </w:t>
            </w:r>
          </w:p>
          <w:p w:rsidR="007F4594" w:rsidRPr="0060018A" w:rsidRDefault="007F4594" w:rsidP="007F4594">
            <w:pPr>
              <w:numPr>
                <w:ilvl w:val="0"/>
                <w:numId w:val="28"/>
              </w:numPr>
              <w:tabs>
                <w:tab w:val="left" w:pos="993"/>
              </w:tabs>
              <w:ind w:left="0" w:firstLine="709"/>
              <w:jc w:val="both"/>
              <w:rPr>
                <w:bCs/>
                <w:i/>
                <w:sz w:val="22"/>
                <w:szCs w:val="22"/>
              </w:rPr>
            </w:pPr>
            <w:r w:rsidRPr="0060018A">
              <w:rPr>
                <w:bCs/>
                <w:i/>
                <w:sz w:val="22"/>
                <w:szCs w:val="22"/>
              </w:rPr>
              <w:t>складність комунікації із замовниками та труднощі, а місцями відсутність Замовника на території України, пов’язана із введенням  на території України воєнного стану;</w:t>
            </w:r>
          </w:p>
          <w:p w:rsidR="007F4594" w:rsidRPr="0060018A" w:rsidRDefault="007F4594" w:rsidP="007F4594">
            <w:pPr>
              <w:numPr>
                <w:ilvl w:val="0"/>
                <w:numId w:val="28"/>
              </w:numPr>
              <w:tabs>
                <w:tab w:val="left" w:pos="993"/>
              </w:tabs>
              <w:ind w:left="0" w:firstLine="709"/>
              <w:jc w:val="both"/>
              <w:rPr>
                <w:bCs/>
                <w:i/>
                <w:sz w:val="22"/>
                <w:szCs w:val="22"/>
              </w:rPr>
            </w:pPr>
            <w:r w:rsidRPr="0060018A">
              <w:rPr>
                <w:bCs/>
                <w:i/>
                <w:sz w:val="22"/>
                <w:szCs w:val="22"/>
              </w:rPr>
              <w:t>труднощі в процесі відведення земельних ділянок, для розміщення об’єктів енергетики, у зв’язку із нестабільною роботою органів місцевого самоврядування та фізичною відсутністю суміжних землевласників, що призводить до збільшення строку виконання вишукувальних та проєктних робіт;</w:t>
            </w:r>
          </w:p>
          <w:p w:rsidR="007F4594" w:rsidRPr="0060018A" w:rsidRDefault="007F4594" w:rsidP="007F4594">
            <w:pPr>
              <w:numPr>
                <w:ilvl w:val="0"/>
                <w:numId w:val="28"/>
              </w:numPr>
              <w:tabs>
                <w:tab w:val="left" w:pos="993"/>
              </w:tabs>
              <w:ind w:left="0" w:firstLine="709"/>
              <w:jc w:val="both"/>
              <w:rPr>
                <w:bCs/>
                <w:i/>
                <w:sz w:val="22"/>
                <w:szCs w:val="22"/>
              </w:rPr>
            </w:pPr>
            <w:r w:rsidRPr="0060018A">
              <w:rPr>
                <w:bCs/>
                <w:i/>
                <w:sz w:val="22"/>
                <w:szCs w:val="22"/>
              </w:rPr>
              <w:lastRenderedPageBreak/>
              <w:t>дефіцит кадрів як в ОСР так і у підрядника;</w:t>
            </w:r>
          </w:p>
          <w:p w:rsidR="007F4594" w:rsidRPr="0060018A" w:rsidRDefault="007F4594" w:rsidP="007F4594">
            <w:pPr>
              <w:numPr>
                <w:ilvl w:val="0"/>
                <w:numId w:val="28"/>
              </w:numPr>
              <w:tabs>
                <w:tab w:val="left" w:pos="993"/>
              </w:tabs>
              <w:ind w:left="0" w:firstLine="709"/>
              <w:jc w:val="both"/>
              <w:rPr>
                <w:bCs/>
                <w:i/>
                <w:sz w:val="22"/>
                <w:szCs w:val="22"/>
              </w:rPr>
            </w:pPr>
            <w:r w:rsidRPr="0060018A">
              <w:rPr>
                <w:bCs/>
                <w:i/>
                <w:sz w:val="22"/>
                <w:szCs w:val="22"/>
              </w:rPr>
              <w:t>систематичні перебої у виготовленні та постачанні матеріалів та обладнання (особливо через необхідність дотримання тендерних умов щодо локалізації виробничих потужностей на території України);</w:t>
            </w:r>
          </w:p>
          <w:p w:rsidR="007F4594" w:rsidRPr="0060018A" w:rsidRDefault="007F4594" w:rsidP="007F4594">
            <w:pPr>
              <w:numPr>
                <w:ilvl w:val="0"/>
                <w:numId w:val="28"/>
              </w:numPr>
              <w:tabs>
                <w:tab w:val="left" w:pos="993"/>
              </w:tabs>
              <w:ind w:left="0" w:firstLine="709"/>
              <w:jc w:val="both"/>
              <w:rPr>
                <w:bCs/>
                <w:i/>
                <w:sz w:val="22"/>
                <w:szCs w:val="22"/>
              </w:rPr>
            </w:pPr>
            <w:r w:rsidRPr="0060018A">
              <w:rPr>
                <w:bCs/>
                <w:i/>
                <w:sz w:val="22"/>
                <w:szCs w:val="22"/>
              </w:rPr>
              <w:t>систематичне зростання цін на обладнання і матеріали протягом року, яке не відображається при індексуванні рівня інфляції;</w:t>
            </w:r>
          </w:p>
          <w:p w:rsidR="007F4594" w:rsidRPr="0060018A" w:rsidRDefault="007F4594" w:rsidP="007F4594">
            <w:pPr>
              <w:numPr>
                <w:ilvl w:val="0"/>
                <w:numId w:val="28"/>
              </w:numPr>
              <w:tabs>
                <w:tab w:val="left" w:pos="993"/>
              </w:tabs>
              <w:ind w:left="0" w:firstLine="709"/>
              <w:jc w:val="both"/>
              <w:rPr>
                <w:bCs/>
                <w:i/>
                <w:sz w:val="22"/>
                <w:szCs w:val="22"/>
              </w:rPr>
            </w:pPr>
            <w:r w:rsidRPr="0060018A">
              <w:rPr>
                <w:bCs/>
                <w:i/>
                <w:sz w:val="22"/>
                <w:szCs w:val="22"/>
              </w:rPr>
              <w:t>різке збільшення кількості звернень за приєднанням в регіоні, пов’язане із переміщенням населення та бізнесу внаслідок бойових дій та військової агресії російської федерації;</w:t>
            </w:r>
          </w:p>
          <w:p w:rsidR="007F4594" w:rsidRPr="0060018A" w:rsidRDefault="007F4594" w:rsidP="007F4594">
            <w:pPr>
              <w:numPr>
                <w:ilvl w:val="0"/>
                <w:numId w:val="28"/>
              </w:numPr>
              <w:tabs>
                <w:tab w:val="left" w:pos="993"/>
              </w:tabs>
              <w:ind w:left="0" w:firstLine="709"/>
              <w:jc w:val="both"/>
              <w:rPr>
                <w:bCs/>
                <w:i/>
                <w:sz w:val="22"/>
                <w:szCs w:val="22"/>
              </w:rPr>
            </w:pPr>
            <w:r w:rsidRPr="0060018A">
              <w:rPr>
                <w:bCs/>
                <w:i/>
                <w:sz w:val="22"/>
                <w:szCs w:val="22"/>
              </w:rPr>
              <w:t>непогодження суміжними землевласниками траси нового будівництва (реконструкції) діючих електричних мереж (пов’язані із необхідністю розширення охоронних зон) (при цьому ініціатива НКРЕКП щодо полегшення землевпорядних процесів для будівництва електричних мереж не набрала достатньої підтримки на рівні Міністерства та Верховної ради України);</w:t>
            </w:r>
          </w:p>
          <w:p w:rsidR="007F4594" w:rsidRPr="0060018A" w:rsidRDefault="007F4594" w:rsidP="007F4594">
            <w:pPr>
              <w:numPr>
                <w:ilvl w:val="0"/>
                <w:numId w:val="28"/>
              </w:numPr>
              <w:tabs>
                <w:tab w:val="left" w:pos="993"/>
              </w:tabs>
              <w:ind w:hanging="11"/>
              <w:jc w:val="both"/>
              <w:rPr>
                <w:bCs/>
                <w:i/>
                <w:sz w:val="22"/>
                <w:szCs w:val="22"/>
              </w:rPr>
            </w:pPr>
            <w:r w:rsidRPr="0060018A">
              <w:rPr>
                <w:bCs/>
                <w:i/>
                <w:sz w:val="22"/>
                <w:szCs w:val="22"/>
              </w:rPr>
              <w:t>відсутність під</w:t>
            </w:r>
            <w:r w:rsidRPr="0060018A">
              <w:rPr>
                <w:bCs/>
                <w:i/>
                <w:sz w:val="22"/>
                <w:szCs w:val="22"/>
                <w:lang w:val="ru-RU"/>
              </w:rPr>
              <w:t>’</w:t>
            </w:r>
            <w:proofErr w:type="spellStart"/>
            <w:r w:rsidRPr="0060018A">
              <w:rPr>
                <w:bCs/>
                <w:i/>
                <w:sz w:val="22"/>
                <w:szCs w:val="22"/>
              </w:rPr>
              <w:t>їзних</w:t>
            </w:r>
            <w:proofErr w:type="spellEnd"/>
            <w:r w:rsidRPr="0060018A">
              <w:rPr>
                <w:bCs/>
                <w:i/>
                <w:sz w:val="22"/>
                <w:szCs w:val="22"/>
              </w:rPr>
              <w:t xml:space="preserve"> доріг в гірських регіонах.</w:t>
            </w:r>
          </w:p>
          <w:p w:rsidR="007F4594" w:rsidRPr="0060018A" w:rsidRDefault="007F4594" w:rsidP="007F4594">
            <w:pPr>
              <w:tabs>
                <w:tab w:val="left" w:pos="993"/>
              </w:tabs>
              <w:ind w:firstLine="709"/>
              <w:jc w:val="both"/>
              <w:rPr>
                <w:bCs/>
                <w:i/>
                <w:sz w:val="22"/>
                <w:szCs w:val="22"/>
              </w:rPr>
            </w:pPr>
            <w:r w:rsidRPr="0060018A">
              <w:rPr>
                <w:bCs/>
                <w:i/>
                <w:sz w:val="22"/>
                <w:szCs w:val="22"/>
              </w:rPr>
              <w:t xml:space="preserve">У зв’язку із цим, запровадження додаткових штрафних санкцій до ОСР може призвести до значних фінансових збитків операторів системи розподілу та невиправних наслідків,  щодо діяльності учасників ринку електричної енергії. </w:t>
            </w:r>
          </w:p>
          <w:p w:rsidR="007F4594" w:rsidRPr="0060018A" w:rsidRDefault="007F4594" w:rsidP="007F4594">
            <w:pPr>
              <w:ind w:firstLine="308"/>
              <w:jc w:val="both"/>
              <w:rPr>
                <w:bCs/>
                <w:i/>
                <w:sz w:val="22"/>
                <w:szCs w:val="22"/>
              </w:rPr>
            </w:pPr>
            <w:r w:rsidRPr="0060018A">
              <w:rPr>
                <w:bCs/>
                <w:i/>
                <w:sz w:val="22"/>
                <w:szCs w:val="22"/>
              </w:rPr>
              <w:t xml:space="preserve">Підсумовуючи наведене, АТ «Прикарпаттяобленерго» вважає опрацьований проєкт постанови НКРЕКП щодо внесення змін до таких, що потребує  доопрацювання з балансуванням інтересів всіх зацікавлених сторін, в тому числі і операторів системи розподілу, які не дивлячись на численні виклики зумовлені впливом воєнного стану, докладають максимум зусиль для </w:t>
            </w:r>
            <w:r w:rsidRPr="0060018A">
              <w:rPr>
                <w:bCs/>
                <w:i/>
                <w:sz w:val="22"/>
                <w:szCs w:val="22"/>
              </w:rPr>
              <w:lastRenderedPageBreak/>
              <w:t>забезпечення потреб населення та бізнесу в електричній енергії та потужності, в тому числі при наданні послуг з приєднання електроустановок нових Замовників та існуючих користувачів.</w:t>
            </w:r>
          </w:p>
          <w:p w:rsidR="007F4594" w:rsidRDefault="007F4594" w:rsidP="007F4594">
            <w:pPr>
              <w:ind w:firstLine="308"/>
              <w:jc w:val="both"/>
              <w:rPr>
                <w:bCs/>
                <w:sz w:val="22"/>
                <w:szCs w:val="22"/>
              </w:rPr>
            </w:pPr>
          </w:p>
          <w:p w:rsidR="007F4594" w:rsidRDefault="007F4594" w:rsidP="007F4594">
            <w:pPr>
              <w:ind w:firstLine="308"/>
              <w:jc w:val="both"/>
              <w:rPr>
                <w:i/>
                <w:sz w:val="22"/>
                <w:szCs w:val="22"/>
                <w:shd w:val="clear" w:color="auto" w:fill="FFFFFF"/>
              </w:rPr>
            </w:pPr>
            <w:r>
              <w:rPr>
                <w:i/>
                <w:sz w:val="22"/>
                <w:szCs w:val="22"/>
                <w:shd w:val="clear" w:color="auto" w:fill="FFFFFF"/>
              </w:rPr>
              <w:t>ОБҐРУНТУВАННЯ</w:t>
            </w:r>
            <w:r w:rsidRPr="00BF0320">
              <w:rPr>
                <w:i/>
                <w:sz w:val="22"/>
                <w:szCs w:val="22"/>
                <w:shd w:val="clear" w:color="auto" w:fill="FFFFFF"/>
              </w:rPr>
              <w:t xml:space="preserve"> </w:t>
            </w:r>
            <w:r>
              <w:rPr>
                <w:i/>
                <w:sz w:val="22"/>
                <w:szCs w:val="22"/>
                <w:shd w:val="clear" w:color="auto" w:fill="FFFFFF"/>
              </w:rPr>
              <w:t>ПРАТ «РІВНЕОБЛЕНЕРГО»:</w:t>
            </w:r>
          </w:p>
          <w:p w:rsidR="007F4594" w:rsidRPr="0060018A" w:rsidRDefault="007F4594" w:rsidP="007F4594">
            <w:pPr>
              <w:ind w:firstLine="361"/>
              <w:jc w:val="both"/>
              <w:rPr>
                <w:i/>
                <w:sz w:val="22"/>
                <w:szCs w:val="22"/>
              </w:rPr>
            </w:pPr>
            <w:r w:rsidRPr="0060018A">
              <w:rPr>
                <w:i/>
                <w:sz w:val="22"/>
                <w:szCs w:val="22"/>
              </w:rPr>
              <w:t>Згідно зі ст. 3 Закону України «Про ринок електричної енергії», державне регулювання має базуватися на принципах прозорості, недискримінації та економічної обґрунтованості тарифів. Виключення фактично понесених та підтверджених витрат із розрахунку дефіциту/профіциту суперечить принципу повного відшкодування обґрунтованих витрат ОСР.</w:t>
            </w:r>
          </w:p>
          <w:p w:rsidR="007F4594" w:rsidRPr="0060018A" w:rsidRDefault="007F4594" w:rsidP="007F4594">
            <w:pPr>
              <w:ind w:firstLine="361"/>
              <w:jc w:val="both"/>
              <w:rPr>
                <w:i/>
                <w:sz w:val="22"/>
                <w:szCs w:val="22"/>
              </w:rPr>
            </w:pPr>
            <w:r w:rsidRPr="0060018A">
              <w:rPr>
                <w:i/>
                <w:sz w:val="22"/>
                <w:szCs w:val="22"/>
              </w:rPr>
              <w:t xml:space="preserve">Витрати на приєднання є </w:t>
            </w:r>
            <w:r w:rsidRPr="0060018A">
              <w:rPr>
                <w:bCs/>
                <w:i/>
                <w:sz w:val="22"/>
                <w:szCs w:val="22"/>
              </w:rPr>
              <w:t>фактичними та об'єктивними</w:t>
            </w:r>
            <w:r w:rsidRPr="0060018A">
              <w:rPr>
                <w:i/>
                <w:sz w:val="22"/>
                <w:szCs w:val="22"/>
              </w:rPr>
              <w:t>.  Облік витрат – це відображення фактичних господарських операцій. Якщо капітальні витрати (CAPEX) були понесені (закуплено трансформатор, прокладено кабель), вони існують у фізичному та грошовому вимірі.</w:t>
            </w:r>
          </w:p>
          <w:p w:rsidR="007F4594" w:rsidRPr="0060018A" w:rsidRDefault="007F4594" w:rsidP="007F4594">
            <w:pPr>
              <w:ind w:firstLine="361"/>
              <w:jc w:val="both"/>
              <w:rPr>
                <w:i/>
                <w:sz w:val="22"/>
                <w:szCs w:val="22"/>
              </w:rPr>
            </w:pPr>
            <w:r w:rsidRPr="0060018A">
              <w:rPr>
                <w:i/>
                <w:sz w:val="22"/>
                <w:szCs w:val="22"/>
              </w:rPr>
              <w:t>Прирівнювання їх до «нуля» в розрахунках дефіциту призводить до штучного викривлення фінансового стану ОСР та формування недостовірної звітності, що не відображає фактичний рух коштів.</w:t>
            </w:r>
          </w:p>
          <w:p w:rsidR="007F4594" w:rsidRPr="0060018A" w:rsidRDefault="007F4594" w:rsidP="007F4594">
            <w:pPr>
              <w:ind w:firstLine="308"/>
              <w:jc w:val="both"/>
              <w:rPr>
                <w:bCs/>
                <w:i/>
                <w:sz w:val="22"/>
                <w:szCs w:val="22"/>
              </w:rPr>
            </w:pPr>
            <w:r w:rsidRPr="0060018A">
              <w:rPr>
                <w:i/>
                <w:sz w:val="22"/>
                <w:szCs w:val="22"/>
              </w:rPr>
              <w:t xml:space="preserve">Запровадження такого правила створює критичний дефіцит обігових коштів та </w:t>
            </w:r>
            <w:proofErr w:type="spellStart"/>
            <w:r w:rsidRPr="0060018A">
              <w:rPr>
                <w:i/>
                <w:sz w:val="22"/>
                <w:szCs w:val="22"/>
              </w:rPr>
              <w:t>демотивує</w:t>
            </w:r>
            <w:proofErr w:type="spellEnd"/>
            <w:r w:rsidRPr="0060018A">
              <w:rPr>
                <w:i/>
                <w:sz w:val="22"/>
                <w:szCs w:val="22"/>
              </w:rPr>
              <w:t xml:space="preserve"> ОСР завершувати «прострочені» об'єкти. Це не стимулює до вчасного надання послуг, а навпаки — консервує проблему недобудови, що прямо шкодить інтересам замовників та енергетичній безпеці регіонів.</w:t>
            </w:r>
          </w:p>
          <w:p w:rsidR="007F4594" w:rsidRPr="0060018A" w:rsidRDefault="007F4594" w:rsidP="007F4594">
            <w:pPr>
              <w:ind w:firstLine="308"/>
              <w:jc w:val="both"/>
              <w:rPr>
                <w:bCs/>
                <w:i/>
                <w:sz w:val="22"/>
                <w:szCs w:val="22"/>
              </w:rPr>
            </w:pPr>
          </w:p>
          <w:p w:rsidR="007F4594" w:rsidRDefault="007F4594" w:rsidP="007F4594">
            <w:pPr>
              <w:ind w:firstLine="308"/>
              <w:jc w:val="both"/>
              <w:rPr>
                <w:i/>
                <w:sz w:val="22"/>
                <w:szCs w:val="22"/>
                <w:shd w:val="clear" w:color="auto" w:fill="FFFFFF"/>
              </w:rPr>
            </w:pPr>
            <w:r>
              <w:rPr>
                <w:i/>
                <w:sz w:val="22"/>
                <w:szCs w:val="22"/>
                <w:shd w:val="clear" w:color="auto" w:fill="FFFFFF"/>
              </w:rPr>
              <w:t>ОБҐРУНТУВАННЯ</w:t>
            </w:r>
            <w:r w:rsidRPr="00BF0320">
              <w:rPr>
                <w:i/>
                <w:sz w:val="22"/>
                <w:szCs w:val="22"/>
                <w:shd w:val="clear" w:color="auto" w:fill="FFFFFF"/>
              </w:rPr>
              <w:t xml:space="preserve"> АТ «ЧЕРНІВЦІОБЛЕНЕРГО»</w:t>
            </w:r>
            <w:r>
              <w:rPr>
                <w:i/>
                <w:sz w:val="22"/>
                <w:szCs w:val="22"/>
                <w:shd w:val="clear" w:color="auto" w:fill="FFFFFF"/>
              </w:rPr>
              <w:t>:</w:t>
            </w:r>
          </w:p>
          <w:p w:rsidR="007F4594" w:rsidRPr="0060018A" w:rsidRDefault="007F4594" w:rsidP="007F4594">
            <w:pPr>
              <w:ind w:firstLine="308"/>
              <w:jc w:val="both"/>
              <w:rPr>
                <w:i/>
                <w:sz w:val="24"/>
                <w:szCs w:val="24"/>
              </w:rPr>
            </w:pPr>
            <w:r w:rsidRPr="0060018A">
              <w:rPr>
                <w:i/>
                <w:sz w:val="24"/>
                <w:szCs w:val="24"/>
              </w:rPr>
              <w:t xml:space="preserve">Приєднання щодо яких порушено строк надання послуги та яке являється дефіцитним в більшій мірі виникає в наслідок дій та </w:t>
            </w:r>
            <w:r w:rsidRPr="0060018A">
              <w:rPr>
                <w:i/>
                <w:sz w:val="24"/>
                <w:szCs w:val="24"/>
              </w:rPr>
              <w:lastRenderedPageBreak/>
              <w:t>обставин не залежних від ОСР. Основними причинами яких являється дія третіх сторін, природньо-кліматичні обставини (гірський регіони) тощо. Також Методикою (порядку) формування плати за приєднання до системи передачі та системи розподілу, затвердженої постановою НКРЕКП від 18.12.2018 №1965, передбачено можливість такими замовниками вимагати компенсацію за невчасно надані послуги. Тобто ОСР один раз уже несе відповідальність за недотримання строків. Слід зазначити, що у випадку впливу третіх сторін, ОСР надає замовнику компенсацію за невчасно надану послугу, однак у судовому порядку має можливість відшкодувати завдані ОСР збитки від третьої сторони.</w:t>
            </w:r>
          </w:p>
          <w:p w:rsidR="007F4594" w:rsidRPr="007C7AED" w:rsidRDefault="007F4594" w:rsidP="007F4594">
            <w:pPr>
              <w:ind w:firstLine="308"/>
              <w:jc w:val="both"/>
              <w:rPr>
                <w:i/>
                <w:sz w:val="22"/>
                <w:szCs w:val="22"/>
                <w:shd w:val="clear" w:color="auto" w:fill="FFFFFF"/>
              </w:rPr>
            </w:pPr>
            <w:r w:rsidRPr="0060018A">
              <w:rPr>
                <w:i/>
                <w:sz w:val="24"/>
                <w:szCs w:val="24"/>
              </w:rPr>
              <w:t>Додатково слід зазначити, що дефіцитні приєднання – це кошти витрачені на будівництво розподільних мереж, які в більшості випадків направлені на покращення надання ОСР послуг замовникам в цілому. Вилучення зазначених коштів може значно погіршити і до того важке фінансове становище Товариства.</w:t>
            </w:r>
          </w:p>
        </w:tc>
        <w:tc>
          <w:tcPr>
            <w:tcW w:w="5066" w:type="dxa"/>
            <w:shd w:val="clear" w:color="auto" w:fill="auto"/>
          </w:tcPr>
          <w:p w:rsidR="007F4594" w:rsidRDefault="007F4594" w:rsidP="007F4594">
            <w:pPr>
              <w:ind w:firstLine="308"/>
              <w:jc w:val="both"/>
              <w:rPr>
                <w:b/>
                <w:bCs/>
                <w:sz w:val="22"/>
                <w:szCs w:val="22"/>
              </w:rPr>
            </w:pPr>
            <w:r>
              <w:rPr>
                <w:b/>
                <w:bCs/>
                <w:sz w:val="22"/>
                <w:szCs w:val="22"/>
              </w:rPr>
              <w:lastRenderedPageBreak/>
              <w:t>З</w:t>
            </w:r>
            <w:r w:rsidRPr="00E15C59">
              <w:rPr>
                <w:b/>
                <w:bCs/>
                <w:sz w:val="22"/>
                <w:szCs w:val="22"/>
              </w:rPr>
              <w:t>агальна позиція</w:t>
            </w:r>
          </w:p>
          <w:p w:rsidR="00D21DE7" w:rsidRPr="00D21DE7" w:rsidRDefault="00DE216B" w:rsidP="00D21DE7">
            <w:pPr>
              <w:jc w:val="both"/>
              <w:rPr>
                <w:b/>
                <w:color w:val="FF0000"/>
                <w:sz w:val="22"/>
                <w:szCs w:val="22"/>
              </w:rPr>
            </w:pPr>
            <w:r>
              <w:rPr>
                <w:b/>
                <w:bCs/>
                <w:sz w:val="22"/>
                <w:szCs w:val="22"/>
              </w:rPr>
              <w:t>ПОТРЕБУЄ ОБГОВОРЕННЯ</w:t>
            </w:r>
          </w:p>
        </w:tc>
      </w:tr>
      <w:tr w:rsidR="007F4594" w:rsidRPr="009D3827" w:rsidTr="00276080">
        <w:trPr>
          <w:trHeight w:val="595"/>
        </w:trPr>
        <w:tc>
          <w:tcPr>
            <w:tcW w:w="5065" w:type="dxa"/>
            <w:shd w:val="clear" w:color="auto" w:fill="auto"/>
          </w:tcPr>
          <w:p w:rsidR="007F4594" w:rsidRPr="009D3827" w:rsidRDefault="007F4594" w:rsidP="007F4594">
            <w:pPr>
              <w:ind w:firstLine="308"/>
              <w:jc w:val="both"/>
              <w:rPr>
                <w:sz w:val="22"/>
                <w:szCs w:val="22"/>
                <w:shd w:val="clear" w:color="auto" w:fill="FFFFFF"/>
              </w:rPr>
            </w:pPr>
          </w:p>
          <w:p w:rsidR="007F4594" w:rsidRPr="009D3827" w:rsidRDefault="007F4594" w:rsidP="007F4594">
            <w:pPr>
              <w:ind w:firstLine="308"/>
              <w:jc w:val="both"/>
              <w:rPr>
                <w:sz w:val="22"/>
                <w:szCs w:val="22"/>
                <w:shd w:val="clear" w:color="auto" w:fill="FFFFFF"/>
              </w:rPr>
            </w:pPr>
          </w:p>
          <w:p w:rsidR="007F4594" w:rsidRPr="009D3827" w:rsidRDefault="007F4594" w:rsidP="007F4594">
            <w:pPr>
              <w:ind w:firstLine="308"/>
              <w:jc w:val="both"/>
              <w:rPr>
                <w:sz w:val="22"/>
                <w:szCs w:val="22"/>
                <w:shd w:val="clear" w:color="auto" w:fill="FFFFFF"/>
              </w:rPr>
            </w:pPr>
            <w:r w:rsidRPr="009D3827">
              <w:rPr>
                <w:sz w:val="22"/>
                <w:szCs w:val="22"/>
                <w:shd w:val="clear" w:color="auto" w:fill="FFFFFF"/>
              </w:rPr>
              <w:t>4. З метою визначення об'єктивної суми коштів, отриманої для фінансування ліцензованої діяльності, при проведенні планових або позапланових перевірок в акті перевірки фіксуються такі показники:</w:t>
            </w:r>
          </w:p>
          <w:p w:rsidR="007F4594" w:rsidRPr="009D3827" w:rsidRDefault="007F4594" w:rsidP="007F4594">
            <w:pPr>
              <w:ind w:firstLine="308"/>
              <w:jc w:val="both"/>
              <w:rPr>
                <w:sz w:val="22"/>
                <w:szCs w:val="22"/>
                <w:shd w:val="clear" w:color="auto" w:fill="FFFFFF"/>
              </w:rPr>
            </w:pPr>
            <w:r w:rsidRPr="009D3827">
              <w:rPr>
                <w:sz w:val="22"/>
                <w:szCs w:val="22"/>
                <w:shd w:val="clear" w:color="auto" w:fill="FFFFFF"/>
              </w:rPr>
              <w:t>&lt;…&gt;</w:t>
            </w:r>
          </w:p>
          <w:p w:rsidR="007F4594" w:rsidRPr="009D3827" w:rsidRDefault="007F4594" w:rsidP="007F4594">
            <w:pPr>
              <w:ind w:firstLine="308"/>
              <w:jc w:val="both"/>
              <w:rPr>
                <w:sz w:val="22"/>
                <w:szCs w:val="22"/>
                <w:shd w:val="clear" w:color="auto" w:fill="FFFFFF"/>
              </w:rPr>
            </w:pPr>
          </w:p>
          <w:p w:rsidR="007F4594" w:rsidRPr="009D3827" w:rsidRDefault="007F4594" w:rsidP="007F4594">
            <w:pPr>
              <w:ind w:firstLine="308"/>
              <w:jc w:val="both"/>
              <w:rPr>
                <w:b/>
                <w:sz w:val="22"/>
                <w:szCs w:val="22"/>
                <w:shd w:val="clear" w:color="auto" w:fill="FFFFFF"/>
              </w:rPr>
            </w:pPr>
            <w:r w:rsidRPr="009D3827">
              <w:rPr>
                <w:b/>
                <w:sz w:val="22"/>
                <w:szCs w:val="22"/>
                <w:shd w:val="clear" w:color="auto" w:fill="FFFFFF"/>
              </w:rPr>
              <w:t>32) фактичний рівень розрахунків ліцензіата з оператором системи передачі помісячно та наростаючим підсумком станом на 01.01.2025 та 31.12.2025.</w:t>
            </w:r>
          </w:p>
          <w:p w:rsidR="007F4594" w:rsidRPr="009D3827" w:rsidRDefault="007F4594" w:rsidP="007F4594">
            <w:pPr>
              <w:ind w:firstLine="308"/>
              <w:jc w:val="both"/>
              <w:rPr>
                <w:b/>
                <w:sz w:val="22"/>
                <w:szCs w:val="22"/>
                <w:shd w:val="clear" w:color="auto" w:fill="FFFFFF"/>
              </w:rPr>
            </w:pPr>
            <w:r w:rsidRPr="009D3827">
              <w:rPr>
                <w:b/>
                <w:sz w:val="22"/>
                <w:szCs w:val="22"/>
                <w:shd w:val="clear" w:color="auto" w:fill="FFFFFF"/>
              </w:rPr>
              <w:lastRenderedPageBreak/>
              <w:t>Фактичні суми коштів, отримані за послуги з розподілу електричної енергії (помісячно та наростаючим підсумком станом на 31.12.2025), на виконання зобов’язань, передбачених рішеннями Регулятора про встановлення тарифів на послуги з розподілу електричної енергії на звітний рік (включення до структури тарифів на послуги з розподілу електричної енергії залишкових позитивних сум коригувань, рішення за якими прийнято за результатами перевірок ліцензованої діяльності). Отримані кошти визначаються на підставі середньозваженого помісячного відсотка надходження коштів на 1 та 2 класах напруги.</w:t>
            </w:r>
          </w:p>
          <w:p w:rsidR="007F4594" w:rsidRPr="009D3827" w:rsidRDefault="007F4594" w:rsidP="007F4594">
            <w:pPr>
              <w:ind w:firstLine="308"/>
              <w:jc w:val="both"/>
              <w:rPr>
                <w:b/>
                <w:sz w:val="22"/>
                <w:szCs w:val="22"/>
                <w:shd w:val="clear" w:color="auto" w:fill="FFFFFF"/>
              </w:rPr>
            </w:pPr>
            <w:r w:rsidRPr="009D3827">
              <w:rPr>
                <w:b/>
                <w:sz w:val="22"/>
                <w:szCs w:val="22"/>
                <w:shd w:val="clear" w:color="auto" w:fill="FFFFFF"/>
              </w:rPr>
              <w:t>Фактичні суми коштів, спрямовані на виконання вказаних зобов’язань, передбачених рішеннями Регулятора про встановлення тарифів на послуги з розподілу електричної енергії на звітний рік (помісячно та наростаючим підсумком станом на 31.12.2025):</w:t>
            </w:r>
          </w:p>
          <w:p w:rsidR="007F4594" w:rsidRPr="009D3827" w:rsidRDefault="007F4594" w:rsidP="007F4594">
            <w:pPr>
              <w:ind w:firstLine="308"/>
              <w:jc w:val="both"/>
              <w:rPr>
                <w:b/>
                <w:sz w:val="22"/>
                <w:szCs w:val="22"/>
                <w:shd w:val="clear" w:color="auto" w:fill="FFFFFF"/>
              </w:rPr>
            </w:pPr>
            <w:r w:rsidRPr="009D3827">
              <w:rPr>
                <w:b/>
                <w:sz w:val="22"/>
                <w:szCs w:val="22"/>
                <w:shd w:val="clear" w:color="auto" w:fill="FFFFFF"/>
              </w:rPr>
              <w:t>для погашення заборгованості перед оператором системи передачі;</w:t>
            </w:r>
          </w:p>
          <w:p w:rsidR="007F4594" w:rsidRPr="009D3827" w:rsidRDefault="007F4594" w:rsidP="007F4594">
            <w:pPr>
              <w:ind w:firstLine="308"/>
              <w:jc w:val="both"/>
              <w:rPr>
                <w:sz w:val="22"/>
                <w:szCs w:val="22"/>
                <w:shd w:val="clear" w:color="auto" w:fill="FFFFFF"/>
              </w:rPr>
            </w:pPr>
            <w:r w:rsidRPr="009D3827">
              <w:rPr>
                <w:b/>
                <w:sz w:val="22"/>
                <w:szCs w:val="22"/>
                <w:shd w:val="clear" w:color="auto" w:fill="FFFFFF"/>
              </w:rPr>
              <w:t>для проходження осінньо-зимового періоду 2025/2026;</w:t>
            </w:r>
          </w:p>
        </w:tc>
        <w:tc>
          <w:tcPr>
            <w:tcW w:w="5066" w:type="dxa"/>
            <w:shd w:val="clear" w:color="auto" w:fill="auto"/>
          </w:tcPr>
          <w:p w:rsidR="007F4594" w:rsidRPr="009D3827" w:rsidRDefault="007F4594" w:rsidP="007F4594">
            <w:pPr>
              <w:ind w:firstLine="308"/>
              <w:jc w:val="both"/>
              <w:rPr>
                <w:i/>
                <w:sz w:val="22"/>
                <w:szCs w:val="22"/>
                <w:shd w:val="clear" w:color="auto" w:fill="FFFFFF"/>
              </w:rPr>
            </w:pPr>
            <w:r w:rsidRPr="009D3827">
              <w:rPr>
                <w:i/>
                <w:sz w:val="22"/>
                <w:szCs w:val="22"/>
                <w:shd w:val="clear" w:color="auto" w:fill="FFFFFF"/>
              </w:rPr>
              <w:lastRenderedPageBreak/>
              <w:t>АТ «ДТЕК ДНІПРОВСЬКІ ЕЛЕКТРОМЕРЕЖІ»</w:t>
            </w:r>
          </w:p>
          <w:p w:rsidR="007F4594" w:rsidRPr="009D3827" w:rsidRDefault="007F4594" w:rsidP="007F4594">
            <w:pPr>
              <w:ind w:firstLine="308"/>
              <w:jc w:val="both"/>
              <w:rPr>
                <w:i/>
                <w:sz w:val="22"/>
                <w:szCs w:val="22"/>
                <w:shd w:val="clear" w:color="auto" w:fill="FFFFFF"/>
              </w:rPr>
            </w:pPr>
            <w:r w:rsidRPr="009D3827">
              <w:rPr>
                <w:i/>
                <w:sz w:val="22"/>
                <w:szCs w:val="22"/>
                <w:shd w:val="clear" w:color="auto" w:fill="FFFFFF"/>
              </w:rPr>
              <w:t>АТ «ДТЕК ОДЕСЬКІ ЕЛЕКТРОМЕРЕЖІ»</w:t>
            </w:r>
          </w:p>
          <w:p w:rsidR="007F4594" w:rsidRPr="00A62FDB" w:rsidRDefault="007F4594" w:rsidP="007F4594">
            <w:pPr>
              <w:ind w:firstLine="308"/>
              <w:jc w:val="both"/>
              <w:rPr>
                <w:b/>
                <w:i/>
                <w:sz w:val="22"/>
                <w:szCs w:val="22"/>
                <w:shd w:val="clear" w:color="auto" w:fill="FFFFFF"/>
              </w:rPr>
            </w:pPr>
            <w:r w:rsidRPr="00A62FDB">
              <w:rPr>
                <w:b/>
                <w:i/>
                <w:sz w:val="22"/>
                <w:szCs w:val="22"/>
                <w:shd w:val="clear" w:color="auto" w:fill="FFFFFF"/>
              </w:rPr>
              <w:t>Пропонується редакція</w:t>
            </w:r>
          </w:p>
          <w:p w:rsidR="007F4594" w:rsidRPr="009D3827" w:rsidRDefault="007F4594" w:rsidP="007F4594">
            <w:pPr>
              <w:ind w:firstLine="308"/>
              <w:jc w:val="both"/>
              <w:rPr>
                <w:sz w:val="22"/>
                <w:szCs w:val="22"/>
                <w:shd w:val="clear" w:color="auto" w:fill="FFFFFF"/>
              </w:rPr>
            </w:pPr>
            <w:r w:rsidRPr="009D3827">
              <w:rPr>
                <w:sz w:val="22"/>
                <w:szCs w:val="22"/>
                <w:shd w:val="clear" w:color="auto" w:fill="FFFFFF"/>
              </w:rPr>
              <w:t>4. З метою визначення об'єктивної суми коштів, отриманої для фінансування ліцензованої діяльності, при проведенні планових або позапланових перевірок в акті перевірки фіксуються такі показники:</w:t>
            </w:r>
          </w:p>
          <w:p w:rsidR="007F4594" w:rsidRPr="009D3827" w:rsidRDefault="007F4594" w:rsidP="007F4594">
            <w:pPr>
              <w:ind w:firstLine="308"/>
              <w:jc w:val="both"/>
              <w:rPr>
                <w:sz w:val="22"/>
                <w:szCs w:val="22"/>
                <w:shd w:val="clear" w:color="auto" w:fill="FFFFFF"/>
              </w:rPr>
            </w:pPr>
            <w:r w:rsidRPr="009D3827">
              <w:rPr>
                <w:sz w:val="22"/>
                <w:szCs w:val="22"/>
                <w:shd w:val="clear" w:color="auto" w:fill="FFFFFF"/>
              </w:rPr>
              <w:t>&lt;…&gt;</w:t>
            </w:r>
          </w:p>
          <w:p w:rsidR="007F4594" w:rsidRPr="00A62FDB" w:rsidRDefault="007F4594" w:rsidP="007F4594">
            <w:pPr>
              <w:ind w:firstLine="308"/>
              <w:jc w:val="both"/>
              <w:rPr>
                <w:b/>
                <w:sz w:val="22"/>
                <w:szCs w:val="22"/>
                <w:shd w:val="clear" w:color="auto" w:fill="FFFFFF"/>
              </w:rPr>
            </w:pPr>
            <w:r w:rsidRPr="00A62FDB">
              <w:rPr>
                <w:b/>
                <w:sz w:val="22"/>
                <w:szCs w:val="22"/>
                <w:shd w:val="clear" w:color="auto" w:fill="FFFFFF"/>
              </w:rPr>
              <w:t xml:space="preserve">32) фактичний рівень розрахунків ліцензіатів з ОСП помісячно та наростаючим підсумком станом на 01.01.25, 31.12.25 та 01.03.26 за попередні роки з врахуванням наступних </w:t>
            </w:r>
            <w:r w:rsidRPr="00A62FDB">
              <w:rPr>
                <w:b/>
                <w:sz w:val="22"/>
                <w:szCs w:val="22"/>
                <w:shd w:val="clear" w:color="auto" w:fill="FFFFFF"/>
              </w:rPr>
              <w:lastRenderedPageBreak/>
              <w:t>чинників: недоотриманих коштів від зниження обсягів розподілу в 2025р, збитку від ціни закупівлі ТВЕ за 2025 рік та коштів, що залишились неповернутими в рамках перевірок за попередні періоди та будуть повернуті лише в 2027р.</w:t>
            </w:r>
          </w:p>
          <w:p w:rsidR="007F4594" w:rsidRPr="009D3827" w:rsidRDefault="007F4594" w:rsidP="007F4594">
            <w:pPr>
              <w:ind w:firstLine="308"/>
              <w:jc w:val="both"/>
              <w:rPr>
                <w:b/>
                <w:strike/>
                <w:sz w:val="22"/>
                <w:szCs w:val="22"/>
                <w:shd w:val="clear" w:color="auto" w:fill="FFFFFF"/>
              </w:rPr>
            </w:pPr>
            <w:r w:rsidRPr="009D3827">
              <w:rPr>
                <w:b/>
                <w:strike/>
                <w:sz w:val="22"/>
                <w:szCs w:val="22"/>
                <w:shd w:val="clear" w:color="auto" w:fill="FFFFFF"/>
              </w:rPr>
              <w:t>Фактичні суми коштів, отримані за послуги з розподілу електричної енергії (помісячно та наростаючим підсумком станом на 31.12.2025), на виконання зобов’язань, передбачених рішеннями Регулятора про встановлення тарифів на послуги з розподілу електричної енергії на звітний рік (включення до структури тарифів на послуги з розподілу електричної енергії залишкових позитивних сум коригувань, рішення за якими</w:t>
            </w:r>
            <w:r w:rsidRPr="009D3827">
              <w:rPr>
                <w:b/>
                <w:sz w:val="22"/>
                <w:szCs w:val="22"/>
                <w:shd w:val="clear" w:color="auto" w:fill="FFFFFF"/>
              </w:rPr>
              <w:t xml:space="preserve"> </w:t>
            </w:r>
            <w:r w:rsidRPr="009D3827">
              <w:rPr>
                <w:b/>
                <w:strike/>
                <w:sz w:val="22"/>
                <w:szCs w:val="22"/>
                <w:shd w:val="clear" w:color="auto" w:fill="FFFFFF"/>
              </w:rPr>
              <w:t>прийнято за результатами перевірок ліцензованої діяльності). Отримані кошти визначаються на підставі середньозваженого помісячного відсотка надходження коштів на 1 та 2 класах напруги.</w:t>
            </w:r>
          </w:p>
          <w:p w:rsidR="007F4594" w:rsidRPr="009D3827" w:rsidRDefault="007F4594" w:rsidP="007F4594">
            <w:pPr>
              <w:ind w:firstLine="308"/>
              <w:jc w:val="both"/>
              <w:rPr>
                <w:b/>
                <w:strike/>
                <w:sz w:val="22"/>
                <w:szCs w:val="22"/>
                <w:shd w:val="clear" w:color="auto" w:fill="FFFFFF"/>
              </w:rPr>
            </w:pPr>
            <w:r w:rsidRPr="009D3827">
              <w:rPr>
                <w:b/>
                <w:strike/>
                <w:sz w:val="22"/>
                <w:szCs w:val="22"/>
                <w:shd w:val="clear" w:color="auto" w:fill="FFFFFF"/>
              </w:rPr>
              <w:t>Фактичні суми коштів, спрямовані на виконання вказаних зобов’язань, передбачених рішеннями Регулятора про встановлення тарифів на послуги з розподілу електричної енергії на звітний рік (помісячно та наростаючим підсумком станом на 31.12.2025):</w:t>
            </w:r>
          </w:p>
          <w:p w:rsidR="007F4594" w:rsidRPr="009D3827" w:rsidRDefault="007F4594" w:rsidP="007F4594">
            <w:pPr>
              <w:ind w:firstLine="308"/>
              <w:jc w:val="both"/>
              <w:rPr>
                <w:b/>
                <w:strike/>
                <w:sz w:val="22"/>
                <w:szCs w:val="22"/>
                <w:shd w:val="clear" w:color="auto" w:fill="FFFFFF"/>
              </w:rPr>
            </w:pPr>
            <w:r w:rsidRPr="009D3827">
              <w:rPr>
                <w:b/>
                <w:strike/>
                <w:sz w:val="22"/>
                <w:szCs w:val="22"/>
                <w:shd w:val="clear" w:color="auto" w:fill="FFFFFF"/>
              </w:rPr>
              <w:t>для погашення заборгованості перед оператором системи передачі;</w:t>
            </w:r>
          </w:p>
          <w:p w:rsidR="007F4594" w:rsidRPr="009D3827" w:rsidRDefault="007F4594" w:rsidP="007F4594">
            <w:pPr>
              <w:ind w:firstLine="308"/>
              <w:jc w:val="both"/>
              <w:rPr>
                <w:b/>
                <w:strike/>
                <w:sz w:val="22"/>
                <w:szCs w:val="22"/>
                <w:shd w:val="clear" w:color="auto" w:fill="FFFFFF"/>
              </w:rPr>
            </w:pPr>
            <w:r w:rsidRPr="009D3827">
              <w:rPr>
                <w:b/>
                <w:strike/>
                <w:sz w:val="22"/>
                <w:szCs w:val="22"/>
                <w:shd w:val="clear" w:color="auto" w:fill="FFFFFF"/>
              </w:rPr>
              <w:t>для проходження осінньо-зимового періоду 2025/2026;</w:t>
            </w:r>
          </w:p>
          <w:p w:rsidR="007F4594" w:rsidRPr="009D3827" w:rsidRDefault="007F4594" w:rsidP="007F4594">
            <w:pPr>
              <w:ind w:firstLine="308"/>
              <w:jc w:val="both"/>
              <w:rPr>
                <w:i/>
                <w:sz w:val="22"/>
                <w:szCs w:val="22"/>
                <w:shd w:val="clear" w:color="auto" w:fill="FFFFFF"/>
              </w:rPr>
            </w:pPr>
          </w:p>
          <w:p w:rsidR="007F4594" w:rsidRPr="00335801" w:rsidRDefault="007F4594" w:rsidP="007F4594">
            <w:pPr>
              <w:ind w:firstLine="308"/>
              <w:jc w:val="both"/>
              <w:rPr>
                <w:i/>
                <w:sz w:val="22"/>
                <w:szCs w:val="22"/>
                <w:shd w:val="clear" w:color="auto" w:fill="FFFFFF"/>
              </w:rPr>
            </w:pPr>
            <w:r w:rsidRPr="00335801">
              <w:rPr>
                <w:i/>
                <w:sz w:val="22"/>
                <w:szCs w:val="22"/>
                <w:shd w:val="clear" w:color="auto" w:fill="FFFFFF"/>
              </w:rPr>
              <w:t>ОБҐРУНТУВАННЯ:</w:t>
            </w:r>
          </w:p>
          <w:p w:rsidR="007F4594" w:rsidRPr="00335801" w:rsidRDefault="007F4594" w:rsidP="007F4594">
            <w:pPr>
              <w:ind w:firstLine="308"/>
              <w:jc w:val="both"/>
              <w:rPr>
                <w:bCs/>
                <w:i/>
                <w:sz w:val="22"/>
                <w:szCs w:val="22"/>
                <w:shd w:val="clear" w:color="auto" w:fill="FFFFFF"/>
              </w:rPr>
            </w:pPr>
            <w:r w:rsidRPr="00335801">
              <w:rPr>
                <w:i/>
                <w:sz w:val="22"/>
                <w:szCs w:val="22"/>
                <w:shd w:val="clear" w:color="auto" w:fill="FFFFFF"/>
              </w:rPr>
              <w:t xml:space="preserve">Рішення щодо включення до структури тарифів на послуги з розподілу електричної енергії </w:t>
            </w:r>
            <w:r w:rsidRPr="00335801">
              <w:rPr>
                <w:bCs/>
                <w:i/>
                <w:sz w:val="22"/>
                <w:szCs w:val="22"/>
                <w:shd w:val="clear" w:color="auto" w:fill="FFFFFF"/>
              </w:rPr>
              <w:t xml:space="preserve">залишкових позитивних сум коригувань, рішення за якими прийнято за результатами перевірок ліцензованої діяльності набрало чинності з 01.09.2025 року. За вказаними в рішенні тарифами ОСР почав отримувати кошти від споживачів та </w:t>
            </w:r>
            <w:r w:rsidRPr="00335801">
              <w:rPr>
                <w:bCs/>
                <w:i/>
                <w:sz w:val="22"/>
                <w:szCs w:val="22"/>
                <w:shd w:val="clear" w:color="auto" w:fill="FFFFFF"/>
              </w:rPr>
              <w:lastRenderedPageBreak/>
              <w:t>постачальників із затримкою в 1 - 2 місяці, що пов’язано з графіками розрахунків споживачів та постачальників за фактичну розподілену електричну енергію. У зв’язку із цим вважаємо за доцільне зазначити кінцеву дату розрахунку ОСР з оператором системи передачі 01.03.2026р. Також, пропонуємо врахувати обґрунтовані чинники неповного виконання зобов’язань щодо погашення заборгованості перед ОСП.</w:t>
            </w:r>
          </w:p>
          <w:p w:rsidR="007F4594" w:rsidRDefault="007F4594" w:rsidP="007F4594">
            <w:pPr>
              <w:ind w:firstLine="308"/>
              <w:jc w:val="both"/>
              <w:rPr>
                <w:sz w:val="22"/>
                <w:szCs w:val="22"/>
                <w:shd w:val="clear" w:color="auto" w:fill="FFFFFF"/>
              </w:rPr>
            </w:pPr>
          </w:p>
          <w:p w:rsidR="007F4594" w:rsidRDefault="007F4594" w:rsidP="007F4594">
            <w:pPr>
              <w:ind w:firstLine="308"/>
              <w:jc w:val="both"/>
              <w:rPr>
                <w:sz w:val="22"/>
                <w:szCs w:val="22"/>
                <w:shd w:val="clear" w:color="auto" w:fill="FFFFFF"/>
              </w:rPr>
            </w:pPr>
          </w:p>
          <w:p w:rsidR="007F4594" w:rsidRDefault="007F4594" w:rsidP="007F4594">
            <w:pPr>
              <w:ind w:firstLine="308"/>
              <w:jc w:val="both"/>
              <w:rPr>
                <w:sz w:val="22"/>
                <w:szCs w:val="22"/>
                <w:shd w:val="clear" w:color="auto" w:fill="FFFFFF"/>
              </w:rPr>
            </w:pPr>
          </w:p>
          <w:p w:rsidR="007F4594" w:rsidRPr="00A733EB" w:rsidRDefault="007F4594" w:rsidP="007F4594">
            <w:pPr>
              <w:ind w:firstLine="308"/>
              <w:jc w:val="both"/>
              <w:rPr>
                <w:i/>
                <w:sz w:val="22"/>
                <w:szCs w:val="22"/>
                <w:shd w:val="clear" w:color="auto" w:fill="FFFFFF"/>
              </w:rPr>
            </w:pPr>
            <w:r w:rsidRPr="00A733EB">
              <w:rPr>
                <w:i/>
                <w:sz w:val="22"/>
                <w:szCs w:val="22"/>
                <w:shd w:val="clear" w:color="auto" w:fill="FFFFFF"/>
              </w:rPr>
              <w:t>ГС «РЕУ»</w:t>
            </w:r>
          </w:p>
          <w:p w:rsidR="007F4594" w:rsidRPr="00A733EB" w:rsidRDefault="007F4594" w:rsidP="007F4594">
            <w:pPr>
              <w:ind w:firstLine="308"/>
              <w:jc w:val="both"/>
              <w:rPr>
                <w:b/>
                <w:sz w:val="22"/>
                <w:szCs w:val="22"/>
                <w:shd w:val="clear" w:color="auto" w:fill="FFFFFF"/>
              </w:rPr>
            </w:pPr>
            <w:r w:rsidRPr="00A733EB">
              <w:rPr>
                <w:b/>
                <w:sz w:val="22"/>
                <w:szCs w:val="22"/>
                <w:shd w:val="clear" w:color="auto" w:fill="FFFFFF"/>
              </w:rPr>
              <w:t xml:space="preserve">32) </w:t>
            </w:r>
            <w:r w:rsidRPr="00A733EB">
              <w:rPr>
                <w:b/>
                <w:strike/>
                <w:sz w:val="22"/>
                <w:szCs w:val="22"/>
                <w:shd w:val="clear" w:color="auto" w:fill="FFFFFF"/>
              </w:rPr>
              <w:t xml:space="preserve">фактичний </w:t>
            </w:r>
            <w:r w:rsidRPr="00A733EB">
              <w:rPr>
                <w:bCs/>
                <w:sz w:val="22"/>
                <w:szCs w:val="22"/>
                <w:shd w:val="clear" w:color="auto" w:fill="FFFFFF"/>
              </w:rPr>
              <w:t xml:space="preserve">рівень розрахунків ліцензіатів з ОСП помісячно та наростаючим підсумком станом на 01.01.25, 31.12.25 та 01.03.26 за попередні роки </w:t>
            </w:r>
            <w:r w:rsidRPr="00A733EB">
              <w:rPr>
                <w:b/>
                <w:sz w:val="22"/>
                <w:szCs w:val="22"/>
                <w:shd w:val="clear" w:color="auto" w:fill="FFFFFF"/>
              </w:rPr>
              <w:t>з врахуванням наступних чинників: недоотриманих коштів від зниження обсягів розподілу в 2025 році, збитку від ціни закупівлі ТВЕ за 2025 рік та коштів, що залишились неповернутими в рамках перевірок за попередні періоди та будуть повернуті в 2027 році.</w:t>
            </w:r>
          </w:p>
          <w:p w:rsidR="007F4594" w:rsidRPr="00A733EB" w:rsidRDefault="007F4594" w:rsidP="007F4594">
            <w:pPr>
              <w:ind w:firstLine="308"/>
              <w:jc w:val="both"/>
              <w:rPr>
                <w:b/>
                <w:strike/>
                <w:sz w:val="22"/>
                <w:szCs w:val="22"/>
                <w:shd w:val="clear" w:color="auto" w:fill="FFFFFF"/>
              </w:rPr>
            </w:pPr>
            <w:r w:rsidRPr="00A733EB">
              <w:rPr>
                <w:b/>
                <w:strike/>
                <w:sz w:val="22"/>
                <w:szCs w:val="22"/>
                <w:shd w:val="clear" w:color="auto" w:fill="FFFFFF"/>
              </w:rPr>
              <w:t>Фактичні суми коштів, отримані за послуги з розподілу електричної енергії (помісячно та наростаючим підсумком станом на 31.12.2025), на виконання зобов’язань, передбачених рішеннями Регулятора про встановлення тарифів на послуги з розподілу електричної енергії на звітний рік (включення до структури тарифів на послуги з розподілу електричної енергії залишкових позитивних сум коригувань, рішення за якими</w:t>
            </w:r>
            <w:r w:rsidRPr="00A733EB">
              <w:rPr>
                <w:b/>
                <w:sz w:val="22"/>
                <w:szCs w:val="22"/>
                <w:shd w:val="clear" w:color="auto" w:fill="FFFFFF"/>
              </w:rPr>
              <w:t xml:space="preserve"> </w:t>
            </w:r>
            <w:r w:rsidRPr="00A733EB">
              <w:rPr>
                <w:b/>
                <w:strike/>
                <w:sz w:val="22"/>
                <w:szCs w:val="22"/>
                <w:shd w:val="clear" w:color="auto" w:fill="FFFFFF"/>
              </w:rPr>
              <w:t>прийнято за результатами перевірок ліцензованої діяльності). Отримані кошти визначаються на підставі середньозваженого помісячного відсотка надходження коштів на 1 та 2 класах напруги.</w:t>
            </w:r>
          </w:p>
          <w:p w:rsidR="007F4594" w:rsidRPr="00A733EB" w:rsidRDefault="007F4594" w:rsidP="007F4594">
            <w:pPr>
              <w:ind w:firstLine="308"/>
              <w:jc w:val="both"/>
              <w:rPr>
                <w:b/>
                <w:strike/>
                <w:sz w:val="22"/>
                <w:szCs w:val="22"/>
                <w:shd w:val="clear" w:color="auto" w:fill="FFFFFF"/>
              </w:rPr>
            </w:pPr>
            <w:r w:rsidRPr="00A733EB">
              <w:rPr>
                <w:b/>
                <w:strike/>
                <w:sz w:val="22"/>
                <w:szCs w:val="22"/>
                <w:shd w:val="clear" w:color="auto" w:fill="FFFFFF"/>
              </w:rPr>
              <w:t xml:space="preserve">Фактичні суми коштів, спрямовані на виконання вказаних зобов’язань, передбачених рішеннями Регулятора про встановлення </w:t>
            </w:r>
            <w:r w:rsidRPr="00A733EB">
              <w:rPr>
                <w:b/>
                <w:strike/>
                <w:sz w:val="22"/>
                <w:szCs w:val="22"/>
                <w:shd w:val="clear" w:color="auto" w:fill="FFFFFF"/>
              </w:rPr>
              <w:lastRenderedPageBreak/>
              <w:t>тарифів на послуги з розподілу електричної енергії на звітний рік (помісячно та наростаючим підсумком станом на 31.12.2025):</w:t>
            </w:r>
          </w:p>
          <w:p w:rsidR="007F4594" w:rsidRPr="00A733EB" w:rsidRDefault="007F4594" w:rsidP="007F4594">
            <w:pPr>
              <w:ind w:firstLine="308"/>
              <w:jc w:val="both"/>
              <w:rPr>
                <w:b/>
                <w:strike/>
                <w:sz w:val="22"/>
                <w:szCs w:val="22"/>
                <w:shd w:val="clear" w:color="auto" w:fill="FFFFFF"/>
              </w:rPr>
            </w:pPr>
            <w:r w:rsidRPr="00A733EB">
              <w:rPr>
                <w:b/>
                <w:strike/>
                <w:sz w:val="22"/>
                <w:szCs w:val="22"/>
                <w:shd w:val="clear" w:color="auto" w:fill="FFFFFF"/>
              </w:rPr>
              <w:t>для погашення заборгованості перед оператором системи передачі;</w:t>
            </w:r>
          </w:p>
          <w:p w:rsidR="007F4594" w:rsidRPr="00A733EB" w:rsidRDefault="007F4594" w:rsidP="007F4594">
            <w:pPr>
              <w:ind w:firstLine="308"/>
              <w:jc w:val="both"/>
              <w:rPr>
                <w:b/>
                <w:strike/>
                <w:sz w:val="22"/>
                <w:szCs w:val="22"/>
                <w:shd w:val="clear" w:color="auto" w:fill="FFFFFF"/>
              </w:rPr>
            </w:pPr>
            <w:r w:rsidRPr="00A733EB">
              <w:rPr>
                <w:b/>
                <w:strike/>
                <w:sz w:val="22"/>
                <w:szCs w:val="22"/>
                <w:shd w:val="clear" w:color="auto" w:fill="FFFFFF"/>
              </w:rPr>
              <w:t>для проходження осінньо-зимового періоду 2025/2026;</w:t>
            </w:r>
          </w:p>
          <w:p w:rsidR="007F4594" w:rsidRPr="00A733EB" w:rsidRDefault="007F4594" w:rsidP="007F4594">
            <w:pPr>
              <w:ind w:firstLine="308"/>
              <w:jc w:val="both"/>
              <w:rPr>
                <w:i/>
                <w:sz w:val="22"/>
                <w:szCs w:val="22"/>
                <w:shd w:val="clear" w:color="auto" w:fill="FFFFFF"/>
              </w:rPr>
            </w:pPr>
          </w:p>
          <w:p w:rsidR="007F4594" w:rsidRPr="00451757" w:rsidRDefault="007F4594" w:rsidP="007F4594">
            <w:pPr>
              <w:ind w:firstLine="308"/>
              <w:jc w:val="both"/>
              <w:rPr>
                <w:i/>
                <w:sz w:val="22"/>
                <w:szCs w:val="22"/>
                <w:shd w:val="clear" w:color="auto" w:fill="FFFFFF"/>
              </w:rPr>
            </w:pPr>
            <w:r w:rsidRPr="00451757">
              <w:rPr>
                <w:i/>
                <w:sz w:val="22"/>
                <w:szCs w:val="22"/>
                <w:shd w:val="clear" w:color="auto" w:fill="FFFFFF"/>
              </w:rPr>
              <w:t>ОБҐРУНТУВАННЯ:</w:t>
            </w:r>
          </w:p>
          <w:p w:rsidR="007F4594" w:rsidRDefault="007F4594" w:rsidP="007F4594">
            <w:pPr>
              <w:ind w:firstLine="308"/>
              <w:jc w:val="both"/>
              <w:rPr>
                <w:sz w:val="22"/>
                <w:szCs w:val="22"/>
                <w:shd w:val="clear" w:color="auto" w:fill="FFFFFF"/>
              </w:rPr>
            </w:pPr>
            <w:r w:rsidRPr="00451757">
              <w:rPr>
                <w:i/>
                <w:sz w:val="22"/>
                <w:szCs w:val="22"/>
                <w:shd w:val="clear" w:color="auto" w:fill="FFFFFF"/>
              </w:rPr>
              <w:t xml:space="preserve">Рішення про включення залишкових позитивних сум коригувань, визначених за результатами перевірок, до тарифів на розподіл електроенергії набрало чинності з 01.09.2025. Фактичне надходження коштів за новими тарифами </w:t>
            </w:r>
            <w:proofErr w:type="spellStart"/>
            <w:r w:rsidRPr="00451757">
              <w:rPr>
                <w:i/>
                <w:sz w:val="22"/>
                <w:szCs w:val="22"/>
                <w:shd w:val="clear" w:color="auto" w:fill="FFFFFF"/>
              </w:rPr>
              <w:t>ОСРи</w:t>
            </w:r>
            <w:proofErr w:type="spellEnd"/>
            <w:r w:rsidRPr="00451757">
              <w:rPr>
                <w:i/>
                <w:sz w:val="22"/>
                <w:szCs w:val="22"/>
                <w:shd w:val="clear" w:color="auto" w:fill="FFFFFF"/>
              </w:rPr>
              <w:t xml:space="preserve"> отримали із затримкою 1–2 місяці через особливості розрахунків споживачів і постачальників за розподілену електроенергію. Тому доцільно встановити кінцеву дату розрахунків ОСР з оператором системи передачі — 01.03.2026. Також пропонуємо врахувати об’єктивні причини часткового невиконання зобов’язань щодо погашення заборгованості перед ОСП.</w:t>
            </w:r>
          </w:p>
          <w:p w:rsidR="007F4594" w:rsidRPr="009D3827" w:rsidRDefault="007F4594" w:rsidP="007F4594">
            <w:pPr>
              <w:ind w:firstLine="308"/>
              <w:jc w:val="both"/>
              <w:rPr>
                <w:sz w:val="22"/>
                <w:szCs w:val="22"/>
                <w:shd w:val="clear" w:color="auto" w:fill="FFFFFF"/>
              </w:rPr>
            </w:pPr>
          </w:p>
          <w:p w:rsidR="007F4594" w:rsidRPr="009D3827" w:rsidRDefault="007F4594" w:rsidP="007F4594">
            <w:pPr>
              <w:ind w:firstLine="308"/>
              <w:jc w:val="both"/>
              <w:rPr>
                <w:i/>
                <w:sz w:val="22"/>
                <w:szCs w:val="22"/>
                <w:shd w:val="clear" w:color="auto" w:fill="FFFFFF"/>
              </w:rPr>
            </w:pPr>
            <w:r w:rsidRPr="009D3827">
              <w:rPr>
                <w:i/>
                <w:sz w:val="22"/>
                <w:szCs w:val="22"/>
                <w:shd w:val="clear" w:color="auto" w:fill="FFFFFF"/>
              </w:rPr>
              <w:t>АТ «ЖИТОМИРОБЛЕНЕРГО»</w:t>
            </w:r>
          </w:p>
          <w:p w:rsidR="007F4594" w:rsidRPr="009D3827" w:rsidRDefault="007F4594" w:rsidP="007F4594">
            <w:pPr>
              <w:ind w:firstLine="308"/>
              <w:jc w:val="both"/>
              <w:rPr>
                <w:sz w:val="22"/>
                <w:szCs w:val="22"/>
                <w:shd w:val="clear" w:color="auto" w:fill="FFFFFF"/>
              </w:rPr>
            </w:pPr>
            <w:r w:rsidRPr="009D3827">
              <w:rPr>
                <w:sz w:val="22"/>
                <w:szCs w:val="22"/>
                <w:shd w:val="clear" w:color="auto" w:fill="FFFFFF"/>
              </w:rPr>
              <w:t>32) фактичний рівень розрахунків ліцензіата з оператором системи передачі помісячно та наростаючим підсумком станом на 01.01.2025 та 31.12.2025.</w:t>
            </w:r>
          </w:p>
          <w:p w:rsidR="007F4594" w:rsidRPr="009D3827" w:rsidRDefault="007F4594" w:rsidP="007F4594">
            <w:pPr>
              <w:ind w:firstLine="308"/>
              <w:jc w:val="both"/>
              <w:rPr>
                <w:sz w:val="22"/>
                <w:szCs w:val="22"/>
                <w:shd w:val="clear" w:color="auto" w:fill="FFFFFF"/>
              </w:rPr>
            </w:pPr>
            <w:r w:rsidRPr="009D3827">
              <w:rPr>
                <w:sz w:val="22"/>
                <w:szCs w:val="22"/>
                <w:shd w:val="clear" w:color="auto" w:fill="FFFFFF"/>
              </w:rPr>
              <w:t xml:space="preserve">Фактичні суми коштів, отримані за послуги з розподілу електричної енергії (помісячно та наростаючим підсумком станом на 31.12.2025), на виконання зобов’язань, передбачених рішеннями Регулятора про встановлення тарифів на послуги з розподілу електричної енергії на звітний рік (включення до структури тарифів на послуги з розподілу електричної енергії залишкових позитивних сум коригувань, рішення за якими прийнято за результатами перевірок ліцензованої </w:t>
            </w:r>
            <w:r w:rsidRPr="009D3827">
              <w:rPr>
                <w:sz w:val="22"/>
                <w:szCs w:val="22"/>
                <w:shd w:val="clear" w:color="auto" w:fill="FFFFFF"/>
              </w:rPr>
              <w:lastRenderedPageBreak/>
              <w:t>діяльності). Отримані кошти визначаються на підставі середньозваженого помісячного відсотка надходження коштів на 1 та 2 класах напруги.</w:t>
            </w:r>
          </w:p>
          <w:p w:rsidR="007F4594" w:rsidRPr="009D3827" w:rsidRDefault="007F4594" w:rsidP="007F4594">
            <w:pPr>
              <w:ind w:firstLine="308"/>
              <w:jc w:val="both"/>
              <w:rPr>
                <w:sz w:val="22"/>
                <w:szCs w:val="22"/>
                <w:shd w:val="clear" w:color="auto" w:fill="FFFFFF"/>
              </w:rPr>
            </w:pPr>
            <w:r w:rsidRPr="009D3827">
              <w:rPr>
                <w:sz w:val="22"/>
                <w:szCs w:val="22"/>
                <w:shd w:val="clear" w:color="auto" w:fill="FFFFFF"/>
              </w:rPr>
              <w:t>Фактичні суми коштів, спрямовані на виконання вказаних зобов’язань, передбачених рішеннями Регулятора про встановлення тарифів на послуги з розподілу електричної енергії на звітний рік (помісячно та наростаючим підсумком станом на 31.12.2025):</w:t>
            </w:r>
          </w:p>
          <w:p w:rsidR="007F4594" w:rsidRPr="009D3827" w:rsidRDefault="007F4594" w:rsidP="007F4594">
            <w:pPr>
              <w:ind w:firstLine="308"/>
              <w:jc w:val="both"/>
              <w:rPr>
                <w:sz w:val="22"/>
                <w:szCs w:val="22"/>
                <w:shd w:val="clear" w:color="auto" w:fill="FFFFFF"/>
              </w:rPr>
            </w:pPr>
            <w:r w:rsidRPr="009D3827">
              <w:rPr>
                <w:sz w:val="22"/>
                <w:szCs w:val="22"/>
                <w:shd w:val="clear" w:color="auto" w:fill="FFFFFF"/>
              </w:rPr>
              <w:t>для погашення заборгованості перед оператором системи передачі;</w:t>
            </w:r>
          </w:p>
          <w:p w:rsidR="007F4594" w:rsidRPr="009D3827" w:rsidRDefault="007F4594" w:rsidP="007F4594">
            <w:pPr>
              <w:ind w:firstLine="308"/>
              <w:jc w:val="both"/>
              <w:rPr>
                <w:sz w:val="22"/>
                <w:szCs w:val="22"/>
                <w:shd w:val="clear" w:color="auto" w:fill="FFFFFF"/>
              </w:rPr>
            </w:pPr>
            <w:r w:rsidRPr="009D3827">
              <w:rPr>
                <w:sz w:val="22"/>
                <w:szCs w:val="22"/>
                <w:shd w:val="clear" w:color="auto" w:fill="FFFFFF"/>
              </w:rPr>
              <w:t>для проходження осінньо-зимового періоду 2025/2026;</w:t>
            </w:r>
          </w:p>
          <w:p w:rsidR="007F4594" w:rsidRPr="009D3827" w:rsidRDefault="007F4594" w:rsidP="007F4594">
            <w:pPr>
              <w:ind w:firstLine="308"/>
              <w:jc w:val="both"/>
              <w:rPr>
                <w:rFonts w:eastAsia="Calibri"/>
                <w:b/>
                <w:bCs/>
                <w:sz w:val="22"/>
                <w:szCs w:val="22"/>
                <w:lang w:eastAsia="en-US"/>
              </w:rPr>
            </w:pPr>
            <w:r w:rsidRPr="009D3827">
              <w:rPr>
                <w:iCs/>
                <w:sz w:val="22"/>
                <w:szCs w:val="22"/>
              </w:rPr>
              <w:t xml:space="preserve"> </w:t>
            </w:r>
            <w:r w:rsidRPr="009D3827">
              <w:rPr>
                <w:rFonts w:eastAsia="Calibri"/>
                <w:b/>
                <w:bCs/>
                <w:sz w:val="22"/>
                <w:szCs w:val="22"/>
                <w:lang w:eastAsia="en-US"/>
              </w:rPr>
              <w:t xml:space="preserve">Для </w:t>
            </w:r>
            <w:r w:rsidRPr="009D3827">
              <w:rPr>
                <w:b/>
                <w:sz w:val="22"/>
                <w:szCs w:val="22"/>
                <w:shd w:val="clear" w:color="auto" w:fill="FFFFFF"/>
              </w:rPr>
              <w:t>ПРАТ "КІРОВОГРАДОБЛЕНЕРГО", АТ "ЖИТОМИРОБЛЕНЕРГО", АТ "ЧЕРНІВЦІОБЛЕНЕРГО" та ПРАТ "РІВНЕОБЛЕНЕРГО", при оцінці с</w:t>
            </w:r>
            <w:r w:rsidRPr="009D3827">
              <w:rPr>
                <w:rFonts w:eastAsia="Calibri"/>
                <w:b/>
                <w:bCs/>
                <w:sz w:val="22"/>
                <w:szCs w:val="22"/>
                <w:lang w:eastAsia="en-US"/>
              </w:rPr>
              <w:t xml:space="preserve">тану розрахунків з оператором системи передачі та оцінці </w:t>
            </w:r>
            <w:r w:rsidRPr="009D3827">
              <w:rPr>
                <w:b/>
                <w:sz w:val="22"/>
                <w:szCs w:val="22"/>
                <w:shd w:val="clear" w:color="auto" w:fill="FFFFFF"/>
              </w:rPr>
              <w:t>виконання зобов’язань, передбачених рішеннями Регулятора</w:t>
            </w:r>
            <w:r w:rsidRPr="009D3827">
              <w:rPr>
                <w:rFonts w:eastAsia="Calibri"/>
                <w:b/>
                <w:bCs/>
                <w:sz w:val="22"/>
                <w:szCs w:val="22"/>
                <w:lang w:eastAsia="en-US"/>
              </w:rPr>
              <w:t>, враховувати вплив особливих умов формування тарифної політики вказаних ОСР.</w:t>
            </w:r>
          </w:p>
          <w:p w:rsidR="007F4594" w:rsidRPr="00A733EB" w:rsidRDefault="007F4594" w:rsidP="007F4594">
            <w:pPr>
              <w:ind w:firstLine="308"/>
              <w:jc w:val="both"/>
              <w:rPr>
                <w:i/>
                <w:sz w:val="22"/>
                <w:szCs w:val="22"/>
                <w:shd w:val="clear" w:color="auto" w:fill="FFFFFF"/>
              </w:rPr>
            </w:pPr>
          </w:p>
          <w:p w:rsidR="007F4594" w:rsidRPr="00451757" w:rsidRDefault="007F4594" w:rsidP="007F4594">
            <w:pPr>
              <w:ind w:firstLine="308"/>
              <w:jc w:val="both"/>
              <w:rPr>
                <w:i/>
                <w:sz w:val="22"/>
                <w:szCs w:val="22"/>
                <w:shd w:val="clear" w:color="auto" w:fill="FFFFFF"/>
              </w:rPr>
            </w:pPr>
            <w:r w:rsidRPr="00451757">
              <w:rPr>
                <w:i/>
                <w:sz w:val="22"/>
                <w:szCs w:val="22"/>
                <w:shd w:val="clear" w:color="auto" w:fill="FFFFFF"/>
              </w:rPr>
              <w:t>ОБҐРУНТУВАННЯ:</w:t>
            </w:r>
          </w:p>
          <w:p w:rsidR="007F4594" w:rsidRPr="00451757" w:rsidRDefault="007F4594" w:rsidP="007F4594">
            <w:pPr>
              <w:ind w:firstLine="308"/>
              <w:jc w:val="both"/>
              <w:rPr>
                <w:i/>
                <w:sz w:val="22"/>
                <w:szCs w:val="22"/>
                <w:shd w:val="clear" w:color="auto" w:fill="FFFFFF"/>
              </w:rPr>
            </w:pPr>
            <w:r w:rsidRPr="00451757">
              <w:rPr>
                <w:i/>
                <w:sz w:val="22"/>
                <w:szCs w:val="22"/>
                <w:shd w:val="clear" w:color="auto" w:fill="FFFFFF"/>
              </w:rPr>
              <w:t>При оцінці с</w:t>
            </w:r>
            <w:r w:rsidRPr="00451757">
              <w:rPr>
                <w:rFonts w:eastAsia="Calibri"/>
                <w:bCs/>
                <w:i/>
                <w:sz w:val="22"/>
                <w:szCs w:val="22"/>
                <w:lang w:eastAsia="en-US"/>
              </w:rPr>
              <w:t xml:space="preserve">тану розрахунків з оператором системи передачі та оцінці </w:t>
            </w:r>
            <w:r w:rsidRPr="00451757">
              <w:rPr>
                <w:i/>
                <w:sz w:val="22"/>
                <w:szCs w:val="22"/>
                <w:shd w:val="clear" w:color="auto" w:fill="FFFFFF"/>
              </w:rPr>
              <w:t xml:space="preserve">виконання зобов’язань, передбачених відповідною постановою НКРЕКП, для вказаних ОСР за 2025 рік необхідно враховувати дію дефіцитного тарифу на послуги з розподілу (9,2% дефіцит у 2025 році) та визначення тарифного прибутку на нульовому рівні, що не дозволяло перекривати касові розриви, а також наявність заборгованості за послуги НЕК «УКРЕНЕРГО» на початок 2025 року, яка, у свою чергу, виникла в результаті впливу тих </w:t>
            </w:r>
            <w:proofErr w:type="spellStart"/>
            <w:r w:rsidRPr="00451757">
              <w:rPr>
                <w:i/>
                <w:sz w:val="22"/>
                <w:szCs w:val="22"/>
                <w:shd w:val="clear" w:color="auto" w:fill="FFFFFF"/>
              </w:rPr>
              <w:t>сами</w:t>
            </w:r>
            <w:proofErr w:type="spellEnd"/>
            <w:r w:rsidRPr="00451757">
              <w:rPr>
                <w:i/>
                <w:sz w:val="22"/>
                <w:szCs w:val="22"/>
                <w:shd w:val="clear" w:color="auto" w:fill="FFFFFF"/>
              </w:rPr>
              <w:t xml:space="preserve"> чинників у попередніх роках.</w:t>
            </w:r>
          </w:p>
          <w:p w:rsidR="007F4594" w:rsidRPr="00451757" w:rsidRDefault="007F4594" w:rsidP="007F4594">
            <w:pPr>
              <w:ind w:firstLine="308"/>
              <w:jc w:val="both"/>
              <w:rPr>
                <w:rFonts w:eastAsia="Calibri"/>
                <w:bCs/>
                <w:i/>
                <w:sz w:val="22"/>
                <w:szCs w:val="22"/>
                <w:lang w:eastAsia="en-US"/>
              </w:rPr>
            </w:pPr>
            <w:r w:rsidRPr="00451757">
              <w:rPr>
                <w:rFonts w:eastAsia="Calibri"/>
                <w:bCs/>
                <w:i/>
                <w:sz w:val="22"/>
                <w:szCs w:val="22"/>
                <w:lang w:eastAsia="en-US"/>
              </w:rPr>
              <w:t xml:space="preserve">Тобто необхідно враховувати вплив особливих умов формування тарифної політики вказаних ОСР </w:t>
            </w:r>
            <w:r w:rsidRPr="00451757">
              <w:rPr>
                <w:rFonts w:eastAsia="Calibri"/>
                <w:bCs/>
                <w:i/>
                <w:sz w:val="22"/>
                <w:szCs w:val="22"/>
                <w:lang w:eastAsia="en-US"/>
              </w:rPr>
              <w:lastRenderedPageBreak/>
              <w:t>на фактичну можливість здійснення розрахунків за надані НЕК «УКРЕНЕРГО» послуги.</w:t>
            </w:r>
          </w:p>
          <w:p w:rsidR="007F4594" w:rsidRPr="009D3827" w:rsidRDefault="007F4594" w:rsidP="007F4594">
            <w:pPr>
              <w:jc w:val="both"/>
              <w:rPr>
                <w:i/>
                <w:sz w:val="22"/>
                <w:szCs w:val="22"/>
                <w:shd w:val="clear" w:color="auto" w:fill="FFFFFF"/>
              </w:rPr>
            </w:pPr>
          </w:p>
        </w:tc>
        <w:tc>
          <w:tcPr>
            <w:tcW w:w="5066" w:type="dxa"/>
            <w:shd w:val="clear" w:color="auto" w:fill="auto"/>
            <w:vAlign w:val="center"/>
          </w:tcPr>
          <w:p w:rsidR="00DE216B" w:rsidRPr="00EB305A" w:rsidRDefault="00DE216B" w:rsidP="00DE216B">
            <w:pPr>
              <w:widowControl w:val="0"/>
              <w:suppressAutoHyphens/>
              <w:ind w:firstLine="251"/>
              <w:jc w:val="both"/>
              <w:rPr>
                <w:b/>
                <w:bCs/>
                <w:sz w:val="22"/>
                <w:szCs w:val="22"/>
              </w:rPr>
            </w:pPr>
            <w:r w:rsidRPr="00EB305A">
              <w:rPr>
                <w:b/>
                <w:bCs/>
                <w:sz w:val="22"/>
                <w:szCs w:val="22"/>
              </w:rPr>
              <w:lastRenderedPageBreak/>
              <w:t xml:space="preserve">Загальна позиція </w:t>
            </w:r>
          </w:p>
          <w:p w:rsidR="00DE216B" w:rsidRPr="00EB305A" w:rsidRDefault="00DE216B" w:rsidP="00DE216B">
            <w:pPr>
              <w:widowControl w:val="0"/>
              <w:suppressAutoHyphens/>
              <w:ind w:firstLine="251"/>
              <w:jc w:val="both"/>
              <w:rPr>
                <w:b/>
                <w:bCs/>
                <w:sz w:val="22"/>
                <w:szCs w:val="22"/>
              </w:rPr>
            </w:pPr>
            <w:r>
              <w:rPr>
                <w:b/>
                <w:bCs/>
                <w:sz w:val="22"/>
                <w:szCs w:val="22"/>
              </w:rPr>
              <w:t>Не враховано</w:t>
            </w:r>
          </w:p>
          <w:p w:rsidR="00DE216B" w:rsidRPr="00DE216B" w:rsidRDefault="00DE216B" w:rsidP="00DE216B">
            <w:pPr>
              <w:widowControl w:val="0"/>
              <w:suppressAutoHyphens/>
              <w:ind w:firstLine="251"/>
              <w:jc w:val="both"/>
              <w:rPr>
                <w:bCs/>
                <w:sz w:val="24"/>
                <w:szCs w:val="24"/>
              </w:rPr>
            </w:pPr>
            <w:r w:rsidRPr="00DE216B">
              <w:rPr>
                <w:rStyle w:val="cf01"/>
                <w:rFonts w:ascii="Times New Roman" w:hAnsi="Times New Roman" w:cs="Times New Roman"/>
                <w:sz w:val="22"/>
                <w:szCs w:val="22"/>
              </w:rPr>
              <w:t xml:space="preserve">Ураховуючи те, що </w:t>
            </w:r>
            <w:r w:rsidRPr="00DE216B">
              <w:rPr>
                <w:bCs/>
                <w:sz w:val="24"/>
                <w:szCs w:val="24"/>
              </w:rPr>
              <w:t>під час перевірки досліджуються питання виключно в рамках звітного року, в акті перевірки довідково може фіксуватися стан розрахунків станом на іншу дату, у разі надання ліцензіатом такої інформації самостійно</w:t>
            </w: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DE216B" w:rsidRDefault="00DE216B" w:rsidP="007F4594">
            <w:pPr>
              <w:widowControl w:val="0"/>
              <w:suppressAutoHyphens/>
              <w:ind w:firstLine="251"/>
              <w:jc w:val="both"/>
              <w:rPr>
                <w:b/>
                <w:bCs/>
                <w:color w:val="000000"/>
                <w:sz w:val="24"/>
                <w:szCs w:val="24"/>
              </w:rPr>
            </w:pPr>
          </w:p>
          <w:p w:rsidR="00DE216B" w:rsidRDefault="00DE216B" w:rsidP="007F4594">
            <w:pPr>
              <w:widowControl w:val="0"/>
              <w:suppressAutoHyphens/>
              <w:ind w:firstLine="251"/>
              <w:jc w:val="both"/>
              <w:rPr>
                <w:b/>
                <w:bCs/>
                <w:color w:val="000000"/>
                <w:sz w:val="24"/>
                <w:szCs w:val="24"/>
              </w:rPr>
            </w:pPr>
          </w:p>
          <w:p w:rsidR="00DE216B" w:rsidRDefault="00DE216B" w:rsidP="007F4594">
            <w:pPr>
              <w:widowControl w:val="0"/>
              <w:suppressAutoHyphens/>
              <w:ind w:firstLine="251"/>
              <w:jc w:val="both"/>
              <w:rPr>
                <w:b/>
                <w:bCs/>
                <w:color w:val="000000"/>
                <w:sz w:val="24"/>
                <w:szCs w:val="24"/>
              </w:rPr>
            </w:pPr>
          </w:p>
          <w:p w:rsidR="00DE216B" w:rsidRDefault="00DE216B" w:rsidP="007F4594">
            <w:pPr>
              <w:widowControl w:val="0"/>
              <w:suppressAutoHyphens/>
              <w:ind w:firstLine="251"/>
              <w:jc w:val="both"/>
              <w:rPr>
                <w:b/>
                <w:bCs/>
                <w:color w:val="000000"/>
                <w:sz w:val="24"/>
                <w:szCs w:val="24"/>
              </w:rPr>
            </w:pPr>
          </w:p>
          <w:p w:rsidR="00DE216B" w:rsidRDefault="00DE216B" w:rsidP="007F4594">
            <w:pPr>
              <w:widowControl w:val="0"/>
              <w:suppressAutoHyphens/>
              <w:ind w:firstLine="251"/>
              <w:jc w:val="both"/>
              <w:rPr>
                <w:b/>
                <w:bCs/>
                <w:color w:val="000000"/>
                <w:sz w:val="24"/>
                <w:szCs w:val="24"/>
              </w:rPr>
            </w:pPr>
          </w:p>
          <w:p w:rsidR="00DE216B" w:rsidRDefault="00DE216B" w:rsidP="007F4594">
            <w:pPr>
              <w:widowControl w:val="0"/>
              <w:suppressAutoHyphens/>
              <w:ind w:firstLine="251"/>
              <w:jc w:val="both"/>
              <w:rPr>
                <w:b/>
                <w:bCs/>
                <w:color w:val="000000"/>
                <w:sz w:val="24"/>
                <w:szCs w:val="24"/>
              </w:rPr>
            </w:pPr>
          </w:p>
          <w:p w:rsidR="00DE216B" w:rsidRDefault="00DE216B" w:rsidP="007F4594">
            <w:pPr>
              <w:widowControl w:val="0"/>
              <w:suppressAutoHyphens/>
              <w:ind w:firstLine="251"/>
              <w:jc w:val="both"/>
              <w:rPr>
                <w:b/>
                <w:bCs/>
                <w:color w:val="000000"/>
                <w:sz w:val="24"/>
                <w:szCs w:val="24"/>
              </w:rPr>
            </w:pPr>
          </w:p>
          <w:p w:rsidR="00DE216B" w:rsidRDefault="00DE216B" w:rsidP="007F4594">
            <w:pPr>
              <w:widowControl w:val="0"/>
              <w:suppressAutoHyphens/>
              <w:ind w:firstLine="251"/>
              <w:jc w:val="both"/>
              <w:rPr>
                <w:b/>
                <w:bCs/>
                <w:color w:val="000000"/>
                <w:sz w:val="24"/>
                <w:szCs w:val="24"/>
              </w:rPr>
            </w:pPr>
          </w:p>
          <w:p w:rsidR="00DE216B" w:rsidRDefault="00DE216B" w:rsidP="007F4594">
            <w:pPr>
              <w:widowControl w:val="0"/>
              <w:suppressAutoHyphens/>
              <w:ind w:firstLine="251"/>
              <w:jc w:val="both"/>
              <w:rPr>
                <w:b/>
                <w:bCs/>
                <w:color w:val="000000"/>
                <w:sz w:val="24"/>
                <w:szCs w:val="24"/>
              </w:rPr>
            </w:pPr>
          </w:p>
          <w:p w:rsidR="00DE216B" w:rsidRDefault="00DE216B" w:rsidP="007F4594">
            <w:pPr>
              <w:widowControl w:val="0"/>
              <w:suppressAutoHyphens/>
              <w:ind w:firstLine="251"/>
              <w:jc w:val="both"/>
              <w:rPr>
                <w:b/>
                <w:bCs/>
                <w:color w:val="000000"/>
                <w:sz w:val="24"/>
                <w:szCs w:val="24"/>
              </w:rPr>
            </w:pPr>
          </w:p>
          <w:p w:rsidR="00DE216B" w:rsidRDefault="00DE216B" w:rsidP="007F4594">
            <w:pPr>
              <w:widowControl w:val="0"/>
              <w:suppressAutoHyphens/>
              <w:ind w:firstLine="251"/>
              <w:jc w:val="both"/>
              <w:rPr>
                <w:b/>
                <w:bCs/>
                <w:color w:val="000000"/>
                <w:sz w:val="24"/>
                <w:szCs w:val="24"/>
              </w:rPr>
            </w:pPr>
          </w:p>
          <w:p w:rsidR="00DE216B" w:rsidRDefault="00DE216B"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themeColor="text1"/>
                <w:sz w:val="24"/>
                <w:szCs w:val="24"/>
              </w:rPr>
            </w:pPr>
            <w:r>
              <w:rPr>
                <w:b/>
                <w:bCs/>
                <w:color w:val="000000" w:themeColor="text1"/>
                <w:sz w:val="24"/>
                <w:szCs w:val="24"/>
              </w:rPr>
              <w:t>Не враховано</w:t>
            </w:r>
          </w:p>
          <w:p w:rsidR="007F4594" w:rsidRPr="00D17E09" w:rsidRDefault="007F4594" w:rsidP="007F4594">
            <w:pPr>
              <w:widowControl w:val="0"/>
              <w:suppressAutoHyphens/>
              <w:ind w:firstLine="251"/>
              <w:jc w:val="both"/>
              <w:rPr>
                <w:bCs/>
                <w:sz w:val="22"/>
                <w:szCs w:val="22"/>
                <w:shd w:val="clear" w:color="auto" w:fill="FFFFFF"/>
              </w:rPr>
            </w:pPr>
            <w:r w:rsidRPr="00D17E09">
              <w:rPr>
                <w:bCs/>
                <w:sz w:val="22"/>
                <w:szCs w:val="22"/>
                <w:shd w:val="clear" w:color="auto" w:fill="FFFFFF"/>
              </w:rPr>
              <w:t xml:space="preserve">Оцінка результатів здійснюватиметься з урахуванням вимог нормативно-правової бази Регулятора. Під час здійснення заходів контролю досліджується питання </w:t>
            </w:r>
            <w:r w:rsidRPr="00BA18DF">
              <w:rPr>
                <w:bCs/>
                <w:sz w:val="22"/>
                <w:szCs w:val="22"/>
                <w:shd w:val="clear" w:color="auto" w:fill="FFFFFF"/>
              </w:rPr>
              <w:t>стану досягнення</w:t>
            </w:r>
            <w:r>
              <w:rPr>
                <w:bCs/>
                <w:sz w:val="22"/>
                <w:szCs w:val="22"/>
                <w:shd w:val="clear" w:color="auto" w:fill="FFFFFF"/>
              </w:rPr>
              <w:t xml:space="preserve"> </w:t>
            </w:r>
            <w:r w:rsidRPr="00D17E09">
              <w:rPr>
                <w:bCs/>
                <w:sz w:val="22"/>
                <w:szCs w:val="22"/>
                <w:shd w:val="clear" w:color="auto" w:fill="FFFFFF"/>
              </w:rPr>
              <w:t xml:space="preserve">вказаних зобов’язань шляхом фіксування фактичного рівня розрахунків ліцензіата з оператором системи передачі та фактичних сум коштів, спрямованих на виконання таких зобов’язань. </w:t>
            </w: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Pr="009D3827" w:rsidRDefault="007F4594" w:rsidP="007F4594">
            <w:pPr>
              <w:widowControl w:val="0"/>
              <w:suppressAutoHyphens/>
              <w:ind w:firstLine="251"/>
              <w:jc w:val="both"/>
              <w:rPr>
                <w:b/>
                <w:sz w:val="22"/>
                <w:szCs w:val="22"/>
              </w:rPr>
            </w:pPr>
          </w:p>
        </w:tc>
      </w:tr>
      <w:tr w:rsidR="007F4594" w:rsidRPr="009D3827" w:rsidTr="00276080">
        <w:trPr>
          <w:trHeight w:val="595"/>
        </w:trPr>
        <w:tc>
          <w:tcPr>
            <w:tcW w:w="5065" w:type="dxa"/>
            <w:shd w:val="clear" w:color="auto" w:fill="auto"/>
          </w:tcPr>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sz w:val="22"/>
                <w:szCs w:val="22"/>
                <w:shd w:val="clear" w:color="auto" w:fill="FFFFFF"/>
              </w:rPr>
            </w:pPr>
            <w:r w:rsidRPr="009D3827">
              <w:rPr>
                <w:sz w:val="22"/>
                <w:szCs w:val="22"/>
                <w:shd w:val="clear" w:color="auto" w:fill="FFFFFF"/>
              </w:rPr>
              <w:t>4. З метою визначення об'єктивної суми коштів, отриманої для фінансування ліцензованої діяльності, при проведенні планових або позапланових перевірок в акті перевірки фіксуються такі показники:</w:t>
            </w:r>
          </w:p>
          <w:p w:rsidR="007F4594" w:rsidRPr="009D3827" w:rsidRDefault="007F4594" w:rsidP="007F4594">
            <w:pPr>
              <w:ind w:firstLine="308"/>
              <w:jc w:val="both"/>
              <w:rPr>
                <w:sz w:val="22"/>
                <w:szCs w:val="22"/>
                <w:shd w:val="clear" w:color="auto" w:fill="FFFFFF"/>
              </w:rPr>
            </w:pPr>
            <w:r w:rsidRPr="009D3827">
              <w:rPr>
                <w:sz w:val="22"/>
                <w:szCs w:val="22"/>
                <w:shd w:val="clear" w:color="auto" w:fill="FFFFFF"/>
              </w:rPr>
              <w:t>&lt;…&gt;</w:t>
            </w: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sz w:val="22"/>
                <w:szCs w:val="22"/>
                <w:shd w:val="clear" w:color="auto" w:fill="FFFFFF"/>
              </w:rPr>
            </w:pPr>
            <w:r w:rsidRPr="009D3827">
              <w:rPr>
                <w:b/>
                <w:sz w:val="22"/>
                <w:szCs w:val="22"/>
                <w:shd w:val="clear" w:color="auto" w:fill="FFFFFF"/>
              </w:rPr>
              <w:t>33) фіксація стану забезпечення умов першого регуляторного періоду, передбачених пунктом 2 постанови НКРЕ від 26 липня 2013 року № 1029 «Про застосування стимулюючого регулювання при провадженні господарської діяльності з розподілу електричної енергії» (далі – постанова № 1029), та стану виконання цільових параметрів регулювання, що мають довгостроковий строк дії, для цілей стимулюючого регулювання, встановлених постановою НКРЕ від 23 липня 2013 року № 1009 «Про встановлення параметрів регулювання, що мають довгостроковий строк дії, для цілей стимулюючого регулювання» (далі – постанова № 1009), за результатом п’яти років першого регуляторного періоду та за результатом шести років першого регуляторного періоду (окремо), відповідно до додатка до цієї Методики.</w:t>
            </w:r>
          </w:p>
        </w:tc>
        <w:tc>
          <w:tcPr>
            <w:tcW w:w="5066" w:type="dxa"/>
            <w:shd w:val="clear" w:color="auto" w:fill="auto"/>
          </w:tcPr>
          <w:p w:rsidR="007F4594" w:rsidRPr="009D3827" w:rsidRDefault="007F4594" w:rsidP="007F4594">
            <w:pPr>
              <w:ind w:firstLine="308"/>
              <w:jc w:val="both"/>
              <w:rPr>
                <w:i/>
                <w:sz w:val="22"/>
                <w:szCs w:val="22"/>
                <w:shd w:val="clear" w:color="auto" w:fill="FFFFFF"/>
              </w:rPr>
            </w:pPr>
            <w:r w:rsidRPr="009D3827">
              <w:rPr>
                <w:i/>
                <w:sz w:val="22"/>
                <w:szCs w:val="22"/>
                <w:shd w:val="clear" w:color="auto" w:fill="FFFFFF"/>
              </w:rPr>
              <w:t>АТ «ДТЕК ДНІПРОВСЬКІ ЕЛЕКТРОМЕРЕЖІ»</w:t>
            </w:r>
          </w:p>
          <w:p w:rsidR="007F4594" w:rsidRPr="009D3827" w:rsidRDefault="007F4594" w:rsidP="007F4594">
            <w:pPr>
              <w:ind w:firstLine="308"/>
              <w:jc w:val="both"/>
              <w:rPr>
                <w:i/>
                <w:sz w:val="22"/>
                <w:szCs w:val="22"/>
                <w:shd w:val="clear" w:color="auto" w:fill="FFFFFF"/>
              </w:rPr>
            </w:pPr>
            <w:r w:rsidRPr="009D3827">
              <w:rPr>
                <w:i/>
                <w:sz w:val="22"/>
                <w:szCs w:val="22"/>
                <w:shd w:val="clear" w:color="auto" w:fill="FFFFFF"/>
              </w:rPr>
              <w:t>АТ «ДТЕК ОДЕСЬКІ ЕЛЕКТРОМЕРЕЖІ»</w:t>
            </w:r>
          </w:p>
          <w:p w:rsidR="007F4594" w:rsidRPr="009D3827" w:rsidRDefault="007F4594" w:rsidP="007F4594">
            <w:pPr>
              <w:ind w:firstLine="308"/>
              <w:jc w:val="both"/>
              <w:rPr>
                <w:sz w:val="22"/>
                <w:szCs w:val="22"/>
                <w:shd w:val="clear" w:color="auto" w:fill="FFFFFF"/>
              </w:rPr>
            </w:pPr>
            <w:r w:rsidRPr="009D3827">
              <w:rPr>
                <w:sz w:val="22"/>
                <w:szCs w:val="22"/>
                <w:shd w:val="clear" w:color="auto" w:fill="FFFFFF"/>
              </w:rPr>
              <w:t>4. З метою визначення об'єктивної суми коштів, отриманої для фінансування ліцензованої діяльності, при проведенні планових або позапланових перевірок в акті перевірки фіксуються такі показники:</w:t>
            </w:r>
          </w:p>
          <w:p w:rsidR="007F4594" w:rsidRPr="009D3827" w:rsidRDefault="007F4594" w:rsidP="007F4594">
            <w:pPr>
              <w:ind w:firstLine="308"/>
              <w:jc w:val="both"/>
              <w:rPr>
                <w:sz w:val="22"/>
                <w:szCs w:val="22"/>
                <w:shd w:val="clear" w:color="auto" w:fill="FFFFFF"/>
              </w:rPr>
            </w:pPr>
            <w:r w:rsidRPr="009D3827">
              <w:rPr>
                <w:sz w:val="22"/>
                <w:szCs w:val="22"/>
                <w:shd w:val="clear" w:color="auto" w:fill="FFFFFF"/>
              </w:rPr>
              <w:t>&lt;…&gt;</w:t>
            </w: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b/>
                <w:sz w:val="22"/>
                <w:szCs w:val="22"/>
                <w:shd w:val="clear" w:color="auto" w:fill="FFFFFF"/>
              </w:rPr>
            </w:pPr>
            <w:r w:rsidRPr="009D3827">
              <w:rPr>
                <w:b/>
                <w:sz w:val="22"/>
                <w:szCs w:val="22"/>
                <w:shd w:val="clear" w:color="auto" w:fill="FFFFFF"/>
              </w:rPr>
              <w:t>33) фіксація стану забезпечення умов першого регуляторного періоду, передбачених пунктом 2 постанови НКРЕ від 26 липня 2013 року № 1029 «Про застосування стимулюючого регулювання при провадженні господарської діяльності з розподілу електричної енергії» (далі – постанова № 1029) за результатом п’яти років першого регуляторного періоду та за результатом шести років першого регуляторного періоду (окремо), відповідно до додатка до цієї Методики.</w:t>
            </w:r>
          </w:p>
          <w:p w:rsidR="007F4594" w:rsidRPr="009D3827" w:rsidRDefault="007F4594" w:rsidP="007F4594">
            <w:pPr>
              <w:ind w:firstLine="308"/>
              <w:jc w:val="both"/>
              <w:rPr>
                <w:i/>
                <w:sz w:val="22"/>
                <w:szCs w:val="22"/>
                <w:shd w:val="clear" w:color="auto" w:fill="FFFFFF"/>
              </w:rPr>
            </w:pPr>
          </w:p>
          <w:p w:rsidR="007F4594" w:rsidRPr="00451757" w:rsidRDefault="007F4594" w:rsidP="007F4594">
            <w:pPr>
              <w:ind w:firstLine="308"/>
              <w:jc w:val="both"/>
              <w:rPr>
                <w:sz w:val="22"/>
                <w:szCs w:val="22"/>
                <w:shd w:val="clear" w:color="auto" w:fill="FFFFFF"/>
              </w:rPr>
            </w:pPr>
            <w:r w:rsidRPr="00451757">
              <w:rPr>
                <w:sz w:val="22"/>
                <w:szCs w:val="22"/>
                <w:shd w:val="clear" w:color="auto" w:fill="FFFFFF"/>
              </w:rPr>
              <w:t>ОБҐРУНТУВАННЯ:</w:t>
            </w:r>
          </w:p>
          <w:p w:rsidR="007F4594" w:rsidRPr="00F411B3" w:rsidRDefault="007F4594" w:rsidP="007F4594">
            <w:pPr>
              <w:ind w:firstLine="308"/>
              <w:jc w:val="both"/>
              <w:rPr>
                <w:i/>
                <w:sz w:val="22"/>
                <w:szCs w:val="22"/>
                <w:shd w:val="clear" w:color="auto" w:fill="FFFFFF"/>
              </w:rPr>
            </w:pPr>
            <w:r w:rsidRPr="00F411B3">
              <w:rPr>
                <w:i/>
                <w:sz w:val="22"/>
                <w:szCs w:val="22"/>
                <w:shd w:val="clear" w:color="auto" w:fill="FFFFFF"/>
              </w:rPr>
              <w:t>Пропонується додатком до Методики фіксувати саме досягнення умов перебування в першому регуляторного періоді, що визначені ПНКРЕКП 1029.</w:t>
            </w:r>
          </w:p>
          <w:p w:rsidR="007F4594" w:rsidRPr="00F411B3" w:rsidRDefault="007F4594" w:rsidP="007F4594">
            <w:pPr>
              <w:ind w:firstLine="308"/>
              <w:jc w:val="both"/>
              <w:rPr>
                <w:i/>
                <w:sz w:val="22"/>
                <w:szCs w:val="22"/>
                <w:shd w:val="clear" w:color="auto" w:fill="FFFFFF"/>
              </w:rPr>
            </w:pPr>
            <w:r w:rsidRPr="00F411B3">
              <w:rPr>
                <w:i/>
                <w:sz w:val="22"/>
                <w:szCs w:val="22"/>
                <w:shd w:val="clear" w:color="auto" w:fill="FFFFFF"/>
              </w:rPr>
              <w:t xml:space="preserve">Досягнення показників ефективності не було визначено в умовах перебування в першому регуляторному періоді в рамках стимулюючого тарифоутворення (постанова НКРЕКП 1029). Показниками ефективності визначалися стимули для підвищення ефективності діяльності в умовах мирного часу. При цьому, для багатьох ОСР, через аварії та критичні пошкодження, а також зміну схем нормального режиму внаслідок воєнних дій, </w:t>
            </w:r>
            <w:r w:rsidRPr="00F411B3">
              <w:rPr>
                <w:i/>
                <w:sz w:val="22"/>
                <w:szCs w:val="22"/>
                <w:shd w:val="clear" w:color="auto" w:fill="FFFFFF"/>
              </w:rPr>
              <w:lastRenderedPageBreak/>
              <w:t>досягнення показників ефективності стало майже неможливим.</w:t>
            </w:r>
          </w:p>
          <w:p w:rsidR="007F4594" w:rsidRPr="00F411B3" w:rsidRDefault="007F4594" w:rsidP="007F4594">
            <w:pPr>
              <w:ind w:firstLine="308"/>
              <w:jc w:val="both"/>
              <w:rPr>
                <w:i/>
                <w:sz w:val="22"/>
                <w:szCs w:val="22"/>
                <w:shd w:val="clear" w:color="auto" w:fill="FFFFFF"/>
              </w:rPr>
            </w:pPr>
            <w:r w:rsidRPr="00F411B3">
              <w:rPr>
                <w:i/>
                <w:sz w:val="22"/>
                <w:szCs w:val="22"/>
                <w:shd w:val="clear" w:color="auto" w:fill="FFFFFF"/>
              </w:rPr>
              <w:t>Пропонується досліджувати питання досягнення показників ефективності, що визначені ПНКРЕКП 1009, в рамках окремих запитів-вимог НКРЕКП.</w:t>
            </w:r>
          </w:p>
          <w:p w:rsidR="007F4594" w:rsidRPr="008865BB" w:rsidRDefault="007F4594" w:rsidP="007F4594">
            <w:pPr>
              <w:ind w:firstLine="308"/>
              <w:jc w:val="both"/>
              <w:rPr>
                <w:i/>
                <w:sz w:val="22"/>
                <w:szCs w:val="22"/>
                <w:shd w:val="clear" w:color="auto" w:fill="FFFFFF"/>
              </w:rPr>
            </w:pPr>
          </w:p>
          <w:p w:rsidR="007F4594" w:rsidRPr="008865BB" w:rsidRDefault="007F4594" w:rsidP="007F4594">
            <w:pPr>
              <w:ind w:firstLine="308"/>
              <w:jc w:val="both"/>
              <w:rPr>
                <w:i/>
                <w:sz w:val="22"/>
                <w:szCs w:val="22"/>
                <w:shd w:val="clear" w:color="auto" w:fill="FFFFFF"/>
              </w:rPr>
            </w:pPr>
            <w:r w:rsidRPr="008865BB">
              <w:rPr>
                <w:i/>
                <w:sz w:val="22"/>
                <w:szCs w:val="22"/>
                <w:shd w:val="clear" w:color="auto" w:fill="FFFFFF"/>
              </w:rPr>
              <w:t>ГС «РЕУ»</w:t>
            </w:r>
          </w:p>
          <w:p w:rsidR="007F4594" w:rsidRPr="008865BB" w:rsidRDefault="007F4594" w:rsidP="007F4594">
            <w:pPr>
              <w:ind w:firstLine="308"/>
              <w:jc w:val="both"/>
              <w:rPr>
                <w:b/>
                <w:sz w:val="22"/>
                <w:szCs w:val="22"/>
                <w:shd w:val="clear" w:color="auto" w:fill="FFFFFF"/>
              </w:rPr>
            </w:pPr>
            <w:r w:rsidRPr="008865BB">
              <w:rPr>
                <w:b/>
                <w:sz w:val="22"/>
                <w:szCs w:val="22"/>
                <w:shd w:val="clear" w:color="auto" w:fill="FFFFFF"/>
              </w:rPr>
              <w:t>Потребує доопрацювання</w:t>
            </w:r>
          </w:p>
          <w:p w:rsidR="007F4594" w:rsidRPr="008865BB" w:rsidRDefault="007F4594" w:rsidP="007F4594">
            <w:pPr>
              <w:ind w:firstLine="308"/>
              <w:jc w:val="both"/>
              <w:rPr>
                <w:i/>
                <w:sz w:val="22"/>
                <w:szCs w:val="22"/>
                <w:shd w:val="clear" w:color="auto" w:fill="FFFFFF"/>
              </w:rPr>
            </w:pPr>
          </w:p>
          <w:p w:rsidR="007F4594" w:rsidRPr="00451757" w:rsidRDefault="007F4594" w:rsidP="007F4594">
            <w:pPr>
              <w:ind w:firstLine="308"/>
              <w:jc w:val="both"/>
              <w:rPr>
                <w:i/>
                <w:sz w:val="22"/>
                <w:szCs w:val="22"/>
                <w:shd w:val="clear" w:color="auto" w:fill="FFFFFF"/>
              </w:rPr>
            </w:pPr>
            <w:r w:rsidRPr="00451757">
              <w:rPr>
                <w:i/>
                <w:sz w:val="22"/>
                <w:szCs w:val="22"/>
                <w:shd w:val="clear" w:color="auto" w:fill="FFFFFF"/>
              </w:rPr>
              <w:t>ОБҐРУНТУВАННЯ:</w:t>
            </w:r>
          </w:p>
          <w:p w:rsidR="007F4594" w:rsidRPr="00451757" w:rsidRDefault="007F4594" w:rsidP="007F4594">
            <w:pPr>
              <w:ind w:firstLine="308"/>
              <w:jc w:val="both"/>
              <w:rPr>
                <w:i/>
                <w:sz w:val="22"/>
                <w:szCs w:val="22"/>
                <w:shd w:val="clear" w:color="auto" w:fill="FFFFFF"/>
              </w:rPr>
            </w:pPr>
            <w:r w:rsidRPr="00451757">
              <w:rPr>
                <w:i/>
                <w:sz w:val="22"/>
                <w:szCs w:val="22"/>
                <w:shd w:val="clear" w:color="auto" w:fill="FFFFFF"/>
              </w:rPr>
              <w:t xml:space="preserve">Формулювання пункту потребує обговорення. Можливо, варто створити окремий додаток і чітко розрізнити параметри першого регуляторного періоду та умови переходу на другий регуляторний період. </w:t>
            </w:r>
          </w:p>
          <w:p w:rsidR="007F4594" w:rsidRPr="00451757" w:rsidRDefault="007F4594" w:rsidP="007F4594">
            <w:pPr>
              <w:jc w:val="both"/>
              <w:rPr>
                <w:i/>
                <w:sz w:val="22"/>
                <w:szCs w:val="22"/>
                <w:shd w:val="clear" w:color="auto" w:fill="FFFFFF"/>
              </w:rPr>
            </w:pPr>
            <w:r w:rsidRPr="00451757">
              <w:rPr>
                <w:i/>
                <w:sz w:val="22"/>
                <w:szCs w:val="22"/>
                <w:shd w:val="clear" w:color="auto" w:fill="FFFFFF"/>
              </w:rPr>
              <w:t>Досягнення показників ефективності не було умовою перебування в першому регуляторному періоді в межах стимулюючого тарифоутворення. Ці показники визначалися як інструменти підвищення ефективності в умовах мирного часу. Однак для значної частини ОСР виконання таких показників стало практично неможливим через аварії, критичні пошкодження мереж та зміну схем нормального режиму роботи внаслідок воєнних дій.</w:t>
            </w:r>
          </w:p>
          <w:p w:rsidR="007F4594" w:rsidRPr="00451757" w:rsidRDefault="007F4594" w:rsidP="007F4594">
            <w:pPr>
              <w:ind w:firstLine="308"/>
              <w:jc w:val="both"/>
              <w:rPr>
                <w:b/>
                <w:i/>
                <w:sz w:val="22"/>
                <w:szCs w:val="22"/>
                <w:shd w:val="clear" w:color="auto" w:fill="FFFFFF"/>
              </w:rPr>
            </w:pPr>
            <w:r w:rsidRPr="00451757">
              <w:rPr>
                <w:b/>
                <w:i/>
                <w:sz w:val="22"/>
                <w:szCs w:val="22"/>
                <w:shd w:val="clear" w:color="auto" w:fill="FFFFFF"/>
              </w:rPr>
              <w:t>У зв’язку з цим пропонується розглядати питання досягнення показників ефективності, визначених постановою НКРЕКП № 1009, у межах окремих запитів або вимог Регулятора, а не прив’язувати їх до факту перебування ОСР у першому регуляторному періоді.</w:t>
            </w:r>
          </w:p>
        </w:tc>
        <w:tc>
          <w:tcPr>
            <w:tcW w:w="5066" w:type="dxa"/>
            <w:shd w:val="clear" w:color="auto" w:fill="auto"/>
            <w:vAlign w:val="center"/>
          </w:tcPr>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2"/>
                <w:szCs w:val="22"/>
              </w:rPr>
            </w:pPr>
          </w:p>
          <w:p w:rsidR="007F4594" w:rsidRPr="00CE050E" w:rsidRDefault="007F4594" w:rsidP="007F4594">
            <w:pPr>
              <w:widowControl w:val="0"/>
              <w:suppressAutoHyphens/>
              <w:ind w:firstLine="251"/>
              <w:jc w:val="both"/>
              <w:rPr>
                <w:b/>
                <w:bCs/>
                <w:color w:val="000000"/>
                <w:sz w:val="22"/>
                <w:szCs w:val="22"/>
              </w:rPr>
            </w:pPr>
            <w:r>
              <w:rPr>
                <w:b/>
                <w:bCs/>
                <w:color w:val="000000"/>
                <w:sz w:val="22"/>
                <w:szCs w:val="22"/>
              </w:rPr>
              <w:t xml:space="preserve">Загальна позиція </w:t>
            </w:r>
          </w:p>
          <w:p w:rsidR="007F4594" w:rsidRPr="00CE050E" w:rsidRDefault="007F4594" w:rsidP="007F4594">
            <w:pPr>
              <w:widowControl w:val="0"/>
              <w:suppressAutoHyphens/>
              <w:ind w:firstLine="251"/>
              <w:jc w:val="both"/>
              <w:rPr>
                <w:b/>
                <w:bCs/>
                <w:color w:val="000000"/>
                <w:sz w:val="22"/>
                <w:szCs w:val="22"/>
              </w:rPr>
            </w:pPr>
            <w:r w:rsidRPr="00CE050E">
              <w:rPr>
                <w:b/>
                <w:bCs/>
                <w:color w:val="000000"/>
                <w:sz w:val="22"/>
                <w:szCs w:val="22"/>
              </w:rPr>
              <w:t>Не враховано</w:t>
            </w:r>
          </w:p>
          <w:p w:rsidR="007F4594" w:rsidRPr="00CE050E" w:rsidRDefault="007F4594" w:rsidP="007F4594">
            <w:pPr>
              <w:widowControl w:val="0"/>
              <w:suppressAutoHyphens/>
              <w:ind w:firstLine="251"/>
              <w:jc w:val="both"/>
              <w:rPr>
                <w:bCs/>
                <w:color w:val="000000"/>
                <w:sz w:val="22"/>
                <w:szCs w:val="22"/>
              </w:rPr>
            </w:pPr>
            <w:r w:rsidRPr="00CE050E">
              <w:rPr>
                <w:bCs/>
                <w:color w:val="000000"/>
                <w:sz w:val="22"/>
                <w:szCs w:val="22"/>
              </w:rPr>
              <w:t xml:space="preserve">НКРЕКП передбачено зміни щодо удосконалення </w:t>
            </w:r>
            <w:r w:rsidRPr="003C2824">
              <w:rPr>
                <w:bCs/>
                <w:color w:val="000000"/>
                <w:sz w:val="22"/>
                <w:szCs w:val="22"/>
              </w:rPr>
              <w:t>положень Постанови</w:t>
            </w:r>
            <w:r w:rsidRPr="00CE050E">
              <w:rPr>
                <w:bCs/>
                <w:color w:val="000000"/>
                <w:sz w:val="22"/>
                <w:szCs w:val="22"/>
              </w:rPr>
              <w:t xml:space="preserve"> № 1029, якими впорядковані вимоги щодо необхідності фіксації та дослідження результатів стану виконання зобов’язань ОСР проходження першого регуляторного періоду, з урахуванням нормативної бази Регулятора, прийнятої в умовах воєнного стану.</w:t>
            </w:r>
          </w:p>
          <w:p w:rsidR="007F4594" w:rsidRPr="00CE050E" w:rsidRDefault="007F4594" w:rsidP="007F4594">
            <w:pPr>
              <w:widowControl w:val="0"/>
              <w:suppressAutoHyphens/>
              <w:ind w:firstLine="251"/>
              <w:jc w:val="both"/>
              <w:rPr>
                <w:bCs/>
                <w:color w:val="000000"/>
                <w:sz w:val="22"/>
                <w:szCs w:val="22"/>
              </w:rPr>
            </w:pPr>
            <w:r w:rsidRPr="00CE050E">
              <w:rPr>
                <w:bCs/>
                <w:color w:val="000000"/>
                <w:sz w:val="22"/>
                <w:szCs w:val="22"/>
              </w:rPr>
              <w:t xml:space="preserve">Стартова фіксація і дослідження </w:t>
            </w:r>
            <w:r w:rsidRPr="00CE050E">
              <w:rPr>
                <w:bCs/>
                <w:i/>
                <w:color w:val="000000"/>
                <w:sz w:val="22"/>
                <w:szCs w:val="22"/>
              </w:rPr>
              <w:t>(за перші п’ять років першого регуляторного періоду)</w:t>
            </w:r>
            <w:r w:rsidRPr="00CE050E">
              <w:rPr>
                <w:bCs/>
                <w:color w:val="000000"/>
                <w:sz w:val="22"/>
                <w:szCs w:val="22"/>
              </w:rPr>
              <w:t xml:space="preserve"> є підставою для здійснення Регулятором комплексного та розгорнутого аналізу результатів діяльності ОСР (зокрема результатів діяльності в умовах воєнного стану), для подальшого напрацювання та внесення змін до нормативної бази в частині визначення умов та джерел фінансування для забезпечення (у тому числі протягом останнього року першого регуляторного періоду) повного виконання ОСР зобов’язань щодо умов застосування стимулюючого регулювання першого регулярного періоду.</w:t>
            </w: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Pr="009D3827" w:rsidRDefault="007F4594" w:rsidP="007F4594">
            <w:pPr>
              <w:rPr>
                <w:b/>
                <w:sz w:val="22"/>
                <w:szCs w:val="22"/>
              </w:rPr>
            </w:pPr>
          </w:p>
        </w:tc>
      </w:tr>
      <w:tr w:rsidR="007F4594" w:rsidRPr="009D3827" w:rsidTr="00F464D4">
        <w:trPr>
          <w:trHeight w:val="595"/>
        </w:trPr>
        <w:tc>
          <w:tcPr>
            <w:tcW w:w="5065" w:type="dxa"/>
            <w:shd w:val="clear" w:color="auto" w:fill="auto"/>
          </w:tcPr>
          <w:p w:rsidR="007F4594" w:rsidRPr="009D3827" w:rsidRDefault="007F4594" w:rsidP="007F4594">
            <w:pPr>
              <w:ind w:firstLine="240"/>
              <w:jc w:val="both"/>
              <w:rPr>
                <w:sz w:val="22"/>
                <w:szCs w:val="22"/>
              </w:rPr>
            </w:pPr>
          </w:p>
          <w:p w:rsidR="007F4594" w:rsidRDefault="007F4594" w:rsidP="007F4594">
            <w:pPr>
              <w:ind w:firstLine="240"/>
              <w:jc w:val="both"/>
              <w:rPr>
                <w:sz w:val="22"/>
                <w:szCs w:val="22"/>
              </w:rPr>
            </w:pPr>
          </w:p>
          <w:p w:rsidR="007F4594" w:rsidRPr="009D3827" w:rsidRDefault="007F4594" w:rsidP="007F4594">
            <w:pPr>
              <w:ind w:firstLine="240"/>
              <w:jc w:val="both"/>
              <w:rPr>
                <w:sz w:val="22"/>
                <w:szCs w:val="22"/>
              </w:rPr>
            </w:pPr>
          </w:p>
          <w:p w:rsidR="007F4594" w:rsidRPr="009D3827" w:rsidRDefault="007F4594" w:rsidP="007F4594">
            <w:pPr>
              <w:ind w:firstLine="240"/>
              <w:jc w:val="both"/>
              <w:rPr>
                <w:sz w:val="22"/>
                <w:szCs w:val="22"/>
              </w:rPr>
            </w:pPr>
            <w:r w:rsidRPr="009D3827">
              <w:rPr>
                <w:sz w:val="22"/>
                <w:szCs w:val="22"/>
              </w:rPr>
              <w:t>5. Загальна сума додатково отриманого або недоотриманого доходу від ліцензованої діяльності у звітному році визначається як сума таких складових:</w:t>
            </w:r>
          </w:p>
          <w:p w:rsidR="007F4594" w:rsidRPr="009D3827" w:rsidRDefault="007F4594" w:rsidP="007F4594">
            <w:pPr>
              <w:ind w:firstLine="308"/>
              <w:jc w:val="both"/>
              <w:rPr>
                <w:sz w:val="22"/>
                <w:szCs w:val="22"/>
                <w:shd w:val="clear" w:color="auto" w:fill="FFFFFF"/>
              </w:rPr>
            </w:pPr>
            <w:r w:rsidRPr="009D3827">
              <w:rPr>
                <w:sz w:val="22"/>
                <w:szCs w:val="22"/>
              </w:rPr>
              <w:lastRenderedPageBreak/>
              <w:t xml:space="preserve">1) збільшена на 10 % сума невиконання інвестиційної програми на звітний рік (за результатами діяльності 2021 року). Сума невиконання інвестиційної програми на звітний рік (за результатами діяльності 2022 - </w:t>
            </w:r>
            <w:r w:rsidRPr="009D3827">
              <w:rPr>
                <w:b/>
                <w:sz w:val="22"/>
                <w:szCs w:val="22"/>
              </w:rPr>
              <w:t>2025</w:t>
            </w:r>
            <w:r w:rsidRPr="009D3827">
              <w:rPr>
                <w:sz w:val="22"/>
                <w:szCs w:val="22"/>
              </w:rPr>
              <w:t xml:space="preserve"> років), що визначається з урахуванням постанови N 406. Двократна сума невиконання інвестиційної програми на звітний рік (за результатами діяльності за рік, починаючи з </w:t>
            </w:r>
            <w:r w:rsidRPr="009D3827">
              <w:rPr>
                <w:b/>
                <w:sz w:val="22"/>
                <w:szCs w:val="22"/>
              </w:rPr>
              <w:t>2026</w:t>
            </w:r>
            <w:r w:rsidRPr="009D3827">
              <w:rPr>
                <w:sz w:val="22"/>
                <w:szCs w:val="22"/>
              </w:rPr>
              <w:t xml:space="preserve"> року);</w:t>
            </w:r>
          </w:p>
        </w:tc>
        <w:tc>
          <w:tcPr>
            <w:tcW w:w="5066" w:type="dxa"/>
            <w:shd w:val="clear" w:color="auto" w:fill="auto"/>
          </w:tcPr>
          <w:p w:rsidR="007F4594" w:rsidRPr="009D3827" w:rsidRDefault="007F4594" w:rsidP="007F4594">
            <w:pPr>
              <w:ind w:firstLine="308"/>
              <w:jc w:val="both"/>
              <w:rPr>
                <w:i/>
                <w:sz w:val="22"/>
                <w:szCs w:val="22"/>
                <w:shd w:val="clear" w:color="auto" w:fill="FFFFFF"/>
              </w:rPr>
            </w:pPr>
            <w:r w:rsidRPr="009D3827">
              <w:rPr>
                <w:i/>
                <w:sz w:val="22"/>
                <w:szCs w:val="22"/>
                <w:shd w:val="clear" w:color="auto" w:fill="FFFFFF"/>
              </w:rPr>
              <w:lastRenderedPageBreak/>
              <w:t>АТ «ДТЕК ДНІПРОВСЬКІ ЕЛЕКТРОМЕРЕЖІ»</w:t>
            </w:r>
          </w:p>
          <w:p w:rsidR="007F4594" w:rsidRPr="009D3827" w:rsidRDefault="007F4594" w:rsidP="007F4594">
            <w:pPr>
              <w:ind w:firstLine="308"/>
              <w:jc w:val="both"/>
              <w:rPr>
                <w:i/>
                <w:sz w:val="22"/>
                <w:szCs w:val="22"/>
                <w:shd w:val="clear" w:color="auto" w:fill="FFFFFF"/>
              </w:rPr>
            </w:pPr>
            <w:r w:rsidRPr="009D3827">
              <w:rPr>
                <w:i/>
                <w:sz w:val="22"/>
                <w:szCs w:val="22"/>
                <w:shd w:val="clear" w:color="auto" w:fill="FFFFFF"/>
              </w:rPr>
              <w:t>АТ «ДТЕК ОДЕСЬКІ ЕЛЕКТРОМЕРЕЖІ»</w:t>
            </w:r>
          </w:p>
          <w:p w:rsidR="007F4594" w:rsidRPr="008865BB" w:rsidRDefault="007F4594" w:rsidP="007F4594">
            <w:pPr>
              <w:ind w:firstLine="308"/>
              <w:jc w:val="both"/>
              <w:rPr>
                <w:i/>
                <w:sz w:val="22"/>
                <w:szCs w:val="22"/>
                <w:shd w:val="clear" w:color="auto" w:fill="FFFFFF"/>
              </w:rPr>
            </w:pPr>
            <w:r w:rsidRPr="008865BB">
              <w:rPr>
                <w:i/>
                <w:sz w:val="22"/>
                <w:szCs w:val="22"/>
                <w:shd w:val="clear" w:color="auto" w:fill="FFFFFF"/>
              </w:rPr>
              <w:t>ГС «РЕУ»</w:t>
            </w:r>
          </w:p>
          <w:p w:rsidR="007F4594" w:rsidRPr="009D3827" w:rsidRDefault="007F4594" w:rsidP="007F4594">
            <w:pPr>
              <w:ind w:firstLine="240"/>
              <w:jc w:val="both"/>
              <w:rPr>
                <w:sz w:val="22"/>
                <w:szCs w:val="22"/>
              </w:rPr>
            </w:pPr>
            <w:r w:rsidRPr="009D3827">
              <w:rPr>
                <w:sz w:val="22"/>
                <w:szCs w:val="22"/>
              </w:rPr>
              <w:t>5. Загальна сума додатково отриманого або недоотриманого доходу від ліцензованої діяльності у звітному році визначається як сума таких складових:</w:t>
            </w:r>
          </w:p>
          <w:p w:rsidR="007F4594" w:rsidRPr="00F411B3" w:rsidRDefault="007F4594" w:rsidP="007F4594">
            <w:pPr>
              <w:jc w:val="both"/>
              <w:rPr>
                <w:b/>
                <w:bCs/>
                <w:i/>
                <w:iCs/>
                <w:sz w:val="22"/>
                <w:szCs w:val="22"/>
                <w:u w:val="single"/>
              </w:rPr>
            </w:pPr>
            <w:r w:rsidRPr="00F411B3">
              <w:rPr>
                <w:b/>
                <w:bCs/>
                <w:i/>
                <w:iCs/>
                <w:sz w:val="22"/>
                <w:szCs w:val="22"/>
                <w:u w:val="single"/>
              </w:rPr>
              <w:lastRenderedPageBreak/>
              <w:t>Пропонується додати в постанову № 406 або цю постанову:</w:t>
            </w:r>
          </w:p>
          <w:p w:rsidR="007F4594" w:rsidRPr="009D3827" w:rsidRDefault="007F4594" w:rsidP="007F4594">
            <w:pPr>
              <w:jc w:val="both"/>
              <w:rPr>
                <w:b/>
                <w:bCs/>
                <w:sz w:val="22"/>
                <w:szCs w:val="22"/>
              </w:rPr>
            </w:pPr>
            <w:r w:rsidRPr="009D3827">
              <w:rPr>
                <w:b/>
                <w:bCs/>
                <w:sz w:val="22"/>
                <w:szCs w:val="22"/>
              </w:rPr>
              <w:t xml:space="preserve">Якщо внаслідок бойових дій були зруйновані або зазнали критичних пошкоджень об'єкти, будівництво/реконструкція/модернізація яких передбачалася відповідним заходом затвердженої інвестиційної програми, та при цьому додаткове фінансування на ліквідацію наслідків бойових дій з метою виконання такого заходу протягом поточного року не було можливим з урахуванням термінів та технічної можливості його реалізації, то такий захід вважається виконаним в обсягах актів виконаних робіт та вартості отриманого обладнання. </w:t>
            </w:r>
          </w:p>
          <w:p w:rsidR="007F4594" w:rsidRPr="009D3827" w:rsidRDefault="007F4594" w:rsidP="007F4594">
            <w:pPr>
              <w:ind w:firstLine="308"/>
              <w:jc w:val="both"/>
              <w:rPr>
                <w:b/>
                <w:bCs/>
                <w:sz w:val="22"/>
                <w:szCs w:val="22"/>
              </w:rPr>
            </w:pPr>
            <w:r w:rsidRPr="009D3827">
              <w:rPr>
                <w:b/>
                <w:bCs/>
                <w:sz w:val="22"/>
                <w:szCs w:val="22"/>
              </w:rPr>
              <w:t xml:space="preserve">Різниця між затвердженою сумою заходу відповідної інвестиційної програми та виконанням, що визначається у випадах завдання критичних пошкоджень/руйнувань на підставі підтверджуючих документів (акти виконаних робіт, платіжні документи тощо), підлягає врахуванню в якості джерела фінансування інвестиційної програми на рік, що є наступним за звітним. </w:t>
            </w:r>
          </w:p>
          <w:p w:rsidR="007F4594" w:rsidRPr="009D3827" w:rsidRDefault="007F4594" w:rsidP="007F4594">
            <w:pPr>
              <w:ind w:firstLine="308"/>
              <w:jc w:val="both"/>
              <w:rPr>
                <w:i/>
                <w:sz w:val="22"/>
                <w:szCs w:val="22"/>
                <w:shd w:val="clear" w:color="auto" w:fill="FFFFFF"/>
              </w:rPr>
            </w:pPr>
          </w:p>
          <w:p w:rsidR="007F4594" w:rsidRPr="00CE050E" w:rsidRDefault="007F4594" w:rsidP="007F4594">
            <w:pPr>
              <w:ind w:firstLine="308"/>
              <w:jc w:val="both"/>
              <w:rPr>
                <w:i/>
                <w:sz w:val="22"/>
                <w:szCs w:val="22"/>
                <w:shd w:val="clear" w:color="auto" w:fill="FFFFFF"/>
              </w:rPr>
            </w:pPr>
            <w:r w:rsidRPr="00CE050E">
              <w:rPr>
                <w:i/>
                <w:sz w:val="22"/>
                <w:szCs w:val="22"/>
                <w:shd w:val="clear" w:color="auto" w:fill="FFFFFF"/>
              </w:rPr>
              <w:t>ОБҐРУНТУВАННЯ:</w:t>
            </w:r>
          </w:p>
          <w:p w:rsidR="007F4594" w:rsidRPr="00CE050E" w:rsidRDefault="007F4594" w:rsidP="007F4594">
            <w:pPr>
              <w:jc w:val="both"/>
              <w:rPr>
                <w:i/>
                <w:sz w:val="22"/>
                <w:szCs w:val="22"/>
              </w:rPr>
            </w:pPr>
            <w:r w:rsidRPr="00CE050E">
              <w:rPr>
                <w:i/>
                <w:sz w:val="22"/>
                <w:szCs w:val="22"/>
              </w:rPr>
              <w:t>Діяльність ОСР в 2025 році супроводжується цілеспрямованими ракетно-</w:t>
            </w:r>
            <w:proofErr w:type="spellStart"/>
            <w:r w:rsidRPr="00CE050E">
              <w:rPr>
                <w:i/>
                <w:sz w:val="22"/>
                <w:szCs w:val="22"/>
              </w:rPr>
              <w:t>дроновими</w:t>
            </w:r>
            <w:proofErr w:type="spellEnd"/>
            <w:r w:rsidRPr="00CE050E">
              <w:rPr>
                <w:i/>
                <w:sz w:val="22"/>
                <w:szCs w:val="22"/>
              </w:rPr>
              <w:t xml:space="preserve"> ударами по активам ОСР, порушеннями схем нормального режиму роботи внаслідок руйнувань та пошкоджень. </w:t>
            </w:r>
          </w:p>
          <w:p w:rsidR="007F4594" w:rsidRPr="00CE050E" w:rsidRDefault="007F4594" w:rsidP="007F4594">
            <w:pPr>
              <w:ind w:firstLine="308"/>
              <w:jc w:val="both"/>
              <w:rPr>
                <w:i/>
                <w:sz w:val="22"/>
                <w:szCs w:val="22"/>
              </w:rPr>
            </w:pPr>
            <w:r w:rsidRPr="00CE050E">
              <w:rPr>
                <w:i/>
                <w:sz w:val="22"/>
                <w:szCs w:val="22"/>
              </w:rPr>
              <w:t xml:space="preserve">Мають місце повітряні удари по об’єктам ОСР, що виконуються в рамках затверджених інвестиційних програм 2025 року і при цьому, відсутня технічна можливість вчасного відновлення та виконання відповідних заходів ІП через суттєві пошкодження, особливо у випадках завдання таких ударів в 3-4 кварталах 2025 року. У разі руйнувань та критичних пошкоджень об’єктів </w:t>
            </w:r>
            <w:r w:rsidRPr="00CE050E">
              <w:rPr>
                <w:i/>
                <w:sz w:val="22"/>
                <w:szCs w:val="22"/>
              </w:rPr>
              <w:lastRenderedPageBreak/>
              <w:t>ІП 2025, за належних обґрунтувань, пропонуємо виконання по таким заходам визначати відповідно до актів виконаних робіт та вартості отриманого обладнання (на склад).</w:t>
            </w:r>
          </w:p>
          <w:p w:rsidR="007F4594" w:rsidRPr="00CE050E"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r w:rsidRPr="009D3827">
              <w:rPr>
                <w:i/>
                <w:sz w:val="22"/>
                <w:szCs w:val="22"/>
                <w:shd w:val="clear" w:color="auto" w:fill="FFFFFF"/>
              </w:rPr>
              <w:t>АТ «ЖИТОМИРОБЛЕНЕРГО»</w:t>
            </w:r>
          </w:p>
          <w:p w:rsidR="007F4594" w:rsidRPr="009D3827" w:rsidRDefault="007F4594" w:rsidP="007F4594">
            <w:pPr>
              <w:ind w:firstLine="240"/>
              <w:jc w:val="both"/>
              <w:rPr>
                <w:sz w:val="22"/>
                <w:szCs w:val="22"/>
              </w:rPr>
            </w:pPr>
            <w:r w:rsidRPr="009D3827">
              <w:rPr>
                <w:sz w:val="22"/>
                <w:szCs w:val="22"/>
              </w:rPr>
              <w:t xml:space="preserve">1) збільшена на 10 % сума невиконання інвестиційної програми на звітний рік (за результатами діяльності 2021 року). Сума невиконання інвестиційної програми на звітний рік (за результатами діяльності 2022 - 2025 років), що визначається з урахуванням постанови N 406. Двократна сума невиконання інвестиційної програми на звітний рік, </w:t>
            </w:r>
            <w:r w:rsidRPr="009D3827">
              <w:rPr>
                <w:b/>
                <w:sz w:val="22"/>
                <w:szCs w:val="22"/>
              </w:rPr>
              <w:t xml:space="preserve">за умови підтвердження невиконання інвестиційної програми без </w:t>
            </w:r>
            <w:proofErr w:type="spellStart"/>
            <w:r w:rsidRPr="009D3827">
              <w:rPr>
                <w:b/>
                <w:sz w:val="22"/>
                <w:szCs w:val="22"/>
              </w:rPr>
              <w:t>обгрунтованих</w:t>
            </w:r>
            <w:proofErr w:type="spellEnd"/>
            <w:r w:rsidRPr="009D3827">
              <w:rPr>
                <w:b/>
                <w:sz w:val="22"/>
                <w:szCs w:val="22"/>
              </w:rPr>
              <w:t xml:space="preserve"> причин</w:t>
            </w:r>
            <w:r w:rsidRPr="009D3827">
              <w:rPr>
                <w:sz w:val="22"/>
                <w:szCs w:val="22"/>
              </w:rPr>
              <w:t xml:space="preserve"> (за результатами діяльності за рік, починаючи з 2026 року);</w:t>
            </w:r>
          </w:p>
          <w:p w:rsidR="007F4594" w:rsidRPr="009D3827" w:rsidRDefault="007F4594" w:rsidP="007F4594">
            <w:pPr>
              <w:ind w:firstLine="308"/>
              <w:jc w:val="both"/>
              <w:rPr>
                <w:i/>
                <w:sz w:val="22"/>
                <w:szCs w:val="22"/>
                <w:shd w:val="clear" w:color="auto" w:fill="FFFFFF"/>
              </w:rPr>
            </w:pPr>
          </w:p>
          <w:p w:rsidR="007F4594" w:rsidRPr="00CE050E" w:rsidRDefault="007F4594" w:rsidP="007F4594">
            <w:pPr>
              <w:ind w:firstLine="308"/>
              <w:jc w:val="both"/>
              <w:rPr>
                <w:i/>
                <w:sz w:val="22"/>
                <w:szCs w:val="22"/>
                <w:shd w:val="clear" w:color="auto" w:fill="FFFFFF"/>
              </w:rPr>
            </w:pPr>
            <w:r w:rsidRPr="00CE050E">
              <w:rPr>
                <w:i/>
                <w:sz w:val="22"/>
                <w:szCs w:val="22"/>
                <w:shd w:val="clear" w:color="auto" w:fill="FFFFFF"/>
              </w:rPr>
              <w:t>ОБҐРУНТУВАННЯ:</w:t>
            </w:r>
          </w:p>
          <w:p w:rsidR="007F4594" w:rsidRPr="00CE050E" w:rsidRDefault="007F4594" w:rsidP="007F4594">
            <w:pPr>
              <w:ind w:firstLine="308"/>
              <w:jc w:val="both"/>
              <w:rPr>
                <w:i/>
                <w:sz w:val="22"/>
                <w:szCs w:val="22"/>
              </w:rPr>
            </w:pPr>
            <w:r w:rsidRPr="00CE050E">
              <w:rPr>
                <w:i/>
                <w:sz w:val="22"/>
                <w:szCs w:val="22"/>
              </w:rPr>
              <w:t>Пропонуємо санкцію у вигляді двократної суми невиконання ІП не застосовувати у випадку підтвердження за результатами перевірки діяльності ОСР, якщо рівень недоотриманого ліцензіатом доходу за звітний період перевищує суму невиконання інвестиційної програми відповідного періоду, що є об’єктивною причиною невиконання такої інвестиційної програми.</w:t>
            </w: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r w:rsidRPr="009D3827">
              <w:rPr>
                <w:i/>
                <w:sz w:val="22"/>
                <w:szCs w:val="22"/>
                <w:shd w:val="clear" w:color="auto" w:fill="FFFFFF"/>
              </w:rPr>
              <w:t>ПРАТ «ЛЬВІВОБЛЕНЕРГО»</w:t>
            </w:r>
          </w:p>
          <w:p w:rsidR="007F4594" w:rsidRPr="009D3827" w:rsidRDefault="007F4594" w:rsidP="007F4594">
            <w:pPr>
              <w:spacing w:after="75"/>
              <w:ind w:firstLine="240"/>
              <w:jc w:val="both"/>
              <w:rPr>
                <w:color w:val="000000" w:themeColor="text1"/>
                <w:sz w:val="22"/>
                <w:szCs w:val="22"/>
              </w:rPr>
            </w:pPr>
            <w:r w:rsidRPr="009D3827">
              <w:rPr>
                <w:color w:val="000000" w:themeColor="text1"/>
                <w:sz w:val="22"/>
                <w:szCs w:val="22"/>
              </w:rPr>
              <w:t xml:space="preserve">1) збільшена на 10 % сума невиконання інвестиційної програми на звітний рік (за результатами діяльності 2021 року). Сума невиконання інвестиційної програми на звітний рік (за результатами діяльності 2022 - </w:t>
            </w:r>
            <w:r w:rsidRPr="009D3827">
              <w:rPr>
                <w:b/>
                <w:color w:val="000000" w:themeColor="text1"/>
                <w:sz w:val="22"/>
                <w:szCs w:val="22"/>
              </w:rPr>
              <w:t>2026</w:t>
            </w:r>
            <w:r w:rsidRPr="009D3827">
              <w:rPr>
                <w:color w:val="000000" w:themeColor="text1"/>
                <w:sz w:val="22"/>
                <w:szCs w:val="22"/>
              </w:rPr>
              <w:t xml:space="preserve"> років), що визначається з урахуванням постанови N 406. Двократна сума невиконання інвестиційної програми на звітний рік (за результатами діяльності за рік, починаючи з </w:t>
            </w:r>
            <w:r w:rsidRPr="009D3827">
              <w:rPr>
                <w:b/>
                <w:color w:val="000000" w:themeColor="text1"/>
                <w:sz w:val="22"/>
                <w:szCs w:val="22"/>
              </w:rPr>
              <w:t>2027</w:t>
            </w:r>
            <w:r w:rsidRPr="009D3827">
              <w:rPr>
                <w:color w:val="000000" w:themeColor="text1"/>
                <w:sz w:val="22"/>
                <w:szCs w:val="22"/>
              </w:rPr>
              <w:t xml:space="preserve"> року);</w:t>
            </w:r>
          </w:p>
          <w:p w:rsidR="007F4594" w:rsidRPr="009D3827" w:rsidRDefault="007F4594" w:rsidP="007F4594">
            <w:pPr>
              <w:ind w:firstLine="308"/>
              <w:jc w:val="both"/>
              <w:rPr>
                <w:i/>
                <w:sz w:val="22"/>
                <w:szCs w:val="22"/>
                <w:shd w:val="clear" w:color="auto" w:fill="FFFFFF"/>
              </w:rPr>
            </w:pPr>
          </w:p>
          <w:p w:rsidR="007F4594" w:rsidRPr="00CE050E" w:rsidRDefault="007F4594" w:rsidP="007F4594">
            <w:pPr>
              <w:ind w:firstLine="308"/>
              <w:jc w:val="both"/>
              <w:rPr>
                <w:i/>
                <w:sz w:val="22"/>
                <w:szCs w:val="22"/>
                <w:shd w:val="clear" w:color="auto" w:fill="FFFFFF"/>
              </w:rPr>
            </w:pPr>
            <w:r w:rsidRPr="00CE050E">
              <w:rPr>
                <w:i/>
                <w:sz w:val="22"/>
                <w:szCs w:val="22"/>
                <w:shd w:val="clear" w:color="auto" w:fill="FFFFFF"/>
              </w:rPr>
              <w:lastRenderedPageBreak/>
              <w:t>ОБҐРУНТУВАННЯ:</w:t>
            </w:r>
          </w:p>
          <w:p w:rsidR="007F4594" w:rsidRPr="00CE050E" w:rsidRDefault="007F4594" w:rsidP="007F4594">
            <w:pPr>
              <w:ind w:firstLine="284"/>
              <w:jc w:val="both"/>
              <w:textAlignment w:val="baseline"/>
              <w:rPr>
                <w:i/>
                <w:color w:val="000000" w:themeColor="text1"/>
                <w:sz w:val="22"/>
                <w:szCs w:val="22"/>
                <w:bdr w:val="none" w:sz="0" w:space="0" w:color="auto" w:frame="1"/>
                <w:lang w:eastAsia="uk-UA"/>
              </w:rPr>
            </w:pPr>
            <w:r w:rsidRPr="00CE050E">
              <w:rPr>
                <w:i/>
                <w:color w:val="000000" w:themeColor="text1"/>
                <w:sz w:val="22"/>
                <w:szCs w:val="22"/>
                <w:bdr w:val="none" w:sz="0" w:space="0" w:color="auto" w:frame="1"/>
                <w:lang w:eastAsia="uk-UA"/>
              </w:rPr>
              <w:t>Протягом 2022-2025 років НКРЕКП здійснювало регулювання зазначеної норми виконання інвестиційної програм ОСР з урахуванням того, що реалізація схвалених інвестиційних програм зазначених періодів відбувалось в умовах воєнного стану, спричиненою агресією російської федерацією.</w:t>
            </w:r>
          </w:p>
          <w:p w:rsidR="007F4594" w:rsidRPr="00CE050E" w:rsidRDefault="007F4594" w:rsidP="007F4594">
            <w:pPr>
              <w:ind w:firstLine="284"/>
              <w:jc w:val="both"/>
              <w:textAlignment w:val="baseline"/>
              <w:rPr>
                <w:i/>
                <w:color w:val="000000" w:themeColor="text1"/>
                <w:sz w:val="22"/>
                <w:szCs w:val="22"/>
                <w:bdr w:val="none" w:sz="0" w:space="0" w:color="auto" w:frame="1"/>
                <w:lang w:eastAsia="uk-UA"/>
              </w:rPr>
            </w:pPr>
            <w:r w:rsidRPr="00CE050E">
              <w:rPr>
                <w:i/>
                <w:color w:val="000000" w:themeColor="text1"/>
                <w:sz w:val="22"/>
                <w:szCs w:val="22"/>
                <w:bdr w:val="none" w:sz="0" w:space="0" w:color="auto" w:frame="1"/>
                <w:lang w:eastAsia="uk-UA"/>
              </w:rPr>
              <w:t>Оскільки воєнний стан в Україні продовжений і в 2026 році це впливає на виробництво, зростає попит на матеріали і обладнання, а також можливість їх вчасного постачання. Це все впливає на вчасне виконання робіт з реконструкції, відновлення системи розподілу.</w:t>
            </w:r>
          </w:p>
          <w:p w:rsidR="007F4594" w:rsidRPr="00CE050E" w:rsidRDefault="007F4594" w:rsidP="007F4594">
            <w:pPr>
              <w:ind w:firstLine="284"/>
              <w:jc w:val="both"/>
              <w:textAlignment w:val="baseline"/>
              <w:rPr>
                <w:i/>
                <w:color w:val="000000" w:themeColor="text1"/>
                <w:sz w:val="22"/>
                <w:szCs w:val="22"/>
                <w:bdr w:val="none" w:sz="0" w:space="0" w:color="auto" w:frame="1"/>
                <w:lang w:eastAsia="uk-UA"/>
              </w:rPr>
            </w:pPr>
            <w:r w:rsidRPr="00CE050E">
              <w:rPr>
                <w:i/>
                <w:color w:val="000000" w:themeColor="text1"/>
                <w:sz w:val="22"/>
                <w:szCs w:val="22"/>
                <w:bdr w:val="none" w:sz="0" w:space="0" w:color="auto" w:frame="1"/>
                <w:lang w:eastAsia="uk-UA"/>
              </w:rPr>
              <w:t xml:space="preserve">Окрім цього сума невиконання інвестиційної програми приймає участь у розрахунку додатково отриманого/ недоотриманого доходу, відповідно вилучатиметься з тарифу або зменшуватиме додатковий отриманий дохід  ліцензіата. </w:t>
            </w:r>
          </w:p>
          <w:p w:rsidR="007F4594" w:rsidRPr="009D3827" w:rsidRDefault="007F4594" w:rsidP="007F4594">
            <w:pPr>
              <w:ind w:firstLine="284"/>
              <w:jc w:val="both"/>
              <w:textAlignment w:val="baseline"/>
              <w:rPr>
                <w:i/>
                <w:sz w:val="22"/>
                <w:szCs w:val="22"/>
                <w:shd w:val="clear" w:color="auto" w:fill="FFFFFF"/>
              </w:rPr>
            </w:pPr>
            <w:r w:rsidRPr="00CE050E">
              <w:rPr>
                <w:i/>
                <w:color w:val="000000" w:themeColor="text1"/>
                <w:sz w:val="22"/>
                <w:szCs w:val="22"/>
                <w:bdr w:val="none" w:sz="0" w:space="0" w:color="auto" w:frame="1"/>
                <w:lang w:eastAsia="uk-UA"/>
              </w:rPr>
              <w:t>Також , у 2026 році реалізація інвестиційних програм ускладнилась у зв’язку з необхідністю пізніших строків проведення тендерних процедур а також дефіцитом коштів у січні-лютому, що пов’язано зі значним ростом  вартості електричної енергії на сегментах ринку, викликаний дефіцитом пропозицій електричної енергії спричиненою руйнуванням генеруючих потужностей та систем передачі.</w:t>
            </w:r>
          </w:p>
        </w:tc>
        <w:tc>
          <w:tcPr>
            <w:tcW w:w="5066" w:type="dxa"/>
            <w:shd w:val="clear" w:color="auto" w:fill="auto"/>
          </w:tcPr>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Pr="00F411B3" w:rsidRDefault="007F4594" w:rsidP="007F4594">
            <w:pPr>
              <w:jc w:val="both"/>
              <w:rPr>
                <w:b/>
                <w:sz w:val="22"/>
                <w:szCs w:val="22"/>
              </w:rPr>
            </w:pPr>
            <w:r w:rsidRPr="00F411B3">
              <w:rPr>
                <w:b/>
                <w:sz w:val="22"/>
                <w:szCs w:val="22"/>
              </w:rPr>
              <w:t xml:space="preserve">Пропозицію враховано в розробленому проєкті рішення НКРЕКП «Про внесення зміни до постанови НКРЕКП від 26 квітня 2022 року </w:t>
            </w:r>
            <w:r w:rsidRPr="00F411B3">
              <w:rPr>
                <w:b/>
                <w:sz w:val="22"/>
                <w:szCs w:val="22"/>
              </w:rPr>
              <w:br/>
              <w:t>№ 406».</w:t>
            </w: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DE216B" w:rsidRDefault="00DE216B" w:rsidP="007F4594">
            <w:pPr>
              <w:rPr>
                <w:b/>
                <w:sz w:val="22"/>
                <w:szCs w:val="22"/>
              </w:rPr>
            </w:pPr>
          </w:p>
          <w:p w:rsidR="00DE216B" w:rsidRDefault="00DE216B" w:rsidP="007F4594">
            <w:pPr>
              <w:rPr>
                <w:b/>
                <w:sz w:val="22"/>
                <w:szCs w:val="22"/>
              </w:rPr>
            </w:pPr>
          </w:p>
          <w:p w:rsidR="00DE216B" w:rsidRDefault="00DE216B"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Pr="00F411B3" w:rsidRDefault="007F4594" w:rsidP="007F4594">
            <w:pPr>
              <w:rPr>
                <w:b/>
                <w:sz w:val="22"/>
                <w:szCs w:val="22"/>
              </w:rPr>
            </w:pPr>
            <w:r w:rsidRPr="00F411B3">
              <w:rPr>
                <w:b/>
                <w:sz w:val="22"/>
                <w:szCs w:val="22"/>
              </w:rPr>
              <w:t>Не враховано</w:t>
            </w:r>
          </w:p>
          <w:p w:rsidR="007F4594" w:rsidRPr="00F411B3" w:rsidRDefault="007F4594" w:rsidP="007F4594">
            <w:pPr>
              <w:rPr>
                <w:b/>
                <w:sz w:val="22"/>
                <w:szCs w:val="22"/>
              </w:rPr>
            </w:pPr>
            <w:r w:rsidRPr="00F411B3">
              <w:rPr>
                <w:b/>
                <w:sz w:val="22"/>
                <w:szCs w:val="22"/>
              </w:rPr>
              <w:t>Недостатньо обґрунтована пропозиція</w:t>
            </w:r>
          </w:p>
          <w:p w:rsidR="007F4594" w:rsidRPr="00F411B3"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Pr="00F411B3" w:rsidRDefault="007F4594" w:rsidP="007F4594">
            <w:pPr>
              <w:rPr>
                <w:b/>
                <w:sz w:val="22"/>
                <w:szCs w:val="22"/>
              </w:rPr>
            </w:pPr>
            <w:r w:rsidRPr="00F411B3">
              <w:rPr>
                <w:b/>
                <w:sz w:val="22"/>
                <w:szCs w:val="22"/>
              </w:rPr>
              <w:t>Не враховано</w:t>
            </w:r>
          </w:p>
          <w:p w:rsidR="007F4594" w:rsidRPr="00F411B3" w:rsidRDefault="007F4594" w:rsidP="007F4594">
            <w:pPr>
              <w:rPr>
                <w:b/>
                <w:sz w:val="22"/>
                <w:szCs w:val="22"/>
              </w:rPr>
            </w:pPr>
            <w:r w:rsidRPr="00F411B3">
              <w:rPr>
                <w:b/>
                <w:sz w:val="22"/>
                <w:szCs w:val="22"/>
              </w:rPr>
              <w:t>Недостатньо обґрунтована пропозиція</w:t>
            </w:r>
          </w:p>
          <w:p w:rsidR="007F4594" w:rsidRPr="00D17E09"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Pr="009D3827" w:rsidRDefault="007F4594" w:rsidP="007F4594">
            <w:pPr>
              <w:rPr>
                <w:b/>
                <w:sz w:val="22"/>
                <w:szCs w:val="22"/>
              </w:rPr>
            </w:pPr>
          </w:p>
        </w:tc>
      </w:tr>
      <w:tr w:rsidR="007F4594" w:rsidRPr="009D3827" w:rsidTr="005B6EF2">
        <w:trPr>
          <w:trHeight w:val="595"/>
        </w:trPr>
        <w:tc>
          <w:tcPr>
            <w:tcW w:w="5065" w:type="dxa"/>
            <w:shd w:val="clear" w:color="auto" w:fill="auto"/>
          </w:tcPr>
          <w:p w:rsidR="007F4594" w:rsidRPr="009D3827" w:rsidRDefault="007F4594" w:rsidP="007F4594">
            <w:pPr>
              <w:ind w:firstLine="240"/>
              <w:jc w:val="both"/>
              <w:rPr>
                <w:sz w:val="22"/>
                <w:szCs w:val="22"/>
              </w:rPr>
            </w:pPr>
            <w:r w:rsidRPr="009D3827">
              <w:rPr>
                <w:sz w:val="22"/>
                <w:szCs w:val="22"/>
              </w:rPr>
              <w:lastRenderedPageBreak/>
              <w:t>5. Загальна сума додатково отриманого або недоотриманого доходу від ліцензованої діяльності у звітному році визначається як сума таких складових:</w:t>
            </w:r>
          </w:p>
          <w:p w:rsidR="007F4594" w:rsidRPr="009D3827" w:rsidRDefault="007F4594" w:rsidP="007F4594">
            <w:pPr>
              <w:ind w:firstLine="308"/>
              <w:jc w:val="both"/>
              <w:rPr>
                <w:sz w:val="22"/>
                <w:szCs w:val="22"/>
                <w:shd w:val="clear" w:color="auto" w:fill="FFFFFF"/>
              </w:rPr>
            </w:pPr>
          </w:p>
          <w:p w:rsidR="007F4594" w:rsidRPr="009D3827" w:rsidRDefault="007F4594" w:rsidP="007F4594">
            <w:pPr>
              <w:ind w:firstLine="308"/>
              <w:jc w:val="both"/>
              <w:rPr>
                <w:sz w:val="22"/>
                <w:szCs w:val="22"/>
                <w:shd w:val="clear" w:color="auto" w:fill="FFFFFF"/>
              </w:rPr>
            </w:pPr>
            <w:r w:rsidRPr="009D3827">
              <w:rPr>
                <w:sz w:val="22"/>
                <w:szCs w:val="22"/>
                <w:shd w:val="clear" w:color="auto" w:fill="FFFFFF"/>
              </w:rPr>
              <w:t>&lt;…&gt;</w:t>
            </w:r>
          </w:p>
          <w:p w:rsidR="007F4594" w:rsidRPr="009D3827" w:rsidRDefault="007F4594" w:rsidP="007F4594">
            <w:pPr>
              <w:ind w:firstLine="308"/>
              <w:jc w:val="both"/>
              <w:rPr>
                <w:i/>
                <w:sz w:val="22"/>
                <w:szCs w:val="22"/>
                <w:shd w:val="clear" w:color="auto" w:fill="FFFFFF"/>
              </w:rPr>
            </w:pPr>
          </w:p>
          <w:p w:rsidR="007F4594" w:rsidRPr="005B6EF2" w:rsidRDefault="007F4594" w:rsidP="007F4594">
            <w:pPr>
              <w:spacing w:after="75"/>
              <w:ind w:firstLine="240"/>
              <w:jc w:val="both"/>
              <w:rPr>
                <w:sz w:val="22"/>
                <w:szCs w:val="22"/>
              </w:rPr>
            </w:pPr>
            <w:r w:rsidRPr="009D3827">
              <w:rPr>
                <w:sz w:val="22"/>
                <w:szCs w:val="22"/>
              </w:rPr>
              <w:t xml:space="preserve">2) </w:t>
            </w:r>
            <w:r w:rsidRPr="005B6EF2">
              <w:rPr>
                <w:sz w:val="22"/>
                <w:szCs w:val="22"/>
              </w:rPr>
              <w:t xml:space="preserve">додатково отриманий (недоотриманий) дохід ліцензіата внаслідок збільшення (зменшення) фактичних обсягів розподілу електричної енергії ліцензіата порівняно з обсягами розподілу </w:t>
            </w:r>
            <w:r w:rsidRPr="005B6EF2">
              <w:rPr>
                <w:sz w:val="22"/>
                <w:szCs w:val="22"/>
              </w:rPr>
              <w:lastRenderedPageBreak/>
              <w:t>електричної енергії ліцензіатів, урахованими в затвердженій структурі тарифів на послуги з розподілу електричної енергії, з урахуванням очікуваного додаткового (недоотриманого) доходу від збільшення (зменшення) обсягів з розподілу електричної енергії у звітному році, який вже було враховано у структурах тарифів;</w:t>
            </w:r>
          </w:p>
          <w:p w:rsidR="007F4594" w:rsidRPr="00CE050E" w:rsidRDefault="007F4594" w:rsidP="007F4594">
            <w:pPr>
              <w:spacing w:after="75"/>
              <w:ind w:firstLine="240"/>
              <w:jc w:val="both"/>
              <w:rPr>
                <w:color w:val="FF0000"/>
                <w:sz w:val="22"/>
                <w:szCs w:val="22"/>
              </w:rPr>
            </w:pPr>
            <w:r w:rsidRPr="00F411B3">
              <w:rPr>
                <w:sz w:val="22"/>
                <w:szCs w:val="22"/>
                <w:highlight w:val="lightGray"/>
              </w:rPr>
              <w:t xml:space="preserve">За 2023 та </w:t>
            </w:r>
            <w:r w:rsidRPr="00F411B3">
              <w:rPr>
                <w:b/>
                <w:sz w:val="22"/>
                <w:szCs w:val="22"/>
                <w:highlight w:val="lightGray"/>
              </w:rPr>
              <w:t>2024</w:t>
            </w:r>
            <w:r w:rsidRPr="00F411B3">
              <w:rPr>
                <w:sz w:val="22"/>
                <w:szCs w:val="22"/>
                <w:highlight w:val="lightGray"/>
              </w:rPr>
              <w:t xml:space="preserve"> роки для ПРАТ «КІРОВОГРАДОБЛЕНЕРГО», ПРАТ «ЖИТОМИРОБЛЕНЕРГО», ПРАТ «ЧЕРНІВЦІОБЛЕНЕРГО» та ПРАТ «РІВНЕОБЛЕНЕРГО» додатково отриманий (недоотриманий) дохід ліцензіата визначається як різниця між сумою необхідного доходу, передбаченого встановленою річною структурою тарифів на 2023 - 20</w:t>
            </w:r>
            <w:r w:rsidRPr="00F411B3">
              <w:rPr>
                <w:b/>
                <w:sz w:val="22"/>
                <w:szCs w:val="22"/>
                <w:highlight w:val="lightGray"/>
              </w:rPr>
              <w:t>24</w:t>
            </w:r>
            <w:r w:rsidRPr="00F411B3">
              <w:rPr>
                <w:sz w:val="22"/>
                <w:szCs w:val="22"/>
                <w:highlight w:val="lightGray"/>
              </w:rPr>
              <w:t>роки, та добутком фактичних помісячних обсягів розподілу електричної енергії і тарифів, що діяли у відповідному періоді</w:t>
            </w:r>
            <w:r w:rsidRPr="00CE050E">
              <w:rPr>
                <w:color w:val="FF0000"/>
                <w:sz w:val="22"/>
                <w:szCs w:val="22"/>
              </w:rPr>
              <w:t>.</w:t>
            </w:r>
          </w:p>
          <w:p w:rsidR="007F4594" w:rsidRDefault="007F4594" w:rsidP="007F4594">
            <w:pPr>
              <w:spacing w:after="75"/>
              <w:ind w:firstLine="240"/>
              <w:jc w:val="both"/>
              <w:rPr>
                <w:sz w:val="22"/>
                <w:szCs w:val="22"/>
              </w:rPr>
            </w:pPr>
          </w:p>
          <w:p w:rsidR="007F4594" w:rsidRDefault="007F4594" w:rsidP="007F4594">
            <w:pPr>
              <w:spacing w:after="75"/>
              <w:ind w:firstLine="240"/>
              <w:jc w:val="both"/>
              <w:rPr>
                <w:sz w:val="22"/>
                <w:szCs w:val="22"/>
              </w:rPr>
            </w:pPr>
          </w:p>
          <w:p w:rsidR="007F4594" w:rsidRDefault="007F4594" w:rsidP="007F4594">
            <w:pPr>
              <w:spacing w:after="75"/>
              <w:ind w:firstLine="240"/>
              <w:jc w:val="both"/>
              <w:rPr>
                <w:sz w:val="22"/>
                <w:szCs w:val="22"/>
              </w:rPr>
            </w:pPr>
          </w:p>
          <w:p w:rsidR="007F4594" w:rsidRDefault="007F4594" w:rsidP="007F4594">
            <w:pPr>
              <w:spacing w:after="75"/>
              <w:ind w:firstLine="240"/>
              <w:jc w:val="both"/>
              <w:rPr>
                <w:sz w:val="22"/>
                <w:szCs w:val="22"/>
              </w:rPr>
            </w:pPr>
          </w:p>
          <w:p w:rsidR="007F4594" w:rsidRDefault="007F4594" w:rsidP="007F4594">
            <w:pPr>
              <w:spacing w:after="75"/>
              <w:ind w:firstLine="240"/>
              <w:jc w:val="both"/>
              <w:rPr>
                <w:sz w:val="22"/>
                <w:szCs w:val="22"/>
              </w:rPr>
            </w:pPr>
          </w:p>
          <w:p w:rsidR="007F4594" w:rsidRDefault="007F4594" w:rsidP="007F4594">
            <w:pPr>
              <w:spacing w:after="75"/>
              <w:ind w:firstLine="240"/>
              <w:jc w:val="both"/>
              <w:rPr>
                <w:sz w:val="22"/>
                <w:szCs w:val="22"/>
              </w:rPr>
            </w:pPr>
          </w:p>
          <w:p w:rsidR="007F4594" w:rsidRDefault="007F4594" w:rsidP="007F4594">
            <w:pPr>
              <w:spacing w:after="75"/>
              <w:ind w:firstLine="240"/>
              <w:jc w:val="both"/>
              <w:rPr>
                <w:sz w:val="22"/>
                <w:szCs w:val="22"/>
              </w:rPr>
            </w:pPr>
          </w:p>
          <w:p w:rsidR="007F4594" w:rsidRDefault="007F4594" w:rsidP="007F4594">
            <w:pPr>
              <w:spacing w:after="75"/>
              <w:ind w:firstLine="240"/>
              <w:jc w:val="both"/>
              <w:rPr>
                <w:sz w:val="22"/>
                <w:szCs w:val="22"/>
              </w:rPr>
            </w:pPr>
          </w:p>
          <w:p w:rsidR="007F4594" w:rsidRDefault="007F4594" w:rsidP="007F4594">
            <w:pPr>
              <w:spacing w:after="75"/>
              <w:ind w:firstLine="240"/>
              <w:jc w:val="both"/>
              <w:rPr>
                <w:sz w:val="22"/>
                <w:szCs w:val="22"/>
              </w:rPr>
            </w:pPr>
          </w:p>
          <w:p w:rsidR="007F4594" w:rsidRDefault="007F4594" w:rsidP="007F4594">
            <w:pPr>
              <w:spacing w:after="75"/>
              <w:ind w:firstLine="240"/>
              <w:jc w:val="both"/>
              <w:rPr>
                <w:sz w:val="22"/>
                <w:szCs w:val="22"/>
              </w:rPr>
            </w:pPr>
          </w:p>
          <w:p w:rsidR="007F4594" w:rsidRDefault="007F4594" w:rsidP="007F4594">
            <w:pPr>
              <w:spacing w:after="75"/>
              <w:ind w:firstLine="240"/>
              <w:jc w:val="both"/>
              <w:rPr>
                <w:sz w:val="22"/>
                <w:szCs w:val="22"/>
              </w:rPr>
            </w:pPr>
          </w:p>
          <w:p w:rsidR="007F4594" w:rsidRDefault="007F4594" w:rsidP="007F4594">
            <w:pPr>
              <w:spacing w:after="75"/>
              <w:ind w:firstLine="240"/>
              <w:jc w:val="both"/>
              <w:rPr>
                <w:sz w:val="22"/>
                <w:szCs w:val="22"/>
              </w:rPr>
            </w:pPr>
          </w:p>
          <w:p w:rsidR="007F4594" w:rsidRDefault="007F4594" w:rsidP="007F4594">
            <w:pPr>
              <w:spacing w:after="75"/>
              <w:ind w:firstLine="240"/>
              <w:jc w:val="both"/>
              <w:rPr>
                <w:sz w:val="22"/>
                <w:szCs w:val="22"/>
              </w:rPr>
            </w:pPr>
          </w:p>
          <w:p w:rsidR="007F4594" w:rsidRDefault="007F4594" w:rsidP="007F4594">
            <w:pPr>
              <w:spacing w:after="75"/>
              <w:ind w:firstLine="240"/>
              <w:jc w:val="both"/>
              <w:rPr>
                <w:sz w:val="22"/>
                <w:szCs w:val="22"/>
              </w:rPr>
            </w:pPr>
          </w:p>
          <w:p w:rsidR="007F4594" w:rsidRDefault="007F4594" w:rsidP="007F4594">
            <w:pPr>
              <w:spacing w:after="75"/>
              <w:ind w:firstLine="240"/>
              <w:jc w:val="both"/>
              <w:rPr>
                <w:sz w:val="22"/>
                <w:szCs w:val="22"/>
              </w:rPr>
            </w:pPr>
          </w:p>
          <w:p w:rsidR="007F4594" w:rsidRPr="009D3827" w:rsidRDefault="007F4594" w:rsidP="007F4594">
            <w:pPr>
              <w:spacing w:after="75"/>
              <w:ind w:firstLine="240"/>
              <w:jc w:val="both"/>
              <w:rPr>
                <w:sz w:val="22"/>
                <w:szCs w:val="22"/>
              </w:rPr>
            </w:pPr>
            <w:r w:rsidRPr="00CE050E">
              <w:rPr>
                <w:sz w:val="22"/>
                <w:szCs w:val="22"/>
              </w:rPr>
              <w:lastRenderedPageBreak/>
              <w:t xml:space="preserve">За 2022 - </w:t>
            </w:r>
            <w:r w:rsidRPr="007D0AF8">
              <w:rPr>
                <w:b/>
                <w:color w:val="FF0000"/>
                <w:sz w:val="22"/>
                <w:szCs w:val="22"/>
              </w:rPr>
              <w:t>2025</w:t>
            </w:r>
            <w:r w:rsidRPr="007D0AF8">
              <w:rPr>
                <w:color w:val="FF0000"/>
                <w:sz w:val="22"/>
                <w:szCs w:val="22"/>
              </w:rPr>
              <w:t xml:space="preserve"> роки</w:t>
            </w:r>
            <w:r w:rsidRPr="00CE050E">
              <w:rPr>
                <w:sz w:val="22"/>
                <w:szCs w:val="22"/>
              </w:rPr>
              <w:t xml:space="preserve"> для АТ "ДТЕК ДОНЕ</w:t>
            </w:r>
            <w:r w:rsidRPr="009D3827">
              <w:rPr>
                <w:sz w:val="22"/>
                <w:szCs w:val="22"/>
              </w:rPr>
              <w:t xml:space="preserve">ЦЬКІ ЕЛЕКТРОМЕРЕЖІ", </w:t>
            </w:r>
            <w:r w:rsidRPr="009D3827">
              <w:rPr>
                <w:b/>
                <w:sz w:val="22"/>
                <w:szCs w:val="22"/>
              </w:rPr>
              <w:t>АТ </w:t>
            </w:r>
            <w:r w:rsidRPr="009D3827">
              <w:rPr>
                <w:sz w:val="22"/>
                <w:szCs w:val="22"/>
              </w:rPr>
              <w:t>"ЗАПОРІЖЖЯОБЛЕНЕРГО", ТОВ "ДТЕК ВИСОКОВОЛЬТНІ МЕРЕЖІ" та за 2022 рік для АТ "ХЕРСОНОБЛЕНЕРГО" додатково отриманий або недоотриманий дохід ліцензіата визначається із застосуванням частки отриманого доходу (ЧОД), за вирахуванням статті "операційні контрольовані витрати", за формулою</w:t>
            </w:r>
          </w:p>
          <w:p w:rsidR="007F4594" w:rsidRPr="009D3827" w:rsidRDefault="007F4594" w:rsidP="007F4594">
            <w:pPr>
              <w:spacing w:after="75"/>
              <w:jc w:val="center"/>
              <w:rPr>
                <w:sz w:val="22"/>
                <w:szCs w:val="22"/>
              </w:rPr>
            </w:pPr>
            <w:r w:rsidRPr="009D3827">
              <w:rPr>
                <w:sz w:val="22"/>
                <w:szCs w:val="22"/>
              </w:rPr>
              <w:t>ДД</w:t>
            </w:r>
            <w:r w:rsidRPr="009D3827">
              <w:rPr>
                <w:sz w:val="22"/>
                <w:szCs w:val="22"/>
                <w:vertAlign w:val="subscript"/>
              </w:rPr>
              <w:t>О(Н)</w:t>
            </w:r>
            <w:r w:rsidRPr="009D3827">
              <w:rPr>
                <w:sz w:val="22"/>
                <w:szCs w:val="22"/>
              </w:rPr>
              <w:t xml:space="preserve"> = (</w:t>
            </w:r>
            <w:proofErr w:type="spellStart"/>
            <w:r w:rsidRPr="009D3827">
              <w:rPr>
                <w:sz w:val="22"/>
                <w:szCs w:val="22"/>
              </w:rPr>
              <w:t>НД</w:t>
            </w:r>
            <w:r w:rsidRPr="009D3827">
              <w:rPr>
                <w:sz w:val="22"/>
                <w:szCs w:val="22"/>
                <w:vertAlign w:val="subscript"/>
              </w:rPr>
              <w:t>т</w:t>
            </w:r>
            <w:proofErr w:type="spellEnd"/>
            <w:r w:rsidRPr="009D3827">
              <w:rPr>
                <w:sz w:val="22"/>
                <w:szCs w:val="22"/>
              </w:rPr>
              <w:t xml:space="preserve"> - </w:t>
            </w:r>
            <w:proofErr w:type="spellStart"/>
            <w:r w:rsidRPr="009D3827">
              <w:rPr>
                <w:sz w:val="22"/>
                <w:szCs w:val="22"/>
              </w:rPr>
              <w:t>ОКВ</w:t>
            </w:r>
            <w:r w:rsidRPr="009D3827">
              <w:rPr>
                <w:sz w:val="22"/>
                <w:szCs w:val="22"/>
                <w:vertAlign w:val="subscript"/>
              </w:rPr>
              <w:t>т</w:t>
            </w:r>
            <w:proofErr w:type="spellEnd"/>
            <w:r w:rsidRPr="009D3827">
              <w:rPr>
                <w:sz w:val="22"/>
                <w:szCs w:val="22"/>
              </w:rPr>
              <w:t>) х (ЧОД - 1),</w:t>
            </w:r>
          </w:p>
          <w:p w:rsidR="007F4594" w:rsidRPr="009D3827" w:rsidRDefault="007F4594" w:rsidP="007F4594">
            <w:pPr>
              <w:spacing w:after="75"/>
              <w:ind w:firstLine="240"/>
              <w:jc w:val="both"/>
              <w:rPr>
                <w:sz w:val="22"/>
                <w:szCs w:val="22"/>
              </w:rPr>
            </w:pPr>
            <w:r w:rsidRPr="009D3827">
              <w:rPr>
                <w:sz w:val="22"/>
                <w:szCs w:val="22"/>
              </w:rPr>
              <w:t>де ДД</w:t>
            </w:r>
            <w:r w:rsidRPr="009D3827">
              <w:rPr>
                <w:sz w:val="22"/>
                <w:szCs w:val="22"/>
                <w:vertAlign w:val="subscript"/>
              </w:rPr>
              <w:t>О(Н)</w:t>
            </w:r>
            <w:r w:rsidRPr="009D3827">
              <w:rPr>
                <w:sz w:val="22"/>
                <w:szCs w:val="22"/>
              </w:rPr>
              <w:t xml:space="preserve"> - додатково отриманий (недоотриманий) дохід ліцензіата внаслідок збільшення (зменшення) фактичних обсягів розподілу електричної енергії за відповідний період, тис. грн;</w:t>
            </w:r>
          </w:p>
          <w:p w:rsidR="007F4594" w:rsidRPr="009D3827" w:rsidRDefault="007F4594" w:rsidP="007F4594">
            <w:pPr>
              <w:spacing w:after="75"/>
              <w:ind w:firstLine="240"/>
              <w:jc w:val="both"/>
              <w:rPr>
                <w:sz w:val="22"/>
                <w:szCs w:val="22"/>
              </w:rPr>
            </w:pPr>
            <w:proofErr w:type="spellStart"/>
            <w:r w:rsidRPr="009D3827">
              <w:rPr>
                <w:sz w:val="22"/>
                <w:szCs w:val="22"/>
              </w:rPr>
              <w:t>НД</w:t>
            </w:r>
            <w:r w:rsidRPr="009D3827">
              <w:rPr>
                <w:sz w:val="22"/>
                <w:szCs w:val="22"/>
                <w:vertAlign w:val="subscript"/>
              </w:rPr>
              <w:t>т</w:t>
            </w:r>
            <w:proofErr w:type="spellEnd"/>
            <w:r w:rsidRPr="009D3827">
              <w:rPr>
                <w:sz w:val="22"/>
                <w:szCs w:val="22"/>
              </w:rPr>
              <w:t xml:space="preserve"> - середньорічний необхідний дохід, врахований у встановлених структурах тарифів, які діяли у відповідні періоди звітного року, тис. грн;</w:t>
            </w:r>
          </w:p>
          <w:p w:rsidR="007F4594" w:rsidRPr="009D3827" w:rsidRDefault="007F4594" w:rsidP="007F4594">
            <w:pPr>
              <w:spacing w:after="75"/>
              <w:ind w:firstLine="240"/>
              <w:jc w:val="both"/>
              <w:rPr>
                <w:sz w:val="22"/>
                <w:szCs w:val="22"/>
              </w:rPr>
            </w:pPr>
            <w:proofErr w:type="spellStart"/>
            <w:r w:rsidRPr="009D3827">
              <w:rPr>
                <w:sz w:val="22"/>
                <w:szCs w:val="22"/>
              </w:rPr>
              <w:t>ОКВ</w:t>
            </w:r>
            <w:r w:rsidRPr="009D3827">
              <w:rPr>
                <w:sz w:val="22"/>
                <w:szCs w:val="22"/>
                <w:vertAlign w:val="subscript"/>
              </w:rPr>
              <w:t>т</w:t>
            </w:r>
            <w:proofErr w:type="spellEnd"/>
            <w:r w:rsidRPr="009D3827">
              <w:rPr>
                <w:sz w:val="22"/>
                <w:szCs w:val="22"/>
              </w:rPr>
              <w:t xml:space="preserve"> - середньорічна сума витрат за статтею "операційні контрольовані витрати", врахована у встановлених структурах тарифів, які діяли у відповідні періоди звітного року, тис. грн;</w:t>
            </w:r>
          </w:p>
          <w:p w:rsidR="007F4594" w:rsidRPr="009D3827" w:rsidRDefault="007F4594" w:rsidP="007F4594">
            <w:pPr>
              <w:spacing w:after="75"/>
              <w:ind w:firstLine="240"/>
              <w:jc w:val="both"/>
              <w:rPr>
                <w:sz w:val="22"/>
                <w:szCs w:val="22"/>
              </w:rPr>
            </w:pPr>
            <w:r w:rsidRPr="009D3827">
              <w:rPr>
                <w:sz w:val="22"/>
                <w:szCs w:val="22"/>
              </w:rPr>
              <w:t>ЧОД - частка отриманого доходу, яка дорівнює співвідношенню фактичного доходу за 2022, 2023 або 2024 рік (визначеного як співвідношення фактичних помісячних обсягів розподілу електричної енергії у відповідному періоді до прогнозованих обсягів розподілу електричної енергії, врахованих при розрахунку тарифів, які діяли у відповідні періоди звітного року, в. о.</w:t>
            </w:r>
          </w:p>
          <w:p w:rsidR="007F4594" w:rsidRPr="009D3827" w:rsidRDefault="007F4594" w:rsidP="007F4594">
            <w:pPr>
              <w:spacing w:after="75"/>
              <w:ind w:firstLine="240"/>
              <w:jc w:val="both"/>
              <w:rPr>
                <w:sz w:val="22"/>
                <w:szCs w:val="22"/>
              </w:rPr>
            </w:pPr>
            <w:r w:rsidRPr="009D3827">
              <w:rPr>
                <w:sz w:val="22"/>
                <w:szCs w:val="22"/>
              </w:rPr>
              <w:t>За 2023 та 2024 роки для АТ "ХЕРСОНОБЛЕНЕРГО" додатково отриманий (недоотриманий) дохід внаслідок збільшення (зменшення) фактичних обсягів розподілу електричної енергії (ДД</w:t>
            </w:r>
            <w:r w:rsidRPr="009D3827">
              <w:rPr>
                <w:sz w:val="22"/>
                <w:szCs w:val="22"/>
                <w:vertAlign w:val="subscript"/>
              </w:rPr>
              <w:t>О(Н)</w:t>
            </w:r>
            <w:r w:rsidRPr="009D3827">
              <w:rPr>
                <w:sz w:val="22"/>
                <w:szCs w:val="22"/>
              </w:rPr>
              <w:t xml:space="preserve">) визначається з урахуванням різниці між сумою необхідного доходу, передбаченого встановленою річною </w:t>
            </w:r>
            <w:r w:rsidRPr="009D3827">
              <w:rPr>
                <w:sz w:val="22"/>
                <w:szCs w:val="22"/>
              </w:rPr>
              <w:lastRenderedPageBreak/>
              <w:t>структурою тарифів на 2023 та 2024 роки, та добутком фактичних помісячних обсягів розподілу електричної енергії і тарифів, що діяли у відповідному періоді звітного року, за формулою</w:t>
            </w:r>
          </w:p>
          <w:p w:rsidR="007F4594" w:rsidRPr="009D3827" w:rsidRDefault="007F4594" w:rsidP="007F4594">
            <w:pPr>
              <w:spacing w:after="75"/>
              <w:ind w:firstLine="240"/>
              <w:jc w:val="both"/>
              <w:rPr>
                <w:sz w:val="22"/>
                <w:szCs w:val="22"/>
              </w:rPr>
            </w:pPr>
            <w:r w:rsidRPr="009D3827">
              <w:rPr>
                <w:sz w:val="22"/>
                <w:szCs w:val="22"/>
              </w:rPr>
              <w:t>ДД</w:t>
            </w:r>
            <w:r w:rsidRPr="009D3827">
              <w:rPr>
                <w:sz w:val="22"/>
                <w:szCs w:val="22"/>
                <w:vertAlign w:val="subscript"/>
              </w:rPr>
              <w:t>О(Н)</w:t>
            </w:r>
            <w:r w:rsidRPr="009D3827">
              <w:rPr>
                <w:sz w:val="22"/>
                <w:szCs w:val="22"/>
              </w:rPr>
              <w:t xml:space="preserve"> = ((</w:t>
            </w:r>
            <w:proofErr w:type="spellStart"/>
            <w:r w:rsidRPr="009D3827">
              <w:rPr>
                <w:sz w:val="22"/>
                <w:szCs w:val="22"/>
              </w:rPr>
              <w:t>НД</w:t>
            </w:r>
            <w:r w:rsidRPr="009D3827">
              <w:rPr>
                <w:sz w:val="22"/>
                <w:szCs w:val="22"/>
                <w:vertAlign w:val="subscript"/>
              </w:rPr>
              <w:t>т</w:t>
            </w:r>
            <w:proofErr w:type="spellEnd"/>
            <w:r w:rsidRPr="009D3827">
              <w:rPr>
                <w:sz w:val="22"/>
                <w:szCs w:val="22"/>
              </w:rPr>
              <w:t xml:space="preserve"> - </w:t>
            </w:r>
            <w:proofErr w:type="spellStart"/>
            <w:r w:rsidRPr="009D3827">
              <w:rPr>
                <w:sz w:val="22"/>
                <w:szCs w:val="22"/>
              </w:rPr>
              <w:t>ОКВ</w:t>
            </w:r>
            <w:r w:rsidRPr="009D3827">
              <w:rPr>
                <w:sz w:val="22"/>
                <w:szCs w:val="22"/>
                <w:vertAlign w:val="subscript"/>
              </w:rPr>
              <w:t>т</w:t>
            </w:r>
            <w:proofErr w:type="spellEnd"/>
            <w:r w:rsidRPr="009D3827">
              <w:rPr>
                <w:sz w:val="22"/>
                <w:szCs w:val="22"/>
              </w:rPr>
              <w:t xml:space="preserve"> + </w:t>
            </w:r>
            <w:proofErr w:type="spellStart"/>
            <w:r w:rsidRPr="009D3827">
              <w:rPr>
                <w:sz w:val="22"/>
                <w:szCs w:val="22"/>
              </w:rPr>
              <w:t>ННД</w:t>
            </w:r>
            <w:r w:rsidRPr="009D3827">
              <w:rPr>
                <w:sz w:val="22"/>
                <w:szCs w:val="22"/>
                <w:vertAlign w:val="subscript"/>
              </w:rPr>
              <w:t>т</w:t>
            </w:r>
            <w:proofErr w:type="spellEnd"/>
            <w:r w:rsidRPr="009D3827">
              <w:rPr>
                <w:sz w:val="22"/>
                <w:szCs w:val="22"/>
              </w:rPr>
              <w:t>) х (ЧОД - 1)),</w:t>
            </w:r>
          </w:p>
          <w:p w:rsidR="007F4594" w:rsidRPr="009D3827" w:rsidRDefault="007F4594" w:rsidP="007F4594">
            <w:pPr>
              <w:spacing w:after="75"/>
              <w:ind w:firstLine="240"/>
              <w:jc w:val="both"/>
              <w:rPr>
                <w:sz w:val="22"/>
                <w:szCs w:val="22"/>
              </w:rPr>
            </w:pPr>
            <w:r w:rsidRPr="009D3827">
              <w:rPr>
                <w:sz w:val="22"/>
                <w:szCs w:val="22"/>
              </w:rPr>
              <w:t xml:space="preserve">де </w:t>
            </w:r>
            <w:proofErr w:type="spellStart"/>
            <w:r w:rsidRPr="009D3827">
              <w:rPr>
                <w:sz w:val="22"/>
                <w:szCs w:val="22"/>
              </w:rPr>
              <w:t>ННД</w:t>
            </w:r>
            <w:r w:rsidRPr="009D3827">
              <w:rPr>
                <w:sz w:val="22"/>
                <w:szCs w:val="22"/>
                <w:vertAlign w:val="subscript"/>
              </w:rPr>
              <w:t>т</w:t>
            </w:r>
            <w:proofErr w:type="spellEnd"/>
            <w:r w:rsidRPr="009D3827">
              <w:rPr>
                <w:sz w:val="22"/>
                <w:szCs w:val="22"/>
              </w:rPr>
              <w:t xml:space="preserve"> - недоотриманий необхідний дохід, розрахований на підставі середньорічної структури тарифів у звітному році, тис. грн, та визначається за формулою</w:t>
            </w:r>
          </w:p>
          <w:p w:rsidR="007F4594" w:rsidRPr="009D3827" w:rsidRDefault="007F4594" w:rsidP="007F4594">
            <w:pPr>
              <w:spacing w:after="75"/>
              <w:ind w:firstLine="240"/>
              <w:jc w:val="both"/>
              <w:rPr>
                <w:sz w:val="22"/>
                <w:szCs w:val="22"/>
              </w:rPr>
            </w:pPr>
            <w:proofErr w:type="spellStart"/>
            <w:r w:rsidRPr="009D3827">
              <w:rPr>
                <w:sz w:val="22"/>
                <w:szCs w:val="22"/>
              </w:rPr>
              <w:t>ННД</w:t>
            </w:r>
            <w:r w:rsidRPr="009D3827">
              <w:rPr>
                <w:sz w:val="22"/>
                <w:szCs w:val="22"/>
                <w:vertAlign w:val="subscript"/>
              </w:rPr>
              <w:t>т</w:t>
            </w:r>
            <w:proofErr w:type="spellEnd"/>
            <w:r w:rsidRPr="009D3827">
              <w:rPr>
                <w:sz w:val="22"/>
                <w:szCs w:val="22"/>
              </w:rPr>
              <w:t xml:space="preserve"> = </w:t>
            </w:r>
            <w:proofErr w:type="spellStart"/>
            <w:r w:rsidRPr="009D3827">
              <w:rPr>
                <w:sz w:val="22"/>
                <w:szCs w:val="22"/>
              </w:rPr>
              <w:t>НД</w:t>
            </w:r>
            <w:r w:rsidRPr="009D3827">
              <w:rPr>
                <w:sz w:val="22"/>
                <w:szCs w:val="22"/>
                <w:vertAlign w:val="subscript"/>
              </w:rPr>
              <w:t>т</w:t>
            </w:r>
            <w:proofErr w:type="spellEnd"/>
            <w:r w:rsidRPr="009D3827">
              <w:rPr>
                <w:sz w:val="22"/>
                <w:szCs w:val="22"/>
              </w:rPr>
              <w:t xml:space="preserve"> - ФД,</w:t>
            </w:r>
          </w:p>
          <w:p w:rsidR="007F4594" w:rsidRPr="009D3827" w:rsidRDefault="007F4594" w:rsidP="007F4594">
            <w:pPr>
              <w:ind w:firstLine="308"/>
              <w:jc w:val="both"/>
              <w:rPr>
                <w:sz w:val="22"/>
                <w:szCs w:val="22"/>
              </w:rPr>
            </w:pPr>
            <w:r w:rsidRPr="009D3827">
              <w:rPr>
                <w:sz w:val="22"/>
                <w:szCs w:val="22"/>
              </w:rPr>
              <w:t>де ФД - фактичний дохід, розрахований як добуток фактичних помісячних обсягів розподілу електричної енергії і тарифів, що діяли у відповідному періоді звітного року, тис. грн;</w:t>
            </w:r>
          </w:p>
          <w:p w:rsidR="007F4594" w:rsidRPr="009D3827" w:rsidRDefault="007F4594" w:rsidP="007F4594">
            <w:pPr>
              <w:ind w:firstLine="308"/>
              <w:jc w:val="both"/>
              <w:rPr>
                <w:b/>
                <w:sz w:val="22"/>
                <w:szCs w:val="22"/>
                <w:shd w:val="clear" w:color="auto" w:fill="FFFFFF"/>
              </w:rPr>
            </w:pPr>
            <w:r w:rsidRPr="009D3827">
              <w:rPr>
                <w:b/>
                <w:sz w:val="22"/>
                <w:szCs w:val="22"/>
                <w:shd w:val="clear" w:color="auto" w:fill="FFFFFF"/>
              </w:rPr>
              <w:t xml:space="preserve">Починаючи з 2025 року, для АТ «ДТЕК ДОНЕЦЬКI ЕЛЕКТРОМЕРЕЖI», АТ «ЗАПОРIЖЖЯОБЛЕНЕРГО», АТ «ХЕРСОНОБЛЕНЕРГО» та ТОВ «ДТЕК ВИСОКОВОЛЬТНI МЕРЕЖI» додатково отриманий (недоотриманий) дохід ліцензіата внаслідок збільшення (зменшення) фактичних обсягів розподілу електричної енергії за звітний період визначається як різниця між добутком фактичних помісячних обсягів розподілу електричної енергії і тарифів, що діяли у відповідному періоді, та сумою необхідного доходу, передбаченого встановленою річною структурою тарифів на звітний рік із застосуванням </w:t>
            </w:r>
            <w:proofErr w:type="spellStart"/>
            <w:r w:rsidRPr="009D3827">
              <w:rPr>
                <w:b/>
                <w:sz w:val="22"/>
                <w:szCs w:val="22"/>
                <w:shd w:val="clear" w:color="auto" w:fill="FFFFFF"/>
              </w:rPr>
              <w:t>КФУу</w:t>
            </w:r>
            <w:proofErr w:type="spellEnd"/>
            <w:r w:rsidRPr="009D3827">
              <w:rPr>
                <w:b/>
                <w:sz w:val="22"/>
                <w:szCs w:val="22"/>
                <w:shd w:val="clear" w:color="auto" w:fill="FFFFFF"/>
              </w:rPr>
              <w:t>, за формулою</w:t>
            </w:r>
          </w:p>
          <w:p w:rsidR="007F4594" w:rsidRPr="009D3827" w:rsidRDefault="007F4594" w:rsidP="007F4594">
            <w:pPr>
              <w:ind w:firstLine="308"/>
              <w:jc w:val="both"/>
              <w:rPr>
                <w:b/>
                <w:sz w:val="22"/>
                <w:szCs w:val="22"/>
                <w:shd w:val="clear" w:color="auto" w:fill="FFFFFF"/>
              </w:rPr>
            </w:pPr>
            <w:r w:rsidRPr="009D3827">
              <w:rPr>
                <w:b/>
                <w:sz w:val="22"/>
                <w:szCs w:val="22"/>
                <w:shd w:val="clear" w:color="auto" w:fill="FFFFFF"/>
              </w:rPr>
              <w:t>ДД</w:t>
            </w:r>
            <w:r w:rsidRPr="009D3827">
              <w:rPr>
                <w:b/>
                <w:sz w:val="22"/>
                <w:szCs w:val="22"/>
                <w:shd w:val="clear" w:color="auto" w:fill="FFFFFF"/>
                <w:vertAlign w:val="subscript"/>
              </w:rPr>
              <w:t>О(Н)</w:t>
            </w:r>
            <w:r w:rsidRPr="009D3827">
              <w:rPr>
                <w:b/>
                <w:sz w:val="22"/>
                <w:szCs w:val="22"/>
                <w:shd w:val="clear" w:color="auto" w:fill="FFFFFF"/>
              </w:rPr>
              <w:t xml:space="preserve"> = ФД – (</w:t>
            </w:r>
            <w:proofErr w:type="spellStart"/>
            <w:r w:rsidRPr="009D3827">
              <w:rPr>
                <w:b/>
                <w:sz w:val="22"/>
                <w:szCs w:val="22"/>
                <w:shd w:val="clear" w:color="auto" w:fill="FFFFFF"/>
              </w:rPr>
              <w:t>ЧНДт</w:t>
            </w:r>
            <w:proofErr w:type="spellEnd"/>
            <w:r w:rsidRPr="009D3827">
              <w:rPr>
                <w:b/>
                <w:sz w:val="22"/>
                <w:szCs w:val="22"/>
                <w:shd w:val="clear" w:color="auto" w:fill="FFFFFF"/>
              </w:rPr>
              <w:t xml:space="preserve"> + (</w:t>
            </w:r>
            <w:proofErr w:type="spellStart"/>
            <w:r w:rsidRPr="009D3827">
              <w:rPr>
                <w:b/>
                <w:sz w:val="22"/>
                <w:szCs w:val="22"/>
                <w:shd w:val="clear" w:color="auto" w:fill="FFFFFF"/>
              </w:rPr>
              <w:t>ОКВт</w:t>
            </w:r>
            <w:proofErr w:type="spellEnd"/>
            <w:r w:rsidRPr="009D3827">
              <w:rPr>
                <w:b/>
                <w:sz w:val="22"/>
                <w:szCs w:val="22"/>
                <w:shd w:val="clear" w:color="auto" w:fill="FFFFFF"/>
              </w:rPr>
              <w:t xml:space="preserve"> × </w:t>
            </w:r>
            <w:proofErr w:type="spellStart"/>
            <w:r w:rsidRPr="009D3827">
              <w:rPr>
                <w:b/>
                <w:sz w:val="22"/>
                <w:szCs w:val="22"/>
                <w:shd w:val="clear" w:color="auto" w:fill="FFFFFF"/>
              </w:rPr>
              <w:t>КФУу</w:t>
            </w:r>
            <w:proofErr w:type="spellEnd"/>
            <w:r w:rsidRPr="009D3827">
              <w:rPr>
                <w:b/>
                <w:sz w:val="22"/>
                <w:szCs w:val="22"/>
                <w:shd w:val="clear" w:color="auto" w:fill="FFFFFF"/>
              </w:rPr>
              <w:t>)), тис. грн,</w:t>
            </w:r>
          </w:p>
          <w:p w:rsidR="007F4594" w:rsidRPr="009D3827" w:rsidRDefault="007F4594" w:rsidP="007F4594">
            <w:pPr>
              <w:ind w:firstLine="308"/>
              <w:jc w:val="both"/>
              <w:rPr>
                <w:b/>
                <w:sz w:val="22"/>
                <w:szCs w:val="22"/>
                <w:shd w:val="clear" w:color="auto" w:fill="FFFFFF"/>
              </w:rPr>
            </w:pPr>
            <w:r w:rsidRPr="009D3827">
              <w:rPr>
                <w:b/>
                <w:sz w:val="22"/>
                <w:szCs w:val="22"/>
                <w:shd w:val="clear" w:color="auto" w:fill="FFFFFF"/>
              </w:rPr>
              <w:t>де ДД</w:t>
            </w:r>
            <w:r w:rsidRPr="009D3827">
              <w:rPr>
                <w:b/>
                <w:sz w:val="22"/>
                <w:szCs w:val="22"/>
                <w:shd w:val="clear" w:color="auto" w:fill="FFFFFF"/>
                <w:vertAlign w:val="subscript"/>
              </w:rPr>
              <w:t>О(Н)</w:t>
            </w:r>
            <w:r w:rsidRPr="009D3827">
              <w:rPr>
                <w:b/>
                <w:sz w:val="22"/>
                <w:szCs w:val="22"/>
                <w:shd w:val="clear" w:color="auto" w:fill="FFFFFF"/>
              </w:rPr>
              <w:t xml:space="preserve"> – додатково отриманий (недоотриманий) дохід ліцензіата внаслідок збільшення (зменшення) фактичних обсягів розподілу електричної енергії за звітний період, тис. грн;</w:t>
            </w:r>
          </w:p>
          <w:p w:rsidR="007F4594" w:rsidRPr="009D3827" w:rsidRDefault="007F4594" w:rsidP="007F4594">
            <w:pPr>
              <w:ind w:firstLine="308"/>
              <w:jc w:val="both"/>
              <w:rPr>
                <w:b/>
                <w:sz w:val="22"/>
                <w:szCs w:val="22"/>
                <w:shd w:val="clear" w:color="auto" w:fill="FFFFFF"/>
              </w:rPr>
            </w:pPr>
            <w:r w:rsidRPr="009D3827">
              <w:rPr>
                <w:b/>
                <w:sz w:val="22"/>
                <w:szCs w:val="22"/>
                <w:shd w:val="clear" w:color="auto" w:fill="FFFFFF"/>
              </w:rPr>
              <w:t xml:space="preserve">ФД – фактичний дохід ліцензіата, розрахований як добуток фактичних помісячних </w:t>
            </w:r>
            <w:r w:rsidRPr="009D3827">
              <w:rPr>
                <w:b/>
                <w:sz w:val="22"/>
                <w:szCs w:val="22"/>
                <w:shd w:val="clear" w:color="auto" w:fill="FFFFFF"/>
              </w:rPr>
              <w:lastRenderedPageBreak/>
              <w:t>обсягів розподілу електричної енергії у відповідному періоді і тарифів, що діяли у відповідному періоді звітного року, тис. грн;</w:t>
            </w:r>
          </w:p>
          <w:p w:rsidR="007F4594" w:rsidRPr="009D3827" w:rsidRDefault="007F4594" w:rsidP="007F4594">
            <w:pPr>
              <w:ind w:firstLine="308"/>
              <w:jc w:val="both"/>
              <w:rPr>
                <w:b/>
                <w:sz w:val="22"/>
                <w:szCs w:val="22"/>
                <w:shd w:val="clear" w:color="auto" w:fill="FFFFFF"/>
              </w:rPr>
            </w:pPr>
            <w:proofErr w:type="spellStart"/>
            <w:r w:rsidRPr="009D3827">
              <w:rPr>
                <w:b/>
                <w:sz w:val="22"/>
                <w:szCs w:val="22"/>
                <w:shd w:val="clear" w:color="auto" w:fill="FFFFFF"/>
              </w:rPr>
              <w:t>ЧНДт</w:t>
            </w:r>
            <w:proofErr w:type="spellEnd"/>
            <w:r w:rsidRPr="009D3827">
              <w:rPr>
                <w:b/>
                <w:sz w:val="22"/>
                <w:szCs w:val="22"/>
                <w:shd w:val="clear" w:color="auto" w:fill="FFFFFF"/>
              </w:rPr>
              <w:t xml:space="preserve"> – частина необхідного доходу, врахованого у встановлених структурах тарифів, які діяли у відповідні періоди звітного року, за вирахуванням операційних контрольованих витрат, урахованих у тарифах на звітний рік, визначена за формулою</w:t>
            </w:r>
          </w:p>
          <w:p w:rsidR="007F4594" w:rsidRPr="009D3827" w:rsidRDefault="007F4594" w:rsidP="007F4594">
            <w:pPr>
              <w:ind w:firstLine="308"/>
              <w:jc w:val="both"/>
              <w:rPr>
                <w:b/>
                <w:sz w:val="22"/>
                <w:szCs w:val="22"/>
                <w:shd w:val="clear" w:color="auto" w:fill="FFFFFF"/>
              </w:rPr>
            </w:pPr>
            <w:proofErr w:type="spellStart"/>
            <w:r w:rsidRPr="009D3827">
              <w:rPr>
                <w:b/>
                <w:sz w:val="22"/>
                <w:szCs w:val="22"/>
                <w:shd w:val="clear" w:color="auto" w:fill="FFFFFF"/>
              </w:rPr>
              <w:t>ЧНДт</w:t>
            </w:r>
            <w:proofErr w:type="spellEnd"/>
            <w:r w:rsidRPr="009D3827">
              <w:rPr>
                <w:b/>
                <w:sz w:val="22"/>
                <w:szCs w:val="22"/>
                <w:shd w:val="clear" w:color="auto" w:fill="FFFFFF"/>
              </w:rPr>
              <w:t xml:space="preserve"> = </w:t>
            </w:r>
            <w:proofErr w:type="spellStart"/>
            <w:r w:rsidRPr="009D3827">
              <w:rPr>
                <w:b/>
                <w:sz w:val="22"/>
                <w:szCs w:val="22"/>
                <w:shd w:val="clear" w:color="auto" w:fill="FFFFFF"/>
              </w:rPr>
              <w:t>НДт</w:t>
            </w:r>
            <w:proofErr w:type="spellEnd"/>
            <w:r w:rsidRPr="009D3827">
              <w:rPr>
                <w:b/>
                <w:sz w:val="22"/>
                <w:szCs w:val="22"/>
                <w:shd w:val="clear" w:color="auto" w:fill="FFFFFF"/>
              </w:rPr>
              <w:t xml:space="preserve"> – </w:t>
            </w:r>
            <w:proofErr w:type="spellStart"/>
            <w:r w:rsidRPr="009D3827">
              <w:rPr>
                <w:b/>
                <w:sz w:val="22"/>
                <w:szCs w:val="22"/>
                <w:shd w:val="clear" w:color="auto" w:fill="FFFFFF"/>
              </w:rPr>
              <w:t>ОКВт</w:t>
            </w:r>
            <w:proofErr w:type="spellEnd"/>
            <w:r w:rsidRPr="009D3827">
              <w:rPr>
                <w:b/>
                <w:sz w:val="22"/>
                <w:szCs w:val="22"/>
                <w:shd w:val="clear" w:color="auto" w:fill="FFFFFF"/>
              </w:rPr>
              <w:t>, тис. грн,</w:t>
            </w:r>
          </w:p>
          <w:p w:rsidR="007F4594" w:rsidRPr="009D3827" w:rsidRDefault="007F4594" w:rsidP="007F4594">
            <w:pPr>
              <w:ind w:firstLine="308"/>
              <w:jc w:val="both"/>
              <w:rPr>
                <w:b/>
                <w:sz w:val="22"/>
                <w:szCs w:val="22"/>
                <w:shd w:val="clear" w:color="auto" w:fill="FFFFFF"/>
              </w:rPr>
            </w:pPr>
            <w:r w:rsidRPr="009D3827">
              <w:rPr>
                <w:b/>
                <w:sz w:val="22"/>
                <w:szCs w:val="22"/>
                <w:shd w:val="clear" w:color="auto" w:fill="FFFFFF"/>
              </w:rPr>
              <w:t xml:space="preserve">де </w:t>
            </w:r>
            <w:proofErr w:type="spellStart"/>
            <w:r w:rsidRPr="009D3827">
              <w:rPr>
                <w:b/>
                <w:sz w:val="22"/>
                <w:szCs w:val="22"/>
                <w:shd w:val="clear" w:color="auto" w:fill="FFFFFF"/>
              </w:rPr>
              <w:t>НДт</w:t>
            </w:r>
            <w:proofErr w:type="spellEnd"/>
            <w:r w:rsidRPr="009D3827">
              <w:rPr>
                <w:b/>
                <w:sz w:val="22"/>
                <w:szCs w:val="22"/>
                <w:shd w:val="clear" w:color="auto" w:fill="FFFFFF"/>
              </w:rPr>
              <w:t xml:space="preserve"> – середньорічний необхідний дохід, урахований у встановлених структурах тарифів, які діяли у відповідні періоди звітного року, тис. грн;</w:t>
            </w:r>
          </w:p>
          <w:p w:rsidR="007F4594" w:rsidRPr="009D3827" w:rsidRDefault="007F4594" w:rsidP="007F4594">
            <w:pPr>
              <w:ind w:firstLine="308"/>
              <w:jc w:val="both"/>
              <w:rPr>
                <w:sz w:val="22"/>
                <w:szCs w:val="22"/>
                <w:shd w:val="clear" w:color="auto" w:fill="FFFFFF"/>
              </w:rPr>
            </w:pPr>
            <w:proofErr w:type="spellStart"/>
            <w:r w:rsidRPr="009D3827">
              <w:rPr>
                <w:b/>
                <w:sz w:val="22"/>
                <w:szCs w:val="22"/>
                <w:shd w:val="clear" w:color="auto" w:fill="FFFFFF"/>
              </w:rPr>
              <w:t>ОКВт</w:t>
            </w:r>
            <w:proofErr w:type="spellEnd"/>
            <w:r w:rsidRPr="009D3827">
              <w:rPr>
                <w:b/>
                <w:sz w:val="22"/>
                <w:szCs w:val="22"/>
                <w:shd w:val="clear" w:color="auto" w:fill="FFFFFF"/>
              </w:rPr>
              <w:t xml:space="preserve"> – операційні контрольовані витрати, які враховані в тарифах на звітний рік, розрахунок яких здійснено із застосуванням КФУ відповідно до Порядку № 1175, тис. грн;</w:t>
            </w:r>
          </w:p>
        </w:tc>
        <w:tc>
          <w:tcPr>
            <w:tcW w:w="5066" w:type="dxa"/>
            <w:shd w:val="clear" w:color="auto" w:fill="auto"/>
          </w:tcPr>
          <w:p w:rsidR="007F4594" w:rsidRPr="009D3827" w:rsidRDefault="007F4594" w:rsidP="007F4594">
            <w:pPr>
              <w:ind w:firstLine="308"/>
              <w:jc w:val="both"/>
              <w:rPr>
                <w:sz w:val="22"/>
                <w:szCs w:val="22"/>
              </w:rPr>
            </w:pPr>
            <w:r w:rsidRPr="00BF0320">
              <w:rPr>
                <w:i/>
                <w:sz w:val="22"/>
                <w:szCs w:val="22"/>
                <w:shd w:val="clear" w:color="auto" w:fill="FFFFFF"/>
              </w:rPr>
              <w:lastRenderedPageBreak/>
              <w:t>АТ «ЧЕРНІВЦІОБЛЕНЕРГО»</w:t>
            </w:r>
          </w:p>
          <w:p w:rsidR="007F4594" w:rsidRPr="00FB2925" w:rsidRDefault="007F4594" w:rsidP="007F4594">
            <w:pPr>
              <w:ind w:firstLine="308"/>
              <w:jc w:val="both"/>
              <w:rPr>
                <w:i/>
                <w:sz w:val="22"/>
                <w:szCs w:val="22"/>
                <w:shd w:val="clear" w:color="auto" w:fill="FFFFFF"/>
              </w:rPr>
            </w:pPr>
          </w:p>
          <w:p w:rsidR="007F4594" w:rsidRPr="00FB2925" w:rsidRDefault="007F4594" w:rsidP="007F4594">
            <w:pPr>
              <w:spacing w:after="75"/>
              <w:ind w:firstLine="240"/>
              <w:jc w:val="both"/>
              <w:rPr>
                <w:sz w:val="22"/>
                <w:szCs w:val="22"/>
              </w:rPr>
            </w:pPr>
            <w:r w:rsidRPr="00FB2925">
              <w:rPr>
                <w:sz w:val="22"/>
                <w:szCs w:val="22"/>
              </w:rPr>
              <w:t xml:space="preserve">2) додатково отриманий (недоотриманий) дохід ліцензіата внаслідок збільшення (зменшення) фактичних обсягів розподілу електричної енергії ліцензіата порівняно з обсягами розподілу електричної енергії ліцензіатів, урахованими в затвердженій структурі тарифів на послуги з розподілу електричної енергії, з урахуванням очікуваного додаткового (недоотриманого) доходу від збільшення (зменшення) обсягів з розподілу </w:t>
            </w:r>
            <w:r w:rsidRPr="00FB2925">
              <w:rPr>
                <w:sz w:val="22"/>
                <w:szCs w:val="22"/>
              </w:rPr>
              <w:lastRenderedPageBreak/>
              <w:t>електричної енергії у звітному році, який вже було враховано у структурах тарифів.</w:t>
            </w:r>
          </w:p>
          <w:p w:rsidR="007F4594" w:rsidRPr="00FB2925" w:rsidRDefault="007F4594" w:rsidP="007F4594">
            <w:pPr>
              <w:ind w:firstLine="308"/>
              <w:jc w:val="both"/>
              <w:rPr>
                <w:b/>
                <w:sz w:val="22"/>
                <w:szCs w:val="22"/>
              </w:rPr>
            </w:pPr>
            <w:r w:rsidRPr="00FB2925">
              <w:rPr>
                <w:b/>
                <w:sz w:val="22"/>
                <w:szCs w:val="22"/>
              </w:rPr>
              <w:t>За 2023 - 2025 роки для ПРАТ "КІРОВОГРАДОБЛЕНЕРГО", АТ "ЖИТОМИРОБЛЕНЕРГО", АТ "ЧЕРНІВЦІОБЛЕНЕРГО" та ПРАТ "РІВНЕОБЛЕНЕРГО" додатково отриманий (недоотриманий) дохід ліцензіата визначається як різниця між сумою необхідного доходу, передбаченого встановленою річною структурою тарифів на 2023 - 2025 роки, та добутком фактичних помісячних обсягів розподілу електричної енергії і тарифів, що діяли у відповідному періоді.</w:t>
            </w:r>
          </w:p>
          <w:p w:rsidR="007F4594" w:rsidRPr="00CE050E" w:rsidRDefault="007F4594" w:rsidP="007F4594">
            <w:pPr>
              <w:ind w:firstLine="308"/>
              <w:jc w:val="both"/>
              <w:rPr>
                <w:i/>
                <w:sz w:val="22"/>
                <w:szCs w:val="22"/>
                <w:shd w:val="clear" w:color="auto" w:fill="FFFFFF"/>
              </w:rPr>
            </w:pPr>
          </w:p>
          <w:p w:rsidR="007F4594" w:rsidRPr="00CE050E" w:rsidRDefault="007F4594" w:rsidP="007F4594">
            <w:pPr>
              <w:ind w:firstLine="308"/>
              <w:jc w:val="both"/>
              <w:rPr>
                <w:i/>
                <w:sz w:val="22"/>
                <w:szCs w:val="22"/>
                <w:shd w:val="clear" w:color="auto" w:fill="FFFFFF"/>
              </w:rPr>
            </w:pPr>
            <w:r w:rsidRPr="00CE050E">
              <w:rPr>
                <w:i/>
                <w:sz w:val="22"/>
                <w:szCs w:val="22"/>
                <w:shd w:val="clear" w:color="auto" w:fill="FFFFFF"/>
              </w:rPr>
              <w:t>ОБҐРУНТУВАННЯ:</w:t>
            </w:r>
          </w:p>
          <w:p w:rsidR="007F4594" w:rsidRPr="00CE050E" w:rsidRDefault="007F4594" w:rsidP="007F4594">
            <w:pPr>
              <w:ind w:firstLine="308"/>
              <w:jc w:val="both"/>
              <w:rPr>
                <w:i/>
                <w:sz w:val="22"/>
                <w:szCs w:val="22"/>
              </w:rPr>
            </w:pPr>
            <w:r w:rsidRPr="00CE050E">
              <w:rPr>
                <w:i/>
                <w:sz w:val="22"/>
                <w:szCs w:val="22"/>
              </w:rPr>
              <w:t>Підпункт 2 пункту 5 Додатку №29, з метою забезпечення відповідності  підходу, визначеному у підпункті 19 пункту 4 даного додатку, необхідно доповнити зазначеним абзацом.</w:t>
            </w:r>
          </w:p>
          <w:p w:rsidR="007F4594" w:rsidRDefault="007F4594" w:rsidP="007F4594">
            <w:pPr>
              <w:ind w:firstLine="308"/>
              <w:jc w:val="both"/>
              <w:rPr>
                <w:i/>
                <w:strike/>
                <w:sz w:val="22"/>
                <w:szCs w:val="22"/>
                <w:shd w:val="clear" w:color="auto" w:fill="FFFFFF"/>
              </w:rPr>
            </w:pPr>
          </w:p>
          <w:p w:rsidR="007F4594" w:rsidRPr="008865BB" w:rsidRDefault="007F4594" w:rsidP="007F4594">
            <w:pPr>
              <w:ind w:firstLine="308"/>
              <w:jc w:val="both"/>
              <w:rPr>
                <w:i/>
                <w:sz w:val="22"/>
                <w:szCs w:val="22"/>
                <w:shd w:val="clear" w:color="auto" w:fill="FFFFFF"/>
              </w:rPr>
            </w:pPr>
            <w:r w:rsidRPr="008865BB">
              <w:rPr>
                <w:i/>
                <w:sz w:val="22"/>
                <w:szCs w:val="22"/>
                <w:shd w:val="clear" w:color="auto" w:fill="FFFFFF"/>
              </w:rPr>
              <w:t>ГС «РЕУ»</w:t>
            </w:r>
          </w:p>
          <w:p w:rsidR="007F4594" w:rsidRPr="009D3827" w:rsidRDefault="007F4594" w:rsidP="007F4594">
            <w:pPr>
              <w:ind w:firstLine="240"/>
              <w:jc w:val="both"/>
              <w:rPr>
                <w:sz w:val="22"/>
                <w:szCs w:val="22"/>
              </w:rPr>
            </w:pPr>
            <w:r w:rsidRPr="009D3827">
              <w:rPr>
                <w:sz w:val="22"/>
                <w:szCs w:val="22"/>
              </w:rPr>
              <w:t>5. Загальна сума додатково отриманого або недоотриманого доходу від ліцензованої діяльності у звітному році визначається як сума таких складових:</w:t>
            </w:r>
          </w:p>
          <w:p w:rsidR="007F4594" w:rsidRPr="009D3827" w:rsidRDefault="007F4594" w:rsidP="007F4594">
            <w:pPr>
              <w:ind w:firstLine="308"/>
              <w:jc w:val="both"/>
              <w:rPr>
                <w:sz w:val="22"/>
                <w:szCs w:val="22"/>
                <w:shd w:val="clear" w:color="auto" w:fill="FFFFFF"/>
              </w:rPr>
            </w:pPr>
            <w:r w:rsidRPr="009D3827">
              <w:rPr>
                <w:sz w:val="22"/>
                <w:szCs w:val="22"/>
                <w:shd w:val="clear" w:color="auto" w:fill="FFFFFF"/>
              </w:rPr>
              <w:t>&lt;…&gt;</w:t>
            </w:r>
          </w:p>
          <w:p w:rsidR="007F4594" w:rsidRPr="009D3827" w:rsidRDefault="007F4594" w:rsidP="007F4594">
            <w:pPr>
              <w:spacing w:after="75"/>
              <w:ind w:firstLine="240"/>
              <w:jc w:val="both"/>
              <w:rPr>
                <w:sz w:val="22"/>
                <w:szCs w:val="22"/>
              </w:rPr>
            </w:pPr>
            <w:r w:rsidRPr="009D3827">
              <w:rPr>
                <w:sz w:val="22"/>
                <w:szCs w:val="22"/>
              </w:rPr>
              <w:t>2) додатково отриманий (недоотриманий) дохід ліцензіата внаслідок збільшення (зменшення) фактичних обсягів розподілу електричної енергії ліцензіата порівняно з обсягами розподілу електричної енергії ліцензіатів, урахованими в затвердженій структурі тарифів на послуги з розподілу електричної енергії, з урахуванням очікуваного додаткового (недоотриманого) доходу від збільшення (зменшення) обсягів з розподілу електричної енергії у звітному році, який вже було враховано у структурах тарифів.</w:t>
            </w:r>
          </w:p>
          <w:p w:rsidR="007F4594" w:rsidRPr="009D3827" w:rsidRDefault="007F4594" w:rsidP="007F4594">
            <w:pPr>
              <w:ind w:firstLine="308"/>
              <w:jc w:val="both"/>
              <w:rPr>
                <w:sz w:val="22"/>
                <w:szCs w:val="22"/>
              </w:rPr>
            </w:pPr>
            <w:r w:rsidRPr="009D3827">
              <w:rPr>
                <w:sz w:val="22"/>
                <w:szCs w:val="22"/>
              </w:rPr>
              <w:lastRenderedPageBreak/>
              <w:t>За 2022 - 202</w:t>
            </w:r>
            <w:r w:rsidRPr="00ED105A">
              <w:rPr>
                <w:sz w:val="22"/>
                <w:szCs w:val="22"/>
              </w:rPr>
              <w:t>4</w:t>
            </w:r>
            <w:r w:rsidRPr="009D3827">
              <w:rPr>
                <w:sz w:val="22"/>
                <w:szCs w:val="22"/>
              </w:rPr>
              <w:t xml:space="preserve"> роки для АТ "ДТЕК ДОНЕЦЬКІ ЕЛЕКТРОМЕРЕЖІ", АТ "ЗАПОРІЖЖЯОБЛЕНЕРГО", ТОВ "ДТЕК ВИСОКОВОЛЬТНІ МЕРЕЖІ" та за 2022 рік для АТ "ХЕРСОНОБЛЕНЕРГО" додатково отриманий або недоотриманий дохід ліцензіата визначається із застосуванням частки отриманого доходу (ЧОД), за вирахуванням статті "операційні контрольовані витрати", за формулою</w:t>
            </w:r>
          </w:p>
          <w:p w:rsidR="007F4594" w:rsidRPr="009D3827" w:rsidRDefault="007F4594" w:rsidP="007F4594">
            <w:pPr>
              <w:ind w:firstLine="308"/>
              <w:jc w:val="both"/>
              <w:rPr>
                <w:i/>
                <w:sz w:val="22"/>
                <w:szCs w:val="22"/>
                <w:shd w:val="clear" w:color="auto" w:fill="FFFFFF"/>
              </w:rPr>
            </w:pPr>
          </w:p>
          <w:p w:rsidR="007F4594" w:rsidRPr="00865227" w:rsidRDefault="007F4594" w:rsidP="007F4594">
            <w:pPr>
              <w:ind w:firstLine="308"/>
              <w:jc w:val="both"/>
              <w:rPr>
                <w:i/>
                <w:sz w:val="22"/>
                <w:szCs w:val="22"/>
                <w:shd w:val="clear" w:color="auto" w:fill="FFFFFF"/>
              </w:rPr>
            </w:pPr>
            <w:r w:rsidRPr="00865227">
              <w:rPr>
                <w:i/>
                <w:sz w:val="22"/>
                <w:szCs w:val="22"/>
                <w:shd w:val="clear" w:color="auto" w:fill="FFFFFF"/>
              </w:rPr>
              <w:t>ОБҐРУНТУВАННЯ:</w:t>
            </w:r>
          </w:p>
          <w:p w:rsidR="007F4594" w:rsidRPr="00865227" w:rsidRDefault="007F4594" w:rsidP="007F4594">
            <w:pPr>
              <w:jc w:val="both"/>
              <w:rPr>
                <w:b/>
                <w:i/>
                <w:sz w:val="22"/>
                <w:szCs w:val="22"/>
              </w:rPr>
            </w:pPr>
            <w:r w:rsidRPr="00865227">
              <w:rPr>
                <w:b/>
                <w:i/>
                <w:sz w:val="22"/>
                <w:szCs w:val="22"/>
              </w:rPr>
              <w:t>Пропонуємо не застосовувати ЧОД в 2025 р., так як використовується КФУ</w:t>
            </w:r>
            <w:r>
              <w:rPr>
                <w:b/>
                <w:i/>
                <w:sz w:val="22"/>
                <w:szCs w:val="22"/>
              </w:rPr>
              <w:t>.</w:t>
            </w:r>
          </w:p>
          <w:p w:rsidR="007F4594" w:rsidRDefault="007F4594" w:rsidP="007F4594">
            <w:pPr>
              <w:jc w:val="both"/>
              <w:rPr>
                <w:sz w:val="22"/>
                <w:szCs w:val="22"/>
              </w:rPr>
            </w:pPr>
          </w:p>
          <w:p w:rsidR="007F4594" w:rsidRPr="009D3827" w:rsidRDefault="007F4594" w:rsidP="007F4594">
            <w:pPr>
              <w:ind w:firstLine="308"/>
              <w:jc w:val="both"/>
              <w:rPr>
                <w:i/>
                <w:sz w:val="22"/>
                <w:szCs w:val="22"/>
                <w:shd w:val="clear" w:color="auto" w:fill="FFFFFF"/>
              </w:rPr>
            </w:pPr>
          </w:p>
        </w:tc>
        <w:tc>
          <w:tcPr>
            <w:tcW w:w="5066" w:type="dxa"/>
            <w:shd w:val="clear" w:color="auto" w:fill="auto"/>
          </w:tcPr>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Pr="00D17E09" w:rsidRDefault="007F4594" w:rsidP="007F4594">
            <w:pPr>
              <w:rPr>
                <w:b/>
                <w:sz w:val="22"/>
                <w:szCs w:val="22"/>
              </w:rPr>
            </w:pPr>
          </w:p>
          <w:p w:rsidR="007F4594" w:rsidRPr="00D17E09" w:rsidRDefault="007F4594" w:rsidP="007F4594">
            <w:pPr>
              <w:jc w:val="both"/>
              <w:rPr>
                <w:b/>
                <w:sz w:val="22"/>
                <w:szCs w:val="22"/>
              </w:rPr>
            </w:pPr>
            <w:r w:rsidRPr="00D17E09">
              <w:rPr>
                <w:b/>
                <w:sz w:val="22"/>
                <w:szCs w:val="22"/>
              </w:rPr>
              <w:t>Враховано частково</w:t>
            </w:r>
          </w:p>
          <w:p w:rsidR="007F4594" w:rsidRPr="00D17E09" w:rsidRDefault="007F4594" w:rsidP="007F4594">
            <w:pPr>
              <w:jc w:val="both"/>
              <w:rPr>
                <w:sz w:val="22"/>
                <w:szCs w:val="22"/>
              </w:rPr>
            </w:pPr>
            <w:r w:rsidRPr="00D17E09">
              <w:rPr>
                <w:b/>
                <w:sz w:val="22"/>
                <w:szCs w:val="22"/>
              </w:rPr>
              <w:t>(</w:t>
            </w:r>
            <w:r w:rsidRPr="00D17E09">
              <w:rPr>
                <w:sz w:val="22"/>
                <w:szCs w:val="22"/>
              </w:rPr>
              <w:t>є відмінність у викладенні діючої редакції Додатку № 29 на офіційних інтернет-джерелах «LIGA.net» та «Законодавство».</w:t>
            </w:r>
          </w:p>
          <w:p w:rsidR="007F4594" w:rsidRPr="00D17E09" w:rsidRDefault="007F4594" w:rsidP="007F4594">
            <w:pPr>
              <w:jc w:val="both"/>
              <w:rPr>
                <w:sz w:val="22"/>
                <w:szCs w:val="22"/>
              </w:rPr>
            </w:pPr>
            <w:r w:rsidRPr="00D17E09">
              <w:rPr>
                <w:sz w:val="22"/>
                <w:szCs w:val="22"/>
              </w:rPr>
              <w:t>Пропонується в абзаці другому слово та цифри «та 2024» замінити знаком та цифрами «– 2025».</w:t>
            </w:r>
          </w:p>
          <w:p w:rsidR="007F4594" w:rsidRPr="00D17E09" w:rsidRDefault="007F4594" w:rsidP="007F4594">
            <w:pPr>
              <w:jc w:val="both"/>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Pr="0011354C" w:rsidRDefault="007F4594" w:rsidP="007F4594">
            <w:pPr>
              <w:rPr>
                <w:b/>
                <w:sz w:val="22"/>
                <w:szCs w:val="22"/>
              </w:rPr>
            </w:pPr>
            <w:r w:rsidRPr="0011354C">
              <w:rPr>
                <w:b/>
                <w:sz w:val="22"/>
                <w:szCs w:val="22"/>
              </w:rPr>
              <w:t xml:space="preserve">Враховано </w:t>
            </w:r>
          </w:p>
          <w:p w:rsidR="007F4594" w:rsidRPr="0011354C" w:rsidRDefault="007F4594" w:rsidP="007F4594">
            <w:pPr>
              <w:jc w:val="both"/>
              <w:rPr>
                <w:sz w:val="22"/>
                <w:szCs w:val="22"/>
              </w:rPr>
            </w:pPr>
            <w:r w:rsidRPr="00BA18DF">
              <w:rPr>
                <w:sz w:val="22"/>
                <w:szCs w:val="22"/>
              </w:rPr>
              <w:lastRenderedPageBreak/>
              <w:t>Абзац третій</w:t>
            </w:r>
            <w:r>
              <w:rPr>
                <w:sz w:val="22"/>
                <w:szCs w:val="22"/>
              </w:rPr>
              <w:t xml:space="preserve"> підпункту 2 </w:t>
            </w:r>
            <w:r w:rsidRPr="0011354C">
              <w:rPr>
                <w:sz w:val="22"/>
                <w:szCs w:val="22"/>
              </w:rPr>
              <w:t>залишити у діючій редакції</w:t>
            </w:r>
            <w:r>
              <w:rPr>
                <w:sz w:val="22"/>
                <w:szCs w:val="22"/>
              </w:rPr>
              <w:t xml:space="preserve"> </w:t>
            </w: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Pr="009D3827" w:rsidRDefault="007F4594" w:rsidP="007F4594">
            <w:pPr>
              <w:rPr>
                <w:b/>
                <w:sz w:val="22"/>
                <w:szCs w:val="22"/>
              </w:rPr>
            </w:pPr>
          </w:p>
        </w:tc>
      </w:tr>
      <w:tr w:rsidR="007F4594" w:rsidRPr="009D3827" w:rsidTr="00276080">
        <w:trPr>
          <w:trHeight w:val="595"/>
        </w:trPr>
        <w:tc>
          <w:tcPr>
            <w:tcW w:w="5065" w:type="dxa"/>
            <w:shd w:val="clear" w:color="auto" w:fill="auto"/>
          </w:tcPr>
          <w:p w:rsidR="007F4594" w:rsidRPr="009D3827" w:rsidRDefault="007F4594" w:rsidP="007F4594">
            <w:pPr>
              <w:ind w:firstLine="240"/>
              <w:jc w:val="both"/>
              <w:rPr>
                <w:i/>
                <w:sz w:val="22"/>
                <w:szCs w:val="22"/>
                <w:shd w:val="clear" w:color="auto" w:fill="FFFFFF"/>
              </w:rPr>
            </w:pPr>
          </w:p>
          <w:p w:rsidR="007F4594" w:rsidRPr="009D3827" w:rsidRDefault="007F4594" w:rsidP="007F4594">
            <w:pPr>
              <w:ind w:firstLine="240"/>
              <w:jc w:val="both"/>
              <w:rPr>
                <w:sz w:val="22"/>
                <w:szCs w:val="22"/>
              </w:rPr>
            </w:pPr>
          </w:p>
          <w:p w:rsidR="007F4594" w:rsidRPr="009D3827" w:rsidRDefault="007F4594" w:rsidP="007F4594">
            <w:pPr>
              <w:ind w:firstLine="240"/>
              <w:jc w:val="both"/>
              <w:rPr>
                <w:sz w:val="22"/>
                <w:szCs w:val="22"/>
              </w:rPr>
            </w:pPr>
            <w:r w:rsidRPr="009D3827">
              <w:rPr>
                <w:sz w:val="22"/>
                <w:szCs w:val="22"/>
              </w:rPr>
              <w:t>5. Загальна сума додатково отриманого або недоотриманого доходу від ліцензованої діяльності у звітному році визначається як сума таких складових:</w:t>
            </w:r>
          </w:p>
          <w:p w:rsidR="007F4594" w:rsidRPr="009D3827" w:rsidRDefault="007F4594" w:rsidP="007F4594">
            <w:pPr>
              <w:ind w:firstLine="308"/>
              <w:jc w:val="both"/>
              <w:rPr>
                <w:sz w:val="22"/>
                <w:szCs w:val="22"/>
                <w:shd w:val="clear" w:color="auto" w:fill="FFFFFF"/>
              </w:rPr>
            </w:pPr>
          </w:p>
          <w:p w:rsidR="007F4594" w:rsidRPr="009D3827" w:rsidRDefault="007F4594" w:rsidP="007F4594">
            <w:pPr>
              <w:ind w:firstLine="308"/>
              <w:jc w:val="both"/>
              <w:rPr>
                <w:sz w:val="22"/>
                <w:szCs w:val="22"/>
                <w:shd w:val="clear" w:color="auto" w:fill="FFFFFF"/>
              </w:rPr>
            </w:pPr>
            <w:r w:rsidRPr="009D3827">
              <w:rPr>
                <w:sz w:val="22"/>
                <w:szCs w:val="22"/>
                <w:shd w:val="clear" w:color="auto" w:fill="FFFFFF"/>
              </w:rPr>
              <w:t>&lt;…&gt;</w:t>
            </w: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240"/>
              <w:jc w:val="both"/>
              <w:rPr>
                <w:sz w:val="22"/>
                <w:szCs w:val="22"/>
              </w:rPr>
            </w:pPr>
            <w:r w:rsidRPr="009D3827">
              <w:rPr>
                <w:sz w:val="22"/>
                <w:szCs w:val="22"/>
              </w:rPr>
              <w:t>4) дельта за статтею "витрати, пов'язані з купівлею електричної енергії з метою компенсації технологічних витрат електричної енергії на її розподіл" (</w:t>
            </w:r>
            <w:r w:rsidRPr="009D3827">
              <w:rPr>
                <w:noProof/>
                <w:sz w:val="22"/>
                <w:szCs w:val="22"/>
              </w:rPr>
              <w:drawing>
                <wp:inline distT="0" distB="0" distL="0" distR="0" wp14:anchorId="45FD5A6B" wp14:editId="23829F47">
                  <wp:extent cx="371475" cy="161511"/>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85001" cy="167392"/>
                          </a:xfrm>
                          <a:prstGeom prst="rect">
                            <a:avLst/>
                          </a:prstGeom>
                        </pic:spPr>
                      </pic:pic>
                    </a:graphicData>
                  </a:graphic>
                </wp:inline>
              </w:drawing>
            </w:r>
            <w:r w:rsidRPr="009D3827">
              <w:rPr>
                <w:sz w:val="22"/>
                <w:szCs w:val="22"/>
              </w:rPr>
              <w:t>, тис. грн, що визначається за формулою</w:t>
            </w:r>
          </w:p>
          <w:tbl>
            <w:tblPr>
              <w:tblW w:w="4568" w:type="dxa"/>
              <w:tblCellSpacing w:w="0" w:type="auto"/>
              <w:tblBorders>
                <w:top w:val="single" w:sz="8" w:space="0" w:color="E5E2FF"/>
              </w:tblBorders>
              <w:tblLayout w:type="fixed"/>
              <w:tblLook w:val="04A0" w:firstRow="1" w:lastRow="0" w:firstColumn="1" w:lastColumn="0" w:noHBand="0" w:noVBand="1"/>
            </w:tblPr>
            <w:tblGrid>
              <w:gridCol w:w="4015"/>
              <w:gridCol w:w="553"/>
            </w:tblGrid>
            <w:tr w:rsidR="007F4594" w:rsidRPr="009D3827" w:rsidTr="00CF7870">
              <w:trPr>
                <w:trHeight w:val="29"/>
                <w:tblCellSpacing w:w="0" w:type="auto"/>
              </w:trPr>
              <w:tc>
                <w:tcPr>
                  <w:tcW w:w="4015" w:type="dxa"/>
                  <w:vAlign w:val="center"/>
                </w:tcPr>
                <w:p w:rsidR="007F4594" w:rsidRPr="009D3827" w:rsidRDefault="007F4594" w:rsidP="007F4594">
                  <w:pPr>
                    <w:rPr>
                      <w:sz w:val="22"/>
                      <w:szCs w:val="22"/>
                    </w:rPr>
                  </w:pPr>
                  <w:r w:rsidRPr="009D3827">
                    <w:rPr>
                      <w:noProof/>
                      <w:sz w:val="22"/>
                      <w:szCs w:val="22"/>
                    </w:rPr>
                    <w:drawing>
                      <wp:inline distT="0" distB="0" distL="0" distR="0" wp14:anchorId="6525298D" wp14:editId="5DB8005B">
                        <wp:extent cx="2105025" cy="364650"/>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148611" cy="372200"/>
                                </a:xfrm>
                                <a:prstGeom prst="rect">
                                  <a:avLst/>
                                </a:prstGeom>
                              </pic:spPr>
                            </pic:pic>
                          </a:graphicData>
                        </a:graphic>
                      </wp:inline>
                    </w:drawing>
                  </w:r>
                </w:p>
              </w:tc>
              <w:tc>
                <w:tcPr>
                  <w:tcW w:w="553" w:type="dxa"/>
                  <w:vAlign w:val="center"/>
                </w:tcPr>
                <w:p w:rsidR="007F4594" w:rsidRPr="009D3827" w:rsidRDefault="007F4594" w:rsidP="007F4594">
                  <w:pPr>
                    <w:jc w:val="both"/>
                    <w:rPr>
                      <w:sz w:val="22"/>
                      <w:szCs w:val="22"/>
                    </w:rPr>
                  </w:pPr>
                  <w:r w:rsidRPr="009D3827">
                    <w:rPr>
                      <w:sz w:val="22"/>
                      <w:szCs w:val="22"/>
                    </w:rPr>
                    <w:t>,</w:t>
                  </w:r>
                </w:p>
              </w:tc>
            </w:tr>
          </w:tbl>
          <w:p w:rsidR="007F4594" w:rsidRPr="009D3827" w:rsidRDefault="007F4594" w:rsidP="007F4594">
            <w:pPr>
              <w:ind w:firstLine="240"/>
              <w:jc w:val="both"/>
              <w:rPr>
                <w:sz w:val="22"/>
                <w:szCs w:val="22"/>
              </w:rPr>
            </w:pPr>
            <w:r w:rsidRPr="009D3827">
              <w:rPr>
                <w:sz w:val="22"/>
                <w:szCs w:val="22"/>
              </w:rPr>
              <w:t>де i - місяць,</w:t>
            </w:r>
          </w:p>
          <w:p w:rsidR="007F4594" w:rsidRPr="009D3827" w:rsidRDefault="007F4594" w:rsidP="007F4594">
            <w:pPr>
              <w:ind w:firstLine="240"/>
              <w:jc w:val="both"/>
              <w:rPr>
                <w:sz w:val="22"/>
                <w:szCs w:val="22"/>
              </w:rPr>
            </w:pPr>
            <w:r w:rsidRPr="009D3827">
              <w:rPr>
                <w:sz w:val="22"/>
                <w:szCs w:val="22"/>
              </w:rPr>
              <w:t>n - кількість місяців,</w:t>
            </w:r>
          </w:p>
          <w:p w:rsidR="007F4594" w:rsidRPr="009D3827" w:rsidRDefault="007F4594" w:rsidP="007F4594">
            <w:pPr>
              <w:ind w:firstLine="240"/>
              <w:jc w:val="both"/>
              <w:rPr>
                <w:sz w:val="22"/>
                <w:szCs w:val="22"/>
              </w:rPr>
            </w:pPr>
            <w:r w:rsidRPr="009D3827">
              <w:rPr>
                <w:sz w:val="22"/>
                <w:szCs w:val="22"/>
              </w:rPr>
              <w:lastRenderedPageBreak/>
              <w:t>Д</w:t>
            </w:r>
            <w:r w:rsidRPr="009D3827">
              <w:rPr>
                <w:sz w:val="22"/>
                <w:szCs w:val="22"/>
                <w:vertAlign w:val="subscript"/>
              </w:rPr>
              <w:t>ТВЕ т</w:t>
            </w:r>
            <w:r w:rsidRPr="009D3827">
              <w:rPr>
                <w:sz w:val="22"/>
                <w:szCs w:val="22"/>
              </w:rPr>
              <w:t xml:space="preserve"> - вартість технологічних витрат електричної енергії, урахована в тарифі на звітний рік, тис. грн,</w:t>
            </w:r>
          </w:p>
          <w:p w:rsidR="007F4594" w:rsidRPr="009D3827" w:rsidRDefault="007F4594" w:rsidP="007F4594">
            <w:pPr>
              <w:ind w:firstLine="240"/>
              <w:jc w:val="both"/>
              <w:rPr>
                <w:sz w:val="22"/>
                <w:szCs w:val="22"/>
              </w:rPr>
            </w:pPr>
            <w:r w:rsidRPr="009D3827">
              <w:rPr>
                <w:sz w:val="22"/>
                <w:szCs w:val="22"/>
              </w:rPr>
              <w:t>Д</w:t>
            </w:r>
            <w:r w:rsidRPr="009D3827">
              <w:rPr>
                <w:sz w:val="22"/>
                <w:szCs w:val="22"/>
                <w:vertAlign w:val="subscript"/>
              </w:rPr>
              <w:t xml:space="preserve">ТВЕ </w:t>
            </w:r>
            <w:proofErr w:type="spellStart"/>
            <w:r w:rsidRPr="009D3827">
              <w:rPr>
                <w:sz w:val="22"/>
                <w:szCs w:val="22"/>
                <w:vertAlign w:val="subscript"/>
              </w:rPr>
              <w:t>нф</w:t>
            </w:r>
            <w:proofErr w:type="spellEnd"/>
            <w:r w:rsidRPr="009D3827">
              <w:rPr>
                <w:sz w:val="22"/>
                <w:szCs w:val="22"/>
                <w:vertAlign w:val="subscript"/>
              </w:rPr>
              <w:t xml:space="preserve"> i</w:t>
            </w:r>
            <w:r w:rsidRPr="009D3827">
              <w:rPr>
                <w:sz w:val="22"/>
                <w:szCs w:val="22"/>
              </w:rPr>
              <w:t xml:space="preserve"> - нормативно-фактична вартість технологічних витрат електричної енергії на розподіл електричної енергії в і-му місяці звітного року, тис. грн, що розраховується за формулою</w:t>
            </w:r>
          </w:p>
          <w:p w:rsidR="007F4594" w:rsidRPr="009D3827" w:rsidRDefault="007F4594" w:rsidP="007F4594">
            <w:pPr>
              <w:jc w:val="center"/>
              <w:rPr>
                <w:sz w:val="22"/>
                <w:szCs w:val="22"/>
              </w:rPr>
            </w:pPr>
            <w:r w:rsidRPr="009D3827">
              <w:rPr>
                <w:sz w:val="22"/>
                <w:szCs w:val="22"/>
              </w:rPr>
              <w:t>Д</w:t>
            </w:r>
            <w:r w:rsidRPr="009D3827">
              <w:rPr>
                <w:sz w:val="22"/>
                <w:szCs w:val="22"/>
                <w:vertAlign w:val="subscript"/>
              </w:rPr>
              <w:t xml:space="preserve">ТВЕ </w:t>
            </w:r>
            <w:proofErr w:type="spellStart"/>
            <w:r w:rsidRPr="009D3827">
              <w:rPr>
                <w:sz w:val="22"/>
                <w:szCs w:val="22"/>
                <w:vertAlign w:val="subscript"/>
              </w:rPr>
              <w:t>нф</w:t>
            </w:r>
            <w:proofErr w:type="spellEnd"/>
            <w:r w:rsidRPr="009D3827">
              <w:rPr>
                <w:sz w:val="22"/>
                <w:szCs w:val="22"/>
                <w:vertAlign w:val="subscript"/>
              </w:rPr>
              <w:t xml:space="preserve"> і</w:t>
            </w:r>
            <w:r w:rsidRPr="009D3827">
              <w:rPr>
                <w:sz w:val="22"/>
                <w:szCs w:val="22"/>
              </w:rPr>
              <w:t xml:space="preserve"> = О</w:t>
            </w:r>
            <w:r w:rsidRPr="009D3827">
              <w:rPr>
                <w:sz w:val="22"/>
                <w:szCs w:val="22"/>
                <w:vertAlign w:val="subscript"/>
              </w:rPr>
              <w:t xml:space="preserve">ТВЕ </w:t>
            </w:r>
            <w:proofErr w:type="spellStart"/>
            <w:r w:rsidRPr="009D3827">
              <w:rPr>
                <w:sz w:val="22"/>
                <w:szCs w:val="22"/>
                <w:vertAlign w:val="subscript"/>
              </w:rPr>
              <w:t>нф</w:t>
            </w:r>
            <w:proofErr w:type="spellEnd"/>
            <w:r w:rsidRPr="009D3827">
              <w:rPr>
                <w:sz w:val="22"/>
                <w:szCs w:val="22"/>
                <w:vertAlign w:val="subscript"/>
              </w:rPr>
              <w:t xml:space="preserve"> i</w:t>
            </w:r>
            <w:r w:rsidRPr="009D3827">
              <w:rPr>
                <w:sz w:val="22"/>
                <w:szCs w:val="22"/>
              </w:rPr>
              <w:t xml:space="preserve"> × Ц</w:t>
            </w:r>
            <w:r w:rsidRPr="009D3827">
              <w:rPr>
                <w:sz w:val="22"/>
                <w:szCs w:val="22"/>
                <w:vertAlign w:val="subscript"/>
              </w:rPr>
              <w:t>ТВЕ i</w:t>
            </w:r>
            <w:r w:rsidRPr="009D3827">
              <w:rPr>
                <w:sz w:val="22"/>
                <w:szCs w:val="22"/>
              </w:rPr>
              <w:t xml:space="preserve"> ,</w:t>
            </w:r>
          </w:p>
          <w:p w:rsidR="007F4594" w:rsidRPr="009D3827" w:rsidRDefault="007F4594" w:rsidP="007F4594">
            <w:pPr>
              <w:ind w:firstLine="240"/>
              <w:jc w:val="both"/>
              <w:rPr>
                <w:sz w:val="22"/>
                <w:szCs w:val="22"/>
              </w:rPr>
            </w:pPr>
            <w:r w:rsidRPr="009D3827">
              <w:rPr>
                <w:sz w:val="22"/>
                <w:szCs w:val="22"/>
              </w:rPr>
              <w:t>де О</w:t>
            </w:r>
            <w:r w:rsidRPr="009D3827">
              <w:rPr>
                <w:sz w:val="22"/>
                <w:szCs w:val="22"/>
                <w:vertAlign w:val="subscript"/>
              </w:rPr>
              <w:t xml:space="preserve">ТВЕ </w:t>
            </w:r>
            <w:proofErr w:type="spellStart"/>
            <w:r w:rsidRPr="009D3827">
              <w:rPr>
                <w:sz w:val="22"/>
                <w:szCs w:val="22"/>
                <w:vertAlign w:val="subscript"/>
              </w:rPr>
              <w:t>нф</w:t>
            </w:r>
            <w:proofErr w:type="spellEnd"/>
            <w:r w:rsidRPr="009D3827">
              <w:rPr>
                <w:sz w:val="22"/>
                <w:szCs w:val="22"/>
                <w:vertAlign w:val="subscript"/>
              </w:rPr>
              <w:t xml:space="preserve"> i</w:t>
            </w:r>
            <w:r w:rsidRPr="009D3827">
              <w:rPr>
                <w:sz w:val="22"/>
                <w:szCs w:val="22"/>
              </w:rPr>
              <w:t xml:space="preserve"> - нормативно-фактичний обсяг технологічних витрат електричної енергії на її розподіл на 1 та 2 класах напруги, в і-му місяці звітного року, МВт·год, що розраховується за формулою</w:t>
            </w:r>
          </w:p>
          <w:tbl>
            <w:tblPr>
              <w:tblW w:w="7330" w:type="dxa"/>
              <w:tblCellSpacing w:w="0" w:type="auto"/>
              <w:tblBorders>
                <w:top w:val="single" w:sz="8" w:space="0" w:color="E5E2FF"/>
              </w:tblBorders>
              <w:tblLayout w:type="fixed"/>
              <w:tblLook w:val="04A0" w:firstRow="1" w:lastRow="0" w:firstColumn="1" w:lastColumn="0" w:noHBand="0" w:noVBand="1"/>
            </w:tblPr>
            <w:tblGrid>
              <w:gridCol w:w="5339"/>
              <w:gridCol w:w="1991"/>
            </w:tblGrid>
            <w:tr w:rsidR="007F4594" w:rsidRPr="009D3827" w:rsidTr="007B385C">
              <w:trPr>
                <w:trHeight w:val="24"/>
                <w:tblCellSpacing w:w="0" w:type="auto"/>
              </w:trPr>
              <w:tc>
                <w:tcPr>
                  <w:tcW w:w="5339" w:type="dxa"/>
                  <w:vAlign w:val="center"/>
                </w:tcPr>
                <w:p w:rsidR="007F4594" w:rsidRPr="009D3827" w:rsidRDefault="007F4594" w:rsidP="007F4594">
                  <w:pPr>
                    <w:rPr>
                      <w:sz w:val="22"/>
                      <w:szCs w:val="22"/>
                    </w:rPr>
                  </w:pPr>
                  <w:r w:rsidRPr="009D3827">
                    <w:rPr>
                      <w:noProof/>
                      <w:sz w:val="22"/>
                      <w:szCs w:val="22"/>
                    </w:rPr>
                    <w:drawing>
                      <wp:inline distT="0" distB="0" distL="0" distR="0" wp14:anchorId="76F27FBE" wp14:editId="501B9050">
                        <wp:extent cx="3038475" cy="423973"/>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3079259" cy="429664"/>
                                </a:xfrm>
                                <a:prstGeom prst="rect">
                                  <a:avLst/>
                                </a:prstGeom>
                              </pic:spPr>
                            </pic:pic>
                          </a:graphicData>
                        </a:graphic>
                      </wp:inline>
                    </w:drawing>
                  </w:r>
                </w:p>
              </w:tc>
              <w:tc>
                <w:tcPr>
                  <w:tcW w:w="1991" w:type="dxa"/>
                  <w:vAlign w:val="center"/>
                </w:tcPr>
                <w:p w:rsidR="007F4594" w:rsidRPr="009D3827" w:rsidRDefault="007F4594" w:rsidP="007F4594">
                  <w:pPr>
                    <w:jc w:val="both"/>
                    <w:rPr>
                      <w:sz w:val="22"/>
                      <w:szCs w:val="22"/>
                    </w:rPr>
                  </w:pPr>
                  <w:r w:rsidRPr="009D3827">
                    <w:rPr>
                      <w:sz w:val="22"/>
                      <w:szCs w:val="22"/>
                    </w:rPr>
                    <w:t>,</w:t>
                  </w:r>
                </w:p>
              </w:tc>
            </w:tr>
          </w:tbl>
          <w:p w:rsidR="007F4594" w:rsidRPr="009D3827" w:rsidRDefault="007F4594" w:rsidP="007F4594">
            <w:pPr>
              <w:ind w:firstLine="240"/>
              <w:jc w:val="both"/>
              <w:rPr>
                <w:sz w:val="22"/>
                <w:szCs w:val="22"/>
              </w:rPr>
            </w:pPr>
            <w:r w:rsidRPr="009D3827">
              <w:rPr>
                <w:sz w:val="22"/>
                <w:szCs w:val="22"/>
              </w:rPr>
              <w:t xml:space="preserve">де </w:t>
            </w:r>
            <w:r w:rsidRPr="009D3827">
              <w:rPr>
                <w:i/>
                <w:sz w:val="22"/>
                <w:szCs w:val="22"/>
              </w:rPr>
              <w:t>W</w:t>
            </w:r>
            <w:r w:rsidRPr="009D3827">
              <w:rPr>
                <w:sz w:val="22"/>
                <w:szCs w:val="22"/>
                <w:vertAlign w:val="subscript"/>
              </w:rPr>
              <w:t>1 i</w:t>
            </w:r>
            <w:r w:rsidRPr="009D3827">
              <w:rPr>
                <w:sz w:val="22"/>
                <w:szCs w:val="22"/>
              </w:rPr>
              <w:t xml:space="preserve"> , - фактичний обсяг корисного відпуску електричної енергії споживачам на 1 класі напруги у і-му місяці звітного року, МВт·год;</w:t>
            </w:r>
          </w:p>
          <w:p w:rsidR="007F4594" w:rsidRPr="009D3827" w:rsidRDefault="007F4594" w:rsidP="007F4594">
            <w:pPr>
              <w:ind w:firstLine="240"/>
              <w:jc w:val="both"/>
              <w:rPr>
                <w:sz w:val="22"/>
                <w:szCs w:val="22"/>
              </w:rPr>
            </w:pPr>
            <w:r w:rsidRPr="009D3827">
              <w:rPr>
                <w:i/>
                <w:sz w:val="22"/>
                <w:szCs w:val="22"/>
              </w:rPr>
              <w:t>W</w:t>
            </w:r>
            <w:r w:rsidRPr="009D3827">
              <w:rPr>
                <w:sz w:val="22"/>
                <w:szCs w:val="22"/>
                <w:vertAlign w:val="subscript"/>
              </w:rPr>
              <w:t>2 i</w:t>
            </w:r>
            <w:r w:rsidRPr="009D3827">
              <w:rPr>
                <w:sz w:val="22"/>
                <w:szCs w:val="22"/>
              </w:rPr>
              <w:t xml:space="preserve"> - фактичний обсяг розподілу електричної енергії споживачам на 2 класі напруги в і-му місяці звітного року, МВт·год;</w:t>
            </w:r>
          </w:p>
          <w:p w:rsidR="007F4594" w:rsidRPr="009D3827" w:rsidRDefault="007F4594" w:rsidP="007F4594">
            <w:pPr>
              <w:ind w:firstLine="240"/>
              <w:jc w:val="both"/>
              <w:rPr>
                <w:sz w:val="22"/>
                <w:szCs w:val="22"/>
              </w:rPr>
            </w:pPr>
            <w:r w:rsidRPr="009D3827">
              <w:rPr>
                <w:sz w:val="22"/>
                <w:szCs w:val="22"/>
              </w:rPr>
              <w:t>К</w:t>
            </w:r>
            <w:r w:rsidRPr="009D3827">
              <w:rPr>
                <w:sz w:val="22"/>
                <w:szCs w:val="22"/>
                <w:vertAlign w:val="subscript"/>
              </w:rPr>
              <w:t>1</w:t>
            </w:r>
            <w:r w:rsidRPr="009D3827">
              <w:rPr>
                <w:sz w:val="22"/>
                <w:szCs w:val="22"/>
              </w:rPr>
              <w:t>, К</w:t>
            </w:r>
            <w:r w:rsidRPr="009D3827">
              <w:rPr>
                <w:sz w:val="22"/>
                <w:szCs w:val="22"/>
                <w:vertAlign w:val="subscript"/>
              </w:rPr>
              <w:t>2</w:t>
            </w:r>
            <w:r w:rsidRPr="009D3827">
              <w:rPr>
                <w:sz w:val="22"/>
                <w:szCs w:val="22"/>
              </w:rPr>
              <w:t xml:space="preserve"> - економічні коефіцієнти прогнозованих технологічних витрат електричної енергії на 1 та 2 класах напруги, затверджені на звітний рік відносні одиниці;</w:t>
            </w:r>
          </w:p>
          <w:p w:rsidR="007F4594" w:rsidRPr="009D3827" w:rsidRDefault="007F4594" w:rsidP="007F4594">
            <w:pPr>
              <w:ind w:firstLine="240"/>
              <w:jc w:val="both"/>
              <w:rPr>
                <w:sz w:val="22"/>
                <w:szCs w:val="22"/>
              </w:rPr>
            </w:pPr>
            <w:r w:rsidRPr="009D3827">
              <w:rPr>
                <w:sz w:val="22"/>
                <w:szCs w:val="22"/>
              </w:rPr>
              <w:t>Ц</w:t>
            </w:r>
            <w:r w:rsidRPr="009D3827">
              <w:rPr>
                <w:sz w:val="22"/>
                <w:szCs w:val="22"/>
                <w:vertAlign w:val="subscript"/>
              </w:rPr>
              <w:t>ТВЕ i</w:t>
            </w:r>
            <w:r w:rsidRPr="009D3827">
              <w:rPr>
                <w:sz w:val="22"/>
                <w:szCs w:val="22"/>
              </w:rPr>
              <w:t xml:space="preserve"> - середньозважена ціна купівлі електричної енергії на ринку електричної енергії в і-му місяці звітного року, що враховує погодинний графік технологічних витрат електричної енергії та ціни електричної енергії на ринку "на добу наперед", ринку двосторонніх договорів (у тому числі в НАЕК "Енергоатом", у зв'язку з покладенням спеціальних обов'язків на учасників ринку електричної енергії) та балансуючому ринку, грн/МВт·год, та розраховується за формулою</w:t>
            </w:r>
          </w:p>
          <w:p w:rsidR="007F4594" w:rsidRPr="009D3827" w:rsidRDefault="007F4594" w:rsidP="007F4594">
            <w:pPr>
              <w:jc w:val="center"/>
              <w:rPr>
                <w:sz w:val="22"/>
                <w:szCs w:val="22"/>
              </w:rPr>
            </w:pPr>
            <w:r w:rsidRPr="009D3827">
              <w:rPr>
                <w:sz w:val="22"/>
                <w:szCs w:val="22"/>
              </w:rPr>
              <w:t>Ц</w:t>
            </w:r>
            <w:r w:rsidRPr="009D3827">
              <w:rPr>
                <w:sz w:val="22"/>
                <w:szCs w:val="22"/>
                <w:vertAlign w:val="subscript"/>
              </w:rPr>
              <w:t>ТВЕ i</w:t>
            </w:r>
            <w:r w:rsidRPr="009D3827">
              <w:rPr>
                <w:sz w:val="22"/>
                <w:szCs w:val="22"/>
              </w:rPr>
              <w:t xml:space="preserve"> </w:t>
            </w:r>
            <w:r w:rsidRPr="009D3827">
              <w:rPr>
                <w:sz w:val="22"/>
                <w:szCs w:val="22"/>
                <w:vertAlign w:val="subscript"/>
              </w:rPr>
              <w:t>=</w:t>
            </w:r>
            <w:r w:rsidRPr="009D3827">
              <w:rPr>
                <w:sz w:val="22"/>
                <w:szCs w:val="22"/>
              </w:rPr>
              <w:t xml:space="preserve"> Ц </w:t>
            </w:r>
            <w:r w:rsidRPr="009D3827">
              <w:rPr>
                <w:sz w:val="22"/>
                <w:szCs w:val="22"/>
                <w:vertAlign w:val="subscript"/>
              </w:rPr>
              <w:t>РДН ф i</w:t>
            </w:r>
            <w:r w:rsidRPr="009D3827">
              <w:rPr>
                <w:sz w:val="22"/>
                <w:szCs w:val="22"/>
              </w:rPr>
              <w:t xml:space="preserve"> × (1 - К</w:t>
            </w:r>
            <w:r w:rsidRPr="009D3827">
              <w:rPr>
                <w:sz w:val="22"/>
                <w:szCs w:val="22"/>
                <w:vertAlign w:val="superscript"/>
              </w:rPr>
              <w:t>БР</w:t>
            </w:r>
            <w:r w:rsidRPr="009D3827">
              <w:rPr>
                <w:sz w:val="22"/>
                <w:szCs w:val="22"/>
                <w:vertAlign w:val="subscript"/>
              </w:rPr>
              <w:t>W</w:t>
            </w:r>
            <w:r w:rsidRPr="009D3827">
              <w:rPr>
                <w:sz w:val="22"/>
                <w:szCs w:val="22"/>
              </w:rPr>
              <w:t xml:space="preserve"> - К</w:t>
            </w:r>
            <w:r w:rsidRPr="009D3827">
              <w:rPr>
                <w:sz w:val="22"/>
                <w:szCs w:val="22"/>
                <w:vertAlign w:val="superscript"/>
              </w:rPr>
              <w:t>ДД</w:t>
            </w:r>
            <w:r w:rsidRPr="009D3827">
              <w:rPr>
                <w:sz w:val="22"/>
                <w:szCs w:val="22"/>
                <w:vertAlign w:val="subscript"/>
              </w:rPr>
              <w:t>W</w:t>
            </w:r>
            <w:r w:rsidRPr="009D3827">
              <w:rPr>
                <w:sz w:val="22"/>
                <w:szCs w:val="22"/>
              </w:rPr>
              <w:t xml:space="preserve">) + Ц </w:t>
            </w:r>
            <w:r w:rsidRPr="009D3827">
              <w:rPr>
                <w:sz w:val="22"/>
                <w:szCs w:val="22"/>
                <w:vertAlign w:val="subscript"/>
              </w:rPr>
              <w:t>РДН ф i</w:t>
            </w:r>
            <w:r w:rsidRPr="009D3827">
              <w:rPr>
                <w:sz w:val="22"/>
                <w:szCs w:val="22"/>
              </w:rPr>
              <w:t xml:space="preserve"> × (1 + К</w:t>
            </w:r>
            <w:r w:rsidRPr="009D3827">
              <w:rPr>
                <w:sz w:val="22"/>
                <w:szCs w:val="22"/>
                <w:vertAlign w:val="superscript"/>
              </w:rPr>
              <w:t>БР</w:t>
            </w:r>
            <w:r w:rsidRPr="009D3827">
              <w:rPr>
                <w:sz w:val="22"/>
                <w:szCs w:val="22"/>
                <w:vertAlign w:val="subscript"/>
              </w:rPr>
              <w:t>Ц</w:t>
            </w:r>
            <w:r w:rsidRPr="009D3827">
              <w:rPr>
                <w:sz w:val="22"/>
                <w:szCs w:val="22"/>
              </w:rPr>
              <w:t>) × К</w:t>
            </w:r>
            <w:r w:rsidRPr="009D3827">
              <w:rPr>
                <w:sz w:val="22"/>
                <w:szCs w:val="22"/>
                <w:vertAlign w:val="superscript"/>
              </w:rPr>
              <w:t>БР</w:t>
            </w:r>
            <w:r w:rsidRPr="009D3827">
              <w:rPr>
                <w:sz w:val="22"/>
                <w:szCs w:val="22"/>
                <w:vertAlign w:val="subscript"/>
              </w:rPr>
              <w:t>W</w:t>
            </w:r>
            <w:r w:rsidRPr="009D3827">
              <w:rPr>
                <w:sz w:val="22"/>
                <w:szCs w:val="22"/>
              </w:rPr>
              <w:t xml:space="preserve"> + Ц </w:t>
            </w:r>
            <w:r w:rsidRPr="009D3827">
              <w:rPr>
                <w:sz w:val="22"/>
                <w:szCs w:val="22"/>
                <w:vertAlign w:val="subscript"/>
              </w:rPr>
              <w:t>РДД ф i</w:t>
            </w:r>
            <w:r w:rsidRPr="009D3827">
              <w:rPr>
                <w:sz w:val="22"/>
                <w:szCs w:val="22"/>
              </w:rPr>
              <w:t xml:space="preserve"> × К</w:t>
            </w:r>
            <w:r w:rsidRPr="009D3827">
              <w:rPr>
                <w:sz w:val="22"/>
                <w:szCs w:val="22"/>
                <w:vertAlign w:val="superscript"/>
              </w:rPr>
              <w:t>ДД</w:t>
            </w:r>
            <w:r w:rsidRPr="009D3827">
              <w:rPr>
                <w:sz w:val="22"/>
                <w:szCs w:val="22"/>
                <w:vertAlign w:val="subscript"/>
              </w:rPr>
              <w:t>W,</w:t>
            </w:r>
          </w:p>
          <w:p w:rsidR="007F4594" w:rsidRPr="009D3827" w:rsidRDefault="007F4594" w:rsidP="007F4594">
            <w:pPr>
              <w:ind w:firstLine="240"/>
              <w:jc w:val="both"/>
              <w:rPr>
                <w:sz w:val="22"/>
                <w:szCs w:val="22"/>
              </w:rPr>
            </w:pPr>
            <w:r w:rsidRPr="009D3827">
              <w:rPr>
                <w:sz w:val="22"/>
                <w:szCs w:val="22"/>
              </w:rPr>
              <w:lastRenderedPageBreak/>
              <w:t xml:space="preserve">де Ц </w:t>
            </w:r>
            <w:r w:rsidRPr="009D3827">
              <w:rPr>
                <w:sz w:val="22"/>
                <w:szCs w:val="22"/>
                <w:vertAlign w:val="subscript"/>
              </w:rPr>
              <w:t>РДН ф i</w:t>
            </w:r>
            <w:r w:rsidRPr="009D3827">
              <w:rPr>
                <w:sz w:val="22"/>
                <w:szCs w:val="22"/>
              </w:rPr>
              <w:t xml:space="preserve"> - фактична середньозважена ціна купівлі електричної енергії на ринку "на добу наперед" в i-му місяці звітного року, що враховує погодинний графік технологічних витрат електричної енергії оператора системи розподілу, грн/МВт·год,</w:t>
            </w:r>
          </w:p>
          <w:p w:rsidR="007F4594" w:rsidRPr="009D3827" w:rsidRDefault="007F4594" w:rsidP="007F4594">
            <w:pPr>
              <w:ind w:firstLine="240"/>
              <w:jc w:val="both"/>
              <w:rPr>
                <w:sz w:val="22"/>
                <w:szCs w:val="22"/>
              </w:rPr>
            </w:pPr>
            <w:r w:rsidRPr="009D3827">
              <w:rPr>
                <w:sz w:val="22"/>
                <w:szCs w:val="22"/>
              </w:rPr>
              <w:t>К</w:t>
            </w:r>
            <w:r w:rsidRPr="009D3827">
              <w:rPr>
                <w:sz w:val="22"/>
                <w:szCs w:val="22"/>
                <w:vertAlign w:val="superscript"/>
              </w:rPr>
              <w:t>БР</w:t>
            </w:r>
            <w:r w:rsidRPr="009D3827">
              <w:rPr>
                <w:sz w:val="22"/>
                <w:szCs w:val="22"/>
                <w:vertAlign w:val="subscript"/>
              </w:rPr>
              <w:t>W</w:t>
            </w:r>
            <w:r w:rsidRPr="009D3827">
              <w:rPr>
                <w:sz w:val="22"/>
                <w:szCs w:val="22"/>
              </w:rPr>
              <w:t xml:space="preserve"> - коефіцієнт, що враховує граничний відносний обсяг небалансів електричної енергії в i-му місяці звітного року, застосований під час розрахунку встановлених тарифів на послуги з розподілу електричної енергії</w:t>
            </w:r>
            <w:r w:rsidRPr="009D3827">
              <w:rPr>
                <w:b/>
                <w:sz w:val="22"/>
                <w:szCs w:val="22"/>
              </w:rPr>
              <w:t>,</w:t>
            </w:r>
            <w:r w:rsidRPr="009D3827">
              <w:rPr>
                <w:sz w:val="22"/>
                <w:szCs w:val="22"/>
              </w:rPr>
              <w:t xml:space="preserve"> відносні одиниці;</w:t>
            </w:r>
          </w:p>
          <w:p w:rsidR="007F4594" w:rsidRPr="009D3827" w:rsidRDefault="007F4594" w:rsidP="007F4594">
            <w:pPr>
              <w:ind w:firstLine="240"/>
              <w:jc w:val="both"/>
              <w:rPr>
                <w:sz w:val="22"/>
                <w:szCs w:val="22"/>
              </w:rPr>
            </w:pPr>
            <w:r w:rsidRPr="009D3827">
              <w:rPr>
                <w:sz w:val="22"/>
                <w:szCs w:val="22"/>
              </w:rPr>
              <w:t>К</w:t>
            </w:r>
            <w:r w:rsidRPr="009D3827">
              <w:rPr>
                <w:sz w:val="22"/>
                <w:szCs w:val="22"/>
                <w:vertAlign w:val="superscript"/>
              </w:rPr>
              <w:t>ДД</w:t>
            </w:r>
            <w:r w:rsidRPr="009D3827">
              <w:rPr>
                <w:sz w:val="22"/>
                <w:szCs w:val="22"/>
                <w:vertAlign w:val="subscript"/>
              </w:rPr>
              <w:t>W</w:t>
            </w:r>
            <w:r w:rsidRPr="009D3827">
              <w:rPr>
                <w:sz w:val="22"/>
                <w:szCs w:val="22"/>
              </w:rPr>
              <w:t xml:space="preserve"> - фактичний коефіцієнт, що враховує частку електричної енергії, що купується на ринку двосторонніх договорів (у тому числі в НАЕК "Енергоатом", у зв'язку з покладенням спеціальних обов'язків на учасників ринку електричної енергії) в i-му місяці звітного року, відносні одиниці;</w:t>
            </w:r>
          </w:p>
          <w:p w:rsidR="007F4594" w:rsidRPr="009D3827" w:rsidRDefault="007F4594" w:rsidP="007F4594">
            <w:pPr>
              <w:ind w:firstLine="240"/>
              <w:jc w:val="both"/>
              <w:rPr>
                <w:sz w:val="22"/>
                <w:szCs w:val="22"/>
              </w:rPr>
            </w:pPr>
            <w:r w:rsidRPr="009D3827">
              <w:rPr>
                <w:sz w:val="22"/>
                <w:szCs w:val="22"/>
              </w:rPr>
              <w:t>К</w:t>
            </w:r>
            <w:r w:rsidRPr="009D3827">
              <w:rPr>
                <w:sz w:val="22"/>
                <w:szCs w:val="22"/>
                <w:vertAlign w:val="superscript"/>
              </w:rPr>
              <w:t>БР</w:t>
            </w:r>
            <w:r w:rsidRPr="009D3827">
              <w:rPr>
                <w:sz w:val="22"/>
                <w:szCs w:val="22"/>
                <w:vertAlign w:val="subscript"/>
              </w:rPr>
              <w:t>Ц</w:t>
            </w:r>
            <w:r w:rsidRPr="009D3827">
              <w:rPr>
                <w:sz w:val="22"/>
                <w:szCs w:val="22"/>
              </w:rPr>
              <w:t xml:space="preserve"> - коефіцієнт, що враховує граничне відносне відхилення цін небалансів електричної енергії від цін електричної енергії на ринку "на добу наперед" в і-му місяці звітного року, застосований під час розрахунку встановлених тарифів на послуги з розподілу електричної енергії, відносні одиниці;</w:t>
            </w:r>
          </w:p>
          <w:p w:rsidR="007F4594" w:rsidRPr="009D3827" w:rsidRDefault="007F4594" w:rsidP="007F4594">
            <w:pPr>
              <w:ind w:firstLine="240"/>
              <w:jc w:val="both"/>
              <w:rPr>
                <w:sz w:val="22"/>
                <w:szCs w:val="22"/>
              </w:rPr>
            </w:pPr>
            <w:r w:rsidRPr="009D3827">
              <w:rPr>
                <w:sz w:val="22"/>
                <w:szCs w:val="22"/>
              </w:rPr>
              <w:t xml:space="preserve">Ц </w:t>
            </w:r>
            <w:r w:rsidRPr="009D3827">
              <w:rPr>
                <w:sz w:val="22"/>
                <w:szCs w:val="22"/>
                <w:vertAlign w:val="subscript"/>
              </w:rPr>
              <w:t>РДД ф i</w:t>
            </w:r>
            <w:r w:rsidRPr="009D3827">
              <w:rPr>
                <w:sz w:val="22"/>
                <w:szCs w:val="22"/>
              </w:rPr>
              <w:t xml:space="preserve"> - фактична середньозважена ціна купівлі електричної енергії на ринку двосторонніх договорів (у тому числі в НАЕК "Енергоатом", у зв'язку з покладенням спеціальних обов'язків на учасників ринку електричної енергії) в i-му місяці звітного року згідно з Актом купівлі-продажу електроенергії, грн/МВт·год.</w:t>
            </w:r>
          </w:p>
          <w:p w:rsidR="007F4594" w:rsidRPr="009D3827" w:rsidRDefault="007F4594" w:rsidP="007F4594">
            <w:pPr>
              <w:ind w:firstLine="240"/>
              <w:jc w:val="both"/>
              <w:rPr>
                <w:sz w:val="22"/>
                <w:szCs w:val="22"/>
              </w:rPr>
            </w:pPr>
            <w:r w:rsidRPr="009D3827">
              <w:rPr>
                <w:sz w:val="22"/>
                <w:szCs w:val="22"/>
              </w:rPr>
              <w:t>Для цілей розрахунку складова (1 - К</w:t>
            </w:r>
            <w:r w:rsidRPr="009D3827">
              <w:rPr>
                <w:sz w:val="22"/>
                <w:szCs w:val="22"/>
                <w:vertAlign w:val="superscript"/>
              </w:rPr>
              <w:t>БР</w:t>
            </w:r>
            <w:r w:rsidRPr="009D3827">
              <w:rPr>
                <w:sz w:val="22"/>
                <w:szCs w:val="22"/>
                <w:vertAlign w:val="subscript"/>
              </w:rPr>
              <w:t>W</w:t>
            </w:r>
            <w:r w:rsidRPr="009D3827">
              <w:rPr>
                <w:sz w:val="22"/>
                <w:szCs w:val="22"/>
              </w:rPr>
              <w:t xml:space="preserve"> - К</w:t>
            </w:r>
            <w:r w:rsidRPr="009D3827">
              <w:rPr>
                <w:sz w:val="22"/>
                <w:szCs w:val="22"/>
                <w:vertAlign w:val="superscript"/>
              </w:rPr>
              <w:t>ДД</w:t>
            </w:r>
            <w:r w:rsidRPr="009D3827">
              <w:rPr>
                <w:sz w:val="22"/>
                <w:szCs w:val="22"/>
                <w:vertAlign w:val="subscript"/>
              </w:rPr>
              <w:t>W</w:t>
            </w:r>
            <w:r w:rsidRPr="009D3827">
              <w:rPr>
                <w:sz w:val="22"/>
                <w:szCs w:val="22"/>
              </w:rPr>
              <w:t>) приймається рівною нулю у разі, якщо її значення менше нуля.</w:t>
            </w:r>
          </w:p>
          <w:p w:rsidR="007F4594" w:rsidRPr="009D3827" w:rsidRDefault="007F4594" w:rsidP="007F4594">
            <w:pPr>
              <w:ind w:firstLine="240"/>
              <w:jc w:val="both"/>
              <w:rPr>
                <w:sz w:val="22"/>
                <w:szCs w:val="22"/>
              </w:rPr>
            </w:pPr>
            <w:r w:rsidRPr="009D3827">
              <w:rPr>
                <w:sz w:val="22"/>
                <w:szCs w:val="22"/>
              </w:rPr>
              <w:t>Починаючи з 2023 року:</w:t>
            </w:r>
          </w:p>
          <w:p w:rsidR="007F4594" w:rsidRPr="009D3827" w:rsidRDefault="007F4594" w:rsidP="007F4594">
            <w:pPr>
              <w:ind w:firstLine="240"/>
              <w:jc w:val="both"/>
              <w:rPr>
                <w:sz w:val="22"/>
                <w:szCs w:val="22"/>
              </w:rPr>
            </w:pPr>
            <w:r w:rsidRPr="009D3827">
              <w:rPr>
                <w:sz w:val="22"/>
                <w:szCs w:val="22"/>
              </w:rPr>
              <w:t xml:space="preserve">Ц </w:t>
            </w:r>
            <w:r w:rsidRPr="009D3827">
              <w:rPr>
                <w:sz w:val="22"/>
                <w:szCs w:val="22"/>
                <w:vertAlign w:val="subscript"/>
              </w:rPr>
              <w:t>ТВЕ і</w:t>
            </w:r>
            <w:r w:rsidRPr="009D3827">
              <w:rPr>
                <w:sz w:val="22"/>
                <w:szCs w:val="22"/>
              </w:rPr>
              <w:t xml:space="preserve"> = Ц </w:t>
            </w:r>
            <w:r w:rsidRPr="009D3827">
              <w:rPr>
                <w:sz w:val="22"/>
                <w:szCs w:val="22"/>
                <w:vertAlign w:val="subscript"/>
              </w:rPr>
              <w:t>РДН ф і</w:t>
            </w:r>
            <w:r w:rsidRPr="009D3827">
              <w:rPr>
                <w:sz w:val="22"/>
                <w:szCs w:val="22"/>
              </w:rPr>
              <w:t xml:space="preserve"> × (1 - </w:t>
            </w:r>
            <w:proofErr w:type="spellStart"/>
            <w:r w:rsidRPr="009D3827">
              <w:rPr>
                <w:sz w:val="22"/>
                <w:szCs w:val="22"/>
              </w:rPr>
              <w:t>К</w:t>
            </w:r>
            <w:r w:rsidRPr="009D3827">
              <w:rPr>
                <w:sz w:val="22"/>
                <w:szCs w:val="22"/>
                <w:vertAlign w:val="superscript"/>
              </w:rPr>
              <w:t>БР</w:t>
            </w:r>
            <w:r w:rsidRPr="009D3827">
              <w:rPr>
                <w:sz w:val="22"/>
                <w:szCs w:val="22"/>
              </w:rPr>
              <w:t>w</w:t>
            </w:r>
            <w:proofErr w:type="spellEnd"/>
            <w:r w:rsidRPr="009D3827">
              <w:rPr>
                <w:sz w:val="22"/>
                <w:szCs w:val="22"/>
              </w:rPr>
              <w:t xml:space="preserve"> - </w:t>
            </w:r>
            <w:proofErr w:type="spellStart"/>
            <w:r w:rsidRPr="009D3827">
              <w:rPr>
                <w:sz w:val="22"/>
                <w:szCs w:val="22"/>
              </w:rPr>
              <w:t>К</w:t>
            </w:r>
            <w:r w:rsidRPr="009D3827">
              <w:rPr>
                <w:sz w:val="22"/>
                <w:szCs w:val="22"/>
                <w:vertAlign w:val="superscript"/>
              </w:rPr>
              <w:t>ДД</w:t>
            </w:r>
            <w:r w:rsidRPr="009D3827">
              <w:rPr>
                <w:sz w:val="22"/>
                <w:szCs w:val="22"/>
              </w:rPr>
              <w:t>w</w:t>
            </w:r>
            <w:proofErr w:type="spellEnd"/>
            <w:r w:rsidRPr="009D3827">
              <w:rPr>
                <w:sz w:val="22"/>
                <w:szCs w:val="22"/>
              </w:rPr>
              <w:t xml:space="preserve">) + Ц </w:t>
            </w:r>
            <w:r w:rsidRPr="009D3827">
              <w:rPr>
                <w:sz w:val="22"/>
                <w:szCs w:val="22"/>
                <w:vertAlign w:val="subscript"/>
              </w:rPr>
              <w:t>РДН ф і</w:t>
            </w:r>
            <w:r w:rsidRPr="009D3827">
              <w:rPr>
                <w:sz w:val="22"/>
                <w:szCs w:val="22"/>
              </w:rPr>
              <w:t xml:space="preserve"> × (1 + </w:t>
            </w:r>
            <w:proofErr w:type="spellStart"/>
            <w:r w:rsidRPr="009D3827">
              <w:rPr>
                <w:sz w:val="22"/>
                <w:szCs w:val="22"/>
              </w:rPr>
              <w:t>К</w:t>
            </w:r>
            <w:r w:rsidRPr="009D3827">
              <w:rPr>
                <w:sz w:val="22"/>
                <w:szCs w:val="22"/>
                <w:vertAlign w:val="superscript"/>
              </w:rPr>
              <w:t>БР</w:t>
            </w:r>
            <w:r w:rsidRPr="009D3827">
              <w:rPr>
                <w:sz w:val="22"/>
                <w:szCs w:val="22"/>
              </w:rPr>
              <w:t>ц</w:t>
            </w:r>
            <w:proofErr w:type="spellEnd"/>
            <w:r w:rsidRPr="009D3827">
              <w:rPr>
                <w:sz w:val="22"/>
                <w:szCs w:val="22"/>
              </w:rPr>
              <w:t xml:space="preserve">) × </w:t>
            </w:r>
            <w:proofErr w:type="spellStart"/>
            <w:r w:rsidRPr="009D3827">
              <w:rPr>
                <w:sz w:val="22"/>
                <w:szCs w:val="22"/>
              </w:rPr>
              <w:t>К</w:t>
            </w:r>
            <w:r w:rsidRPr="009D3827">
              <w:rPr>
                <w:sz w:val="22"/>
                <w:szCs w:val="22"/>
                <w:vertAlign w:val="superscript"/>
              </w:rPr>
              <w:t>БР</w:t>
            </w:r>
            <w:r w:rsidRPr="009D3827">
              <w:rPr>
                <w:sz w:val="22"/>
                <w:szCs w:val="22"/>
              </w:rPr>
              <w:t>w</w:t>
            </w:r>
            <w:proofErr w:type="spellEnd"/>
            <w:r w:rsidRPr="009D3827">
              <w:rPr>
                <w:sz w:val="22"/>
                <w:szCs w:val="22"/>
              </w:rPr>
              <w:t xml:space="preserve"> + Ц </w:t>
            </w:r>
            <w:r w:rsidRPr="009D3827">
              <w:rPr>
                <w:sz w:val="22"/>
                <w:szCs w:val="22"/>
                <w:vertAlign w:val="subscript"/>
              </w:rPr>
              <w:t>РДД ф і</w:t>
            </w:r>
            <w:r w:rsidRPr="009D3827">
              <w:rPr>
                <w:sz w:val="22"/>
                <w:szCs w:val="22"/>
              </w:rPr>
              <w:t xml:space="preserve"> × К × </w:t>
            </w:r>
            <w:proofErr w:type="spellStart"/>
            <w:r w:rsidRPr="009D3827">
              <w:rPr>
                <w:sz w:val="22"/>
                <w:szCs w:val="22"/>
              </w:rPr>
              <w:t>К</w:t>
            </w:r>
            <w:r w:rsidRPr="009D3827">
              <w:rPr>
                <w:sz w:val="22"/>
                <w:szCs w:val="22"/>
                <w:vertAlign w:val="superscript"/>
              </w:rPr>
              <w:t>ДД</w:t>
            </w:r>
            <w:r w:rsidRPr="009D3827">
              <w:rPr>
                <w:sz w:val="22"/>
                <w:szCs w:val="22"/>
              </w:rPr>
              <w:t>w</w:t>
            </w:r>
            <w:proofErr w:type="spellEnd"/>
            <w:r w:rsidRPr="009D3827">
              <w:rPr>
                <w:sz w:val="22"/>
                <w:szCs w:val="22"/>
              </w:rPr>
              <w:t>;</w:t>
            </w:r>
          </w:p>
          <w:p w:rsidR="007F4594" w:rsidRPr="009D3827" w:rsidRDefault="007F4594" w:rsidP="007F4594">
            <w:pPr>
              <w:ind w:firstLine="240"/>
              <w:jc w:val="both"/>
              <w:rPr>
                <w:sz w:val="22"/>
                <w:szCs w:val="22"/>
              </w:rPr>
            </w:pPr>
            <w:r w:rsidRPr="009D3827">
              <w:rPr>
                <w:sz w:val="22"/>
                <w:szCs w:val="22"/>
              </w:rPr>
              <w:t>де К</w:t>
            </w:r>
            <w:r w:rsidRPr="009D3827">
              <w:rPr>
                <w:sz w:val="22"/>
                <w:szCs w:val="22"/>
                <w:vertAlign w:val="superscript"/>
              </w:rPr>
              <w:t>БР</w:t>
            </w:r>
            <w:r w:rsidRPr="009D3827">
              <w:rPr>
                <w:sz w:val="22"/>
                <w:szCs w:val="22"/>
                <w:vertAlign w:val="subscript"/>
              </w:rPr>
              <w:t>W</w:t>
            </w:r>
            <w:r w:rsidRPr="009D3827">
              <w:rPr>
                <w:sz w:val="22"/>
                <w:szCs w:val="22"/>
              </w:rPr>
              <w:t>, К</w:t>
            </w:r>
            <w:r w:rsidRPr="009D3827">
              <w:rPr>
                <w:sz w:val="22"/>
                <w:szCs w:val="22"/>
                <w:vertAlign w:val="superscript"/>
              </w:rPr>
              <w:t>ДД</w:t>
            </w:r>
            <w:r w:rsidRPr="009D3827">
              <w:rPr>
                <w:sz w:val="22"/>
                <w:szCs w:val="22"/>
                <w:vertAlign w:val="subscript"/>
              </w:rPr>
              <w:t>W</w:t>
            </w:r>
            <w:r w:rsidRPr="009D3827">
              <w:rPr>
                <w:sz w:val="22"/>
                <w:szCs w:val="22"/>
              </w:rPr>
              <w:t xml:space="preserve"> та К</w:t>
            </w:r>
            <w:r w:rsidRPr="009D3827">
              <w:rPr>
                <w:sz w:val="22"/>
                <w:szCs w:val="22"/>
                <w:vertAlign w:val="superscript"/>
              </w:rPr>
              <w:t>БР</w:t>
            </w:r>
            <w:r w:rsidRPr="009D3827">
              <w:rPr>
                <w:sz w:val="22"/>
                <w:szCs w:val="22"/>
                <w:vertAlign w:val="subscript"/>
              </w:rPr>
              <w:t>Ц</w:t>
            </w:r>
            <w:r w:rsidRPr="009D3827">
              <w:rPr>
                <w:sz w:val="22"/>
                <w:szCs w:val="22"/>
              </w:rPr>
              <w:t xml:space="preserve"> визначаються на рівнях, застосованих під час розрахунку встановлених тарифів на послуги з розподілу електричної енергії </w:t>
            </w:r>
            <w:r w:rsidRPr="009D3827">
              <w:rPr>
                <w:sz w:val="22"/>
                <w:szCs w:val="22"/>
              </w:rPr>
              <w:lastRenderedPageBreak/>
              <w:t>в і-му місяці звітного року, або, у разі істотних змін на ринку електричної енергії протягом звітного року, на рівнях, визначених Регулятором;</w:t>
            </w:r>
          </w:p>
          <w:p w:rsidR="007F4594" w:rsidRPr="009D3827" w:rsidRDefault="007F4594" w:rsidP="007F4594">
            <w:pPr>
              <w:ind w:firstLine="240"/>
              <w:jc w:val="both"/>
              <w:rPr>
                <w:sz w:val="22"/>
                <w:szCs w:val="22"/>
              </w:rPr>
            </w:pPr>
            <w:r w:rsidRPr="009D3827">
              <w:rPr>
                <w:sz w:val="22"/>
                <w:szCs w:val="22"/>
              </w:rPr>
              <w:t>Ц</w:t>
            </w:r>
            <w:r w:rsidRPr="009D3827">
              <w:rPr>
                <w:sz w:val="22"/>
                <w:szCs w:val="22"/>
                <w:vertAlign w:val="subscript"/>
              </w:rPr>
              <w:t>РДД ф і</w:t>
            </w:r>
            <w:r w:rsidRPr="009D3827">
              <w:rPr>
                <w:sz w:val="22"/>
                <w:szCs w:val="22"/>
              </w:rPr>
              <w:t xml:space="preserve"> - місячний індекс базового навантаження на ринку двосторонніх договорів в і-му місяці звітного року, </w:t>
            </w:r>
            <w:r w:rsidRPr="009D3827">
              <w:rPr>
                <w:b/>
                <w:sz w:val="22"/>
                <w:szCs w:val="22"/>
              </w:rPr>
              <w:t>або середньозважений місячний індекс, визначений на підставі декадних базових навантажень на ринку двосторонніх договорів в і-му місяці звітного року, які оприлюднюються ТОВ «Українська енергетична біржа» на його офіційному вебсайті в мережі Інтернет, та декадних фактичних обсягів технологічних витрат електричної енергії на її розподіл в і-му місяці звітного року купівлі на РДД</w:t>
            </w:r>
            <w:r w:rsidRPr="009D3827">
              <w:rPr>
                <w:sz w:val="22"/>
                <w:szCs w:val="22"/>
              </w:rPr>
              <w:t>, грн/МВт·год;</w:t>
            </w:r>
          </w:p>
          <w:p w:rsidR="007F4594" w:rsidRPr="009D3827" w:rsidRDefault="007F4594" w:rsidP="007F4594">
            <w:pPr>
              <w:ind w:firstLine="240"/>
              <w:jc w:val="both"/>
              <w:rPr>
                <w:sz w:val="22"/>
                <w:szCs w:val="22"/>
              </w:rPr>
            </w:pPr>
            <w:r w:rsidRPr="009D3827">
              <w:rPr>
                <w:sz w:val="22"/>
                <w:szCs w:val="22"/>
              </w:rPr>
              <w:t>К - коефіцієнт, що враховує відхилення фактичної середньозваженої ціни купівлі електричної енергії на ринку "на добу наперед" від місячного індексу базового навантаження на ринку "на добу наперед", відносні одиниці, який визначається за формулою</w:t>
            </w:r>
          </w:p>
          <w:p w:rsidR="007F4594" w:rsidRPr="009D3827" w:rsidRDefault="007F4594" w:rsidP="007F4594">
            <w:pPr>
              <w:ind w:firstLine="240"/>
              <w:jc w:val="both"/>
              <w:rPr>
                <w:sz w:val="22"/>
                <w:szCs w:val="22"/>
              </w:rPr>
            </w:pPr>
            <w:r w:rsidRPr="009D3827">
              <w:rPr>
                <w:sz w:val="22"/>
                <w:szCs w:val="22"/>
              </w:rPr>
              <w:t xml:space="preserve">К = Ц </w:t>
            </w:r>
            <w:r w:rsidRPr="009D3827">
              <w:rPr>
                <w:sz w:val="22"/>
                <w:szCs w:val="22"/>
                <w:vertAlign w:val="subscript"/>
              </w:rPr>
              <w:t>РДН ф і</w:t>
            </w:r>
            <w:r w:rsidRPr="009D3827">
              <w:rPr>
                <w:sz w:val="22"/>
                <w:szCs w:val="22"/>
              </w:rPr>
              <w:t xml:space="preserve"> / Ц </w:t>
            </w:r>
            <w:r w:rsidRPr="009D3827">
              <w:rPr>
                <w:sz w:val="22"/>
                <w:szCs w:val="22"/>
                <w:vertAlign w:val="subscript"/>
              </w:rPr>
              <w:t>база і</w:t>
            </w:r>
            <w:r w:rsidRPr="009D3827">
              <w:rPr>
                <w:sz w:val="22"/>
                <w:szCs w:val="22"/>
              </w:rPr>
              <w:t>;</w:t>
            </w:r>
          </w:p>
          <w:p w:rsidR="007F4594" w:rsidRPr="009D3827" w:rsidRDefault="007F4594" w:rsidP="007F4594">
            <w:pPr>
              <w:ind w:firstLine="240"/>
              <w:jc w:val="both"/>
              <w:rPr>
                <w:sz w:val="22"/>
                <w:szCs w:val="22"/>
              </w:rPr>
            </w:pPr>
            <w:r w:rsidRPr="009D3827">
              <w:rPr>
                <w:sz w:val="22"/>
                <w:szCs w:val="22"/>
              </w:rPr>
              <w:t xml:space="preserve">Ц </w:t>
            </w:r>
            <w:r w:rsidRPr="009D3827">
              <w:rPr>
                <w:sz w:val="22"/>
                <w:szCs w:val="22"/>
                <w:vertAlign w:val="subscript"/>
              </w:rPr>
              <w:t>база і</w:t>
            </w:r>
            <w:r w:rsidRPr="009D3827">
              <w:rPr>
                <w:sz w:val="22"/>
                <w:szCs w:val="22"/>
              </w:rPr>
              <w:t xml:space="preserve"> - місячний індекс базового навантаження на ринку "на добу наперед", в і-му місяці звітного року, який оприлюднюється АТ "Оператор ринку" на його офіційному вебсайті в мережі Інтернет, грн/МВт.</w:t>
            </w:r>
          </w:p>
          <w:p w:rsidR="007F4594" w:rsidRPr="009D3827" w:rsidRDefault="007F4594" w:rsidP="007F4594">
            <w:pPr>
              <w:ind w:firstLine="240"/>
              <w:jc w:val="both"/>
              <w:rPr>
                <w:sz w:val="22"/>
                <w:szCs w:val="22"/>
              </w:rPr>
            </w:pPr>
            <w:r w:rsidRPr="009D3827">
              <w:rPr>
                <w:sz w:val="22"/>
                <w:szCs w:val="22"/>
              </w:rPr>
              <w:t>Якщо порушена схема нормального режиму роботи системи розподілу / змінені обсяги розподілу/надходження/віддачі/транзиту електричної енергії тощо внаслідок введення воєнного стану та/або бойових дій в Україні та за умови, що</w:t>
            </w:r>
          </w:p>
          <w:p w:rsidR="007F4594" w:rsidRPr="009D3827" w:rsidRDefault="007F4594" w:rsidP="007F4594">
            <w:pPr>
              <w:jc w:val="center"/>
              <w:rPr>
                <w:sz w:val="22"/>
                <w:szCs w:val="22"/>
              </w:rPr>
            </w:pPr>
            <w:r w:rsidRPr="009D3827">
              <w:rPr>
                <w:sz w:val="22"/>
                <w:szCs w:val="22"/>
              </w:rPr>
              <w:t xml:space="preserve"> </w:t>
            </w:r>
            <w:r w:rsidRPr="009D3827">
              <w:rPr>
                <w:noProof/>
                <w:sz w:val="22"/>
                <w:szCs w:val="22"/>
              </w:rPr>
              <w:drawing>
                <wp:inline distT="0" distB="0" distL="0" distR="0" wp14:anchorId="4C7C234E" wp14:editId="516343CC">
                  <wp:extent cx="2276475" cy="297693"/>
                  <wp:effectExtent l="0" t="0" r="0" b="762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2376556" cy="310781"/>
                          </a:xfrm>
                          <a:prstGeom prst="rect">
                            <a:avLst/>
                          </a:prstGeom>
                        </pic:spPr>
                      </pic:pic>
                    </a:graphicData>
                  </a:graphic>
                </wp:inline>
              </w:drawing>
            </w:r>
            <w:r w:rsidRPr="009D3827">
              <w:rPr>
                <w:sz w:val="22"/>
                <w:szCs w:val="22"/>
              </w:rPr>
              <w:t>,</w:t>
            </w:r>
          </w:p>
          <w:p w:rsidR="007F4594" w:rsidRPr="009D3827" w:rsidRDefault="007F4594" w:rsidP="007F4594">
            <w:pPr>
              <w:ind w:firstLine="240"/>
              <w:jc w:val="both"/>
              <w:rPr>
                <w:sz w:val="22"/>
                <w:szCs w:val="22"/>
              </w:rPr>
            </w:pPr>
            <w:r w:rsidRPr="009D3827">
              <w:rPr>
                <w:sz w:val="22"/>
                <w:szCs w:val="22"/>
              </w:rPr>
              <w:t xml:space="preserve"> за умови надання належного обґрунтування перевищення фактичних витрат електричної енергії над нормативно-фактичними технологічними витратами електричної енергії, зокрема:</w:t>
            </w:r>
          </w:p>
          <w:p w:rsidR="007F4594" w:rsidRPr="009D3827" w:rsidRDefault="007F4594" w:rsidP="007F4594">
            <w:pPr>
              <w:ind w:firstLine="240"/>
              <w:jc w:val="both"/>
              <w:rPr>
                <w:sz w:val="22"/>
                <w:szCs w:val="22"/>
              </w:rPr>
            </w:pPr>
            <w:r w:rsidRPr="009D3827">
              <w:rPr>
                <w:sz w:val="22"/>
                <w:szCs w:val="22"/>
              </w:rPr>
              <w:lastRenderedPageBreak/>
              <w:t>структури такого перевищення витрат з відповідним документальним підтвердженням кожної компоненти цієї структури, зокрема оператором системи передачі, Державною інспекцією енергетичного нагляду України, адміністратором комерційного обліку тощо відповідно до їх компетенції;</w:t>
            </w:r>
          </w:p>
          <w:p w:rsidR="007F4594" w:rsidRPr="009D3827" w:rsidRDefault="007F4594" w:rsidP="007F4594">
            <w:pPr>
              <w:ind w:firstLine="240"/>
              <w:jc w:val="both"/>
              <w:rPr>
                <w:sz w:val="22"/>
                <w:szCs w:val="22"/>
              </w:rPr>
            </w:pPr>
            <w:r w:rsidRPr="009D3827">
              <w:rPr>
                <w:b/>
                <w:sz w:val="22"/>
                <w:szCs w:val="22"/>
              </w:rPr>
              <w:t xml:space="preserve">належним чином оформлених розрахунків витрат електричної енергії за 2022 – 2025 роки згідно із фактичними схемами роботи системи розподілу/обсягами розподілу/надходження/віддачі/транзиту електричної енергії тощо за 2022 – 2025 роки (за характерними періодами роботи мережі), проведених спеціалізованими підприємствами/організаціями, що виконують комплекс робіт з розрахунків витрат в електричних мережах, за умови документального підтвердження оператором системи передачі, Державною інспекцією енергетичного нагляду України, адміністратором комерційного обліку відповідності вихідних даних для проведення таких розрахунків, фактичному режиму роботи мережі у 2022 – 2025 роках (з 2024 року за умови, що величина загального обсягу відпуску електричної енергії побутовим та непобутовим споживачам (у тис. кВт·год), визначена за фактичними показами розрахункових засобів обліку електроенергії (приймаються дані, зчитані автоматизованими системами або передані споживачами) за звітний рік, складає не менше ніж 97 % від суми величин загального обсягу відпуску таким споживачам (у тис. кВт·год), що наведені у формі звітності № 5 НКРЕКП моніторинг-розподіл (місячна) за відповідний звітний рік). Для операторів систем розподілу, частина основних фондів яких знаходиться на територіях, на яких ведуться </w:t>
            </w:r>
            <w:r w:rsidRPr="009D3827">
              <w:rPr>
                <w:b/>
                <w:sz w:val="22"/>
                <w:szCs w:val="22"/>
              </w:rPr>
              <w:lastRenderedPageBreak/>
              <w:t>(велися) бойові дії або тимчасово окупованих російською федерацією, перелік яких наведено в додатку 30 до Порядку № 1175, за умови належного обґрунтування може бути застосований інший відсоток фактичних показів  розрахункових засобів обліку електроенергії.</w:t>
            </w:r>
          </w:p>
          <w:p w:rsidR="007F4594" w:rsidRPr="009D3827" w:rsidRDefault="007F4594" w:rsidP="007F4594">
            <w:pPr>
              <w:jc w:val="center"/>
              <w:rPr>
                <w:sz w:val="22"/>
                <w:szCs w:val="22"/>
              </w:rPr>
            </w:pPr>
            <w:r w:rsidRPr="009D3827">
              <w:rPr>
                <w:sz w:val="22"/>
                <w:szCs w:val="22"/>
              </w:rPr>
              <w:t>Д</w:t>
            </w:r>
            <w:r w:rsidRPr="009D3827">
              <w:rPr>
                <w:sz w:val="22"/>
                <w:szCs w:val="22"/>
                <w:vertAlign w:val="subscript"/>
              </w:rPr>
              <w:t xml:space="preserve">ТВЕ </w:t>
            </w:r>
            <w:proofErr w:type="spellStart"/>
            <w:r w:rsidRPr="009D3827">
              <w:rPr>
                <w:sz w:val="22"/>
                <w:szCs w:val="22"/>
                <w:vertAlign w:val="subscript"/>
              </w:rPr>
              <w:t>нф</w:t>
            </w:r>
            <w:proofErr w:type="spellEnd"/>
            <w:r w:rsidRPr="009D3827">
              <w:rPr>
                <w:sz w:val="22"/>
                <w:szCs w:val="22"/>
                <w:vertAlign w:val="subscript"/>
              </w:rPr>
              <w:t xml:space="preserve"> і</w:t>
            </w:r>
            <w:r w:rsidRPr="009D3827">
              <w:rPr>
                <w:sz w:val="22"/>
                <w:szCs w:val="22"/>
              </w:rPr>
              <w:t xml:space="preserve"> за 2022 - </w:t>
            </w:r>
            <w:r w:rsidRPr="009D3827">
              <w:rPr>
                <w:b/>
                <w:sz w:val="22"/>
                <w:szCs w:val="22"/>
              </w:rPr>
              <w:t>2025</w:t>
            </w:r>
            <w:r w:rsidRPr="009D3827">
              <w:rPr>
                <w:sz w:val="22"/>
                <w:szCs w:val="22"/>
              </w:rPr>
              <w:t xml:space="preserve"> роки визначається за формулою</w:t>
            </w:r>
          </w:p>
          <w:p w:rsidR="007F4594" w:rsidRPr="009D3827" w:rsidRDefault="007F4594" w:rsidP="007F4594">
            <w:pPr>
              <w:jc w:val="center"/>
              <w:rPr>
                <w:sz w:val="22"/>
                <w:szCs w:val="22"/>
              </w:rPr>
            </w:pPr>
            <w:r w:rsidRPr="009D3827">
              <w:rPr>
                <w:sz w:val="22"/>
                <w:szCs w:val="22"/>
              </w:rPr>
              <w:t>Д</w:t>
            </w:r>
            <w:r w:rsidRPr="009D3827">
              <w:rPr>
                <w:sz w:val="22"/>
                <w:szCs w:val="22"/>
                <w:vertAlign w:val="subscript"/>
              </w:rPr>
              <w:t xml:space="preserve">ТВЕ </w:t>
            </w:r>
            <w:proofErr w:type="spellStart"/>
            <w:r w:rsidRPr="009D3827">
              <w:rPr>
                <w:sz w:val="22"/>
                <w:szCs w:val="22"/>
                <w:vertAlign w:val="subscript"/>
              </w:rPr>
              <w:t>нф</w:t>
            </w:r>
            <w:proofErr w:type="spellEnd"/>
            <w:r w:rsidRPr="009D3827">
              <w:rPr>
                <w:sz w:val="22"/>
                <w:szCs w:val="22"/>
                <w:vertAlign w:val="subscript"/>
              </w:rPr>
              <w:t xml:space="preserve"> і</w:t>
            </w:r>
            <w:r w:rsidRPr="009D3827">
              <w:rPr>
                <w:sz w:val="22"/>
                <w:szCs w:val="22"/>
              </w:rPr>
              <w:t xml:space="preserve"> = (О</w:t>
            </w:r>
            <w:r w:rsidRPr="009D3827">
              <w:rPr>
                <w:sz w:val="22"/>
                <w:szCs w:val="22"/>
                <w:vertAlign w:val="subscript"/>
              </w:rPr>
              <w:t>ТВЕ ф і</w:t>
            </w:r>
            <w:r w:rsidRPr="009D3827">
              <w:rPr>
                <w:sz w:val="22"/>
                <w:szCs w:val="22"/>
              </w:rPr>
              <w:t xml:space="preserve"> - О</w:t>
            </w:r>
            <w:r w:rsidRPr="009D3827">
              <w:rPr>
                <w:sz w:val="22"/>
                <w:szCs w:val="22"/>
                <w:vertAlign w:val="subscript"/>
              </w:rPr>
              <w:t>ТВЕ он і</w:t>
            </w:r>
            <w:r w:rsidRPr="009D3827">
              <w:rPr>
                <w:sz w:val="22"/>
                <w:szCs w:val="22"/>
              </w:rPr>
              <w:t>) x Ц</w:t>
            </w:r>
            <w:r w:rsidRPr="009D3827">
              <w:rPr>
                <w:sz w:val="22"/>
                <w:szCs w:val="22"/>
                <w:vertAlign w:val="subscript"/>
              </w:rPr>
              <w:t>ТВЕ і</w:t>
            </w:r>
            <w:r w:rsidRPr="009D3827">
              <w:rPr>
                <w:sz w:val="22"/>
                <w:szCs w:val="22"/>
              </w:rPr>
              <w:t>,</w:t>
            </w:r>
          </w:p>
          <w:p w:rsidR="007F4594" w:rsidRPr="009D3827" w:rsidRDefault="007F4594" w:rsidP="007F4594">
            <w:pPr>
              <w:ind w:firstLine="240"/>
              <w:jc w:val="both"/>
              <w:rPr>
                <w:sz w:val="22"/>
                <w:szCs w:val="22"/>
              </w:rPr>
            </w:pPr>
            <w:r w:rsidRPr="009D3827">
              <w:rPr>
                <w:sz w:val="22"/>
                <w:szCs w:val="22"/>
              </w:rPr>
              <w:t>де О</w:t>
            </w:r>
            <w:r w:rsidRPr="009D3827">
              <w:rPr>
                <w:sz w:val="22"/>
                <w:szCs w:val="22"/>
                <w:vertAlign w:val="subscript"/>
              </w:rPr>
              <w:t>ТВЕ ф і</w:t>
            </w:r>
            <w:r w:rsidRPr="009D3827">
              <w:rPr>
                <w:sz w:val="22"/>
                <w:szCs w:val="22"/>
              </w:rPr>
              <w:t xml:space="preserve"> - фактичний обсяг технологічних витрат електричної енергії на її розподіл в і-му місяці звітного року, МВт·год;</w:t>
            </w:r>
          </w:p>
          <w:p w:rsidR="007F4594" w:rsidRPr="009D3827" w:rsidRDefault="007F4594" w:rsidP="007F4594">
            <w:pPr>
              <w:ind w:firstLine="308"/>
              <w:jc w:val="both"/>
              <w:rPr>
                <w:sz w:val="22"/>
                <w:szCs w:val="22"/>
                <w:shd w:val="clear" w:color="auto" w:fill="FFFFFF"/>
              </w:rPr>
            </w:pPr>
            <w:r w:rsidRPr="009D3827">
              <w:rPr>
                <w:sz w:val="22"/>
                <w:szCs w:val="22"/>
              </w:rPr>
              <w:t>О</w:t>
            </w:r>
            <w:r w:rsidRPr="009D3827">
              <w:rPr>
                <w:sz w:val="22"/>
                <w:szCs w:val="22"/>
                <w:vertAlign w:val="subscript"/>
              </w:rPr>
              <w:t>ТВЕ он і</w:t>
            </w:r>
            <w:r w:rsidRPr="009D3827">
              <w:rPr>
                <w:sz w:val="22"/>
                <w:szCs w:val="22"/>
              </w:rPr>
              <w:t xml:space="preserve"> - обсяг перевищення фактичних витрат електричної енергії над нормативно-фактичними технологічними витратами електричної енергії, за необґрунтованими компонентами структури витрат, зокрема, не пов'язаними із порушенням схеми нормального режиму роботи системи розподілу / зміною обсягу розподілу/надходження/віддачі/транзиту електричної енергії тощо внаслідок введення воєнного стану та/або бойових дій в Україні, в і-му місяці звітного року, МВт·год;</w:t>
            </w:r>
          </w:p>
        </w:tc>
        <w:tc>
          <w:tcPr>
            <w:tcW w:w="5066" w:type="dxa"/>
            <w:shd w:val="clear" w:color="auto" w:fill="auto"/>
          </w:tcPr>
          <w:p w:rsidR="007F4594" w:rsidRPr="009D3827" w:rsidRDefault="007F4594" w:rsidP="007F4594">
            <w:pPr>
              <w:ind w:firstLine="308"/>
              <w:jc w:val="both"/>
              <w:rPr>
                <w:i/>
                <w:sz w:val="22"/>
                <w:szCs w:val="22"/>
                <w:shd w:val="clear" w:color="auto" w:fill="FFFFFF"/>
              </w:rPr>
            </w:pPr>
            <w:r w:rsidRPr="009D3827">
              <w:rPr>
                <w:i/>
                <w:sz w:val="22"/>
                <w:szCs w:val="22"/>
                <w:shd w:val="clear" w:color="auto" w:fill="FFFFFF"/>
              </w:rPr>
              <w:lastRenderedPageBreak/>
              <w:t>АТ «ДТЕК ДНІПРОВСЬКІ ЕЛЕКТРОМЕРЕЖІ»</w:t>
            </w:r>
          </w:p>
          <w:p w:rsidR="007F4594" w:rsidRPr="009D3827" w:rsidRDefault="007F4594" w:rsidP="007F4594">
            <w:pPr>
              <w:ind w:firstLine="308"/>
              <w:jc w:val="both"/>
              <w:rPr>
                <w:i/>
                <w:sz w:val="22"/>
                <w:szCs w:val="22"/>
                <w:shd w:val="clear" w:color="auto" w:fill="FFFFFF"/>
              </w:rPr>
            </w:pPr>
            <w:r w:rsidRPr="009D3827">
              <w:rPr>
                <w:i/>
                <w:sz w:val="22"/>
                <w:szCs w:val="22"/>
                <w:shd w:val="clear" w:color="auto" w:fill="FFFFFF"/>
              </w:rPr>
              <w:t>АТ «ДТЕК ОДЕСЬКІ ЕЛЕКТРОМЕРЕЖІ»</w:t>
            </w:r>
          </w:p>
          <w:p w:rsidR="007F4594" w:rsidRPr="009D3827" w:rsidRDefault="007F4594" w:rsidP="007F4594">
            <w:pPr>
              <w:ind w:firstLine="240"/>
              <w:jc w:val="both"/>
              <w:rPr>
                <w:sz w:val="22"/>
                <w:szCs w:val="22"/>
              </w:rPr>
            </w:pPr>
            <w:r w:rsidRPr="009D3827">
              <w:rPr>
                <w:sz w:val="22"/>
                <w:szCs w:val="22"/>
              </w:rPr>
              <w:t>5. Загальна сума додатково отриманого або недоотриманого доходу від ліцензованої діяльності у звітному році визначається як сума таких складових:</w:t>
            </w:r>
          </w:p>
          <w:p w:rsidR="007F4594" w:rsidRPr="009D3827" w:rsidRDefault="007F4594" w:rsidP="007F4594">
            <w:pPr>
              <w:ind w:firstLine="308"/>
              <w:jc w:val="both"/>
              <w:rPr>
                <w:sz w:val="22"/>
                <w:szCs w:val="22"/>
                <w:shd w:val="clear" w:color="auto" w:fill="FFFFFF"/>
              </w:rPr>
            </w:pPr>
          </w:p>
          <w:p w:rsidR="007F4594" w:rsidRPr="009D3827" w:rsidRDefault="007F4594" w:rsidP="007F4594">
            <w:pPr>
              <w:ind w:firstLine="308"/>
              <w:jc w:val="both"/>
              <w:rPr>
                <w:sz w:val="22"/>
                <w:szCs w:val="22"/>
                <w:shd w:val="clear" w:color="auto" w:fill="FFFFFF"/>
              </w:rPr>
            </w:pPr>
            <w:r w:rsidRPr="009D3827">
              <w:rPr>
                <w:sz w:val="22"/>
                <w:szCs w:val="22"/>
                <w:shd w:val="clear" w:color="auto" w:fill="FFFFFF"/>
              </w:rPr>
              <w:t>&lt;…&gt;</w:t>
            </w: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1633DC" w:rsidRDefault="007F4594" w:rsidP="007F4594">
            <w:pPr>
              <w:jc w:val="both"/>
              <w:rPr>
                <w:b/>
                <w:bCs/>
                <w:sz w:val="22"/>
                <w:szCs w:val="22"/>
                <w:shd w:val="clear" w:color="auto" w:fill="FFFFFF"/>
              </w:rPr>
            </w:pPr>
            <w:r w:rsidRPr="009D3827">
              <w:rPr>
                <w:sz w:val="22"/>
                <w:szCs w:val="22"/>
              </w:rPr>
              <w:t xml:space="preserve">Ц </w:t>
            </w:r>
            <w:r w:rsidRPr="009D3827">
              <w:rPr>
                <w:sz w:val="22"/>
                <w:szCs w:val="22"/>
                <w:vertAlign w:val="subscript"/>
              </w:rPr>
              <w:t>РДД ф і</w:t>
            </w:r>
            <w:r w:rsidRPr="009D3827">
              <w:rPr>
                <w:sz w:val="22"/>
                <w:szCs w:val="22"/>
              </w:rPr>
              <w:t xml:space="preserve"> - місячний індекс базового навантаження на ринку двосторонніх договорів в і-му місяці звітного року, </w:t>
            </w:r>
            <w:r w:rsidRPr="001633DC">
              <w:rPr>
                <w:b/>
                <w:sz w:val="22"/>
                <w:szCs w:val="22"/>
              </w:rPr>
              <w:t xml:space="preserve">або середньозважений місячний індекс, визначений на підставі декадних індексів РДД базових навантажень в і-му місяці звітного року, які оприлюднюються ТОВ «Українська енергетична біржа» на його офіційному вебсайті в мережі Інтернет, або надаються ТОВ «Українська енергетична біржа» за запитом </w:t>
            </w:r>
            <w:r w:rsidRPr="001633DC">
              <w:rPr>
                <w:b/>
                <w:bCs/>
                <w:sz w:val="22"/>
                <w:szCs w:val="22"/>
                <w:shd w:val="clear" w:color="auto" w:fill="FFFFFF"/>
              </w:rPr>
              <w:t>НКРЕКП/ОСР</w:t>
            </w:r>
            <w:r w:rsidRPr="001633DC">
              <w:rPr>
                <w:b/>
                <w:sz w:val="22"/>
                <w:szCs w:val="22"/>
              </w:rPr>
              <w:t>, та декадних фактичних обсягів технологічних витрат електричної енергії ОСР в і-му місяці звітного року</w:t>
            </w:r>
            <w:r w:rsidRPr="001633DC">
              <w:rPr>
                <w:sz w:val="22"/>
                <w:szCs w:val="22"/>
              </w:rPr>
              <w:t xml:space="preserve">, грн/МВт·год. </w:t>
            </w:r>
            <w:r w:rsidRPr="001633DC">
              <w:rPr>
                <w:b/>
                <w:bCs/>
                <w:sz w:val="22"/>
                <w:szCs w:val="22"/>
              </w:rPr>
              <w:t>Середньозважений місячний індекс застосовується за умови введення ГПВ та/або ГАВ в і-му місяці, у разі істотних змін на ринку;</w:t>
            </w:r>
            <w:r w:rsidRPr="001633DC">
              <w:rPr>
                <w:b/>
                <w:bCs/>
                <w:sz w:val="22"/>
                <w:szCs w:val="22"/>
                <w:shd w:val="clear" w:color="auto" w:fill="FFFFFF"/>
              </w:rPr>
              <w:t xml:space="preserve"> </w:t>
            </w:r>
          </w:p>
          <w:p w:rsidR="007F4594" w:rsidRPr="009D3827" w:rsidRDefault="007F4594" w:rsidP="007F4594">
            <w:pPr>
              <w:jc w:val="both"/>
              <w:rPr>
                <w:b/>
                <w:bCs/>
                <w:sz w:val="22"/>
                <w:szCs w:val="22"/>
                <w:shd w:val="clear" w:color="auto" w:fill="FFFFFF"/>
              </w:rPr>
            </w:pPr>
            <w:r w:rsidRPr="001633DC">
              <w:rPr>
                <w:b/>
                <w:bCs/>
                <w:sz w:val="22"/>
                <w:szCs w:val="22"/>
                <w:shd w:val="clear" w:color="auto" w:fill="FFFFFF"/>
              </w:rPr>
              <w:t>За запитом НКРЕКП/ОСР, ТОВ «Українська енергетична біржа» надає дані щодо  декадних індексів РДД базових навантажень у і-му місяці 2025 року.</w:t>
            </w:r>
            <w:r w:rsidRPr="009D3827">
              <w:rPr>
                <w:b/>
                <w:bCs/>
                <w:sz w:val="22"/>
                <w:szCs w:val="22"/>
                <w:shd w:val="clear" w:color="auto" w:fill="FFFFFF"/>
              </w:rPr>
              <w:t xml:space="preserve"> </w:t>
            </w:r>
          </w:p>
          <w:p w:rsidR="007F4594" w:rsidRPr="009D3827" w:rsidRDefault="007F4594" w:rsidP="007F4594">
            <w:pPr>
              <w:ind w:firstLine="308"/>
              <w:jc w:val="both"/>
              <w:rPr>
                <w:i/>
                <w:sz w:val="22"/>
                <w:szCs w:val="22"/>
                <w:shd w:val="clear" w:color="auto" w:fill="FFFFFF"/>
              </w:rPr>
            </w:pPr>
          </w:p>
          <w:p w:rsidR="007F4594" w:rsidRPr="001633DC" w:rsidRDefault="007F4594" w:rsidP="007F4594">
            <w:pPr>
              <w:ind w:firstLine="308"/>
              <w:jc w:val="both"/>
              <w:rPr>
                <w:i/>
                <w:sz w:val="22"/>
                <w:szCs w:val="22"/>
                <w:shd w:val="clear" w:color="auto" w:fill="FFFFFF"/>
              </w:rPr>
            </w:pPr>
            <w:r w:rsidRPr="001633DC">
              <w:rPr>
                <w:i/>
                <w:sz w:val="22"/>
                <w:szCs w:val="22"/>
                <w:shd w:val="clear" w:color="auto" w:fill="FFFFFF"/>
              </w:rPr>
              <w:t>ОБҐРУНТУВАННЯ:</w:t>
            </w:r>
          </w:p>
          <w:p w:rsidR="007F4594" w:rsidRPr="001633DC" w:rsidRDefault="007F4594" w:rsidP="007F4594">
            <w:pPr>
              <w:jc w:val="both"/>
              <w:rPr>
                <w:i/>
                <w:sz w:val="22"/>
                <w:szCs w:val="22"/>
                <w:shd w:val="clear" w:color="auto" w:fill="FFFFFF"/>
              </w:rPr>
            </w:pPr>
            <w:r w:rsidRPr="001633DC">
              <w:rPr>
                <w:i/>
                <w:sz w:val="22"/>
                <w:szCs w:val="22"/>
                <w:shd w:val="clear" w:color="auto" w:fill="FFFFFF"/>
              </w:rPr>
              <w:t>У зв’язку з тим, що вимога стосовно публікації декадних індексів почала діяти з другої половини жовтня, пропонується уточнення.</w:t>
            </w:r>
          </w:p>
          <w:p w:rsidR="007F4594" w:rsidRPr="001633DC" w:rsidRDefault="007F4594" w:rsidP="007F4594">
            <w:pPr>
              <w:jc w:val="both"/>
              <w:rPr>
                <w:i/>
                <w:sz w:val="22"/>
                <w:szCs w:val="22"/>
                <w:shd w:val="clear" w:color="auto" w:fill="FFFFFF"/>
              </w:rPr>
            </w:pPr>
            <w:r w:rsidRPr="001633DC">
              <w:rPr>
                <w:i/>
                <w:sz w:val="22"/>
                <w:szCs w:val="22"/>
                <w:shd w:val="clear" w:color="auto" w:fill="FFFFFF"/>
              </w:rPr>
              <w:t>За запитом НКРЕКП/ОСР, ТОВ «Українська енергетична біржа» надає дані щодо  декадних індексів РДД базових навантажень у і-му місяці 2025 року, які не було опубліковано на його офіційному вебсайті ТОВ «Українська енергетична біржа».</w:t>
            </w:r>
          </w:p>
          <w:p w:rsidR="007F4594" w:rsidRPr="001633DC"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r w:rsidRPr="009D3827">
              <w:rPr>
                <w:i/>
                <w:sz w:val="22"/>
                <w:szCs w:val="22"/>
                <w:shd w:val="clear" w:color="auto" w:fill="FFFFFF"/>
              </w:rPr>
              <w:t>АТ «ЖИТОМИРОБЛЕНЕРГО»</w:t>
            </w:r>
          </w:p>
          <w:p w:rsidR="007F4594" w:rsidRPr="009D3827" w:rsidRDefault="007F4594" w:rsidP="007F4594">
            <w:pPr>
              <w:ind w:firstLine="308"/>
              <w:jc w:val="both"/>
              <w:rPr>
                <w:sz w:val="22"/>
                <w:szCs w:val="22"/>
                <w:shd w:val="clear" w:color="auto" w:fill="FFFFFF"/>
              </w:rPr>
            </w:pPr>
            <w:r w:rsidRPr="009D3827">
              <w:rPr>
                <w:sz w:val="22"/>
                <w:szCs w:val="22"/>
                <w:shd w:val="clear" w:color="auto" w:fill="FFFFFF"/>
              </w:rPr>
              <w:t>&lt;…&gt;</w:t>
            </w:r>
          </w:p>
          <w:p w:rsidR="007F4594" w:rsidRPr="009D3827" w:rsidRDefault="007F4594" w:rsidP="007F4594">
            <w:pPr>
              <w:ind w:firstLine="240"/>
              <w:jc w:val="both"/>
              <w:rPr>
                <w:sz w:val="22"/>
                <w:szCs w:val="22"/>
              </w:rPr>
            </w:pPr>
            <w:bookmarkStart w:id="6" w:name="_Hlk223001565"/>
            <w:r w:rsidRPr="001633DC">
              <w:rPr>
                <w:sz w:val="22"/>
                <w:szCs w:val="22"/>
              </w:rPr>
              <w:t>Ц</w:t>
            </w:r>
            <w:r w:rsidRPr="001633DC">
              <w:rPr>
                <w:sz w:val="22"/>
                <w:szCs w:val="22"/>
                <w:vertAlign w:val="subscript"/>
              </w:rPr>
              <w:t>РДД ф і</w:t>
            </w:r>
            <w:r w:rsidRPr="001633DC">
              <w:rPr>
                <w:sz w:val="22"/>
                <w:szCs w:val="22"/>
              </w:rPr>
              <w:t xml:space="preserve"> - місячний індекс базового навантаження на ринку двосторонніх договорів в і-му місяці звітного року, або середньозважений місячний індекс, визначений на підставі декадних базових навантажень на ринку двосторонніх договорів в і-</w:t>
            </w:r>
            <w:r w:rsidRPr="001633DC">
              <w:rPr>
                <w:sz w:val="22"/>
                <w:szCs w:val="22"/>
              </w:rPr>
              <w:lastRenderedPageBreak/>
              <w:t xml:space="preserve">му місяці звітного року, які оприлюднюються ТОВ «Українська енергетична біржа» на його офіційному вебсайті в мережі Інтернет, та декадних фактичних обсягів технологічних витрат електричної енергії на її розподіл в і-му місяці звітного року купівлі на РДД, </w:t>
            </w:r>
            <w:r w:rsidRPr="001633DC">
              <w:rPr>
                <w:b/>
                <w:sz w:val="22"/>
                <w:szCs w:val="22"/>
              </w:rPr>
              <w:t>якщо у такому місяці не застосовувались обмежуючі графіки за вказівками ОСП (ГАВ, ГПВ, ГОП), грн/МВт·год;</w:t>
            </w:r>
          </w:p>
          <w:bookmarkEnd w:id="6"/>
          <w:p w:rsidR="007F4594" w:rsidRPr="009D3827" w:rsidRDefault="007F4594" w:rsidP="007F4594">
            <w:pPr>
              <w:ind w:firstLine="240"/>
              <w:jc w:val="both"/>
              <w:rPr>
                <w:b/>
                <w:sz w:val="22"/>
                <w:szCs w:val="22"/>
                <w:vertAlign w:val="subscript"/>
              </w:rPr>
            </w:pPr>
            <w:r w:rsidRPr="009D3827">
              <w:rPr>
                <w:b/>
                <w:sz w:val="22"/>
                <w:szCs w:val="22"/>
              </w:rPr>
              <w:t>Якщо у відповідному і-му місяці звітного року застосовувались обмежуючі графіки за вказівками ОСП (ГАВ, ГПВ, ГОП), то показник Ц</w:t>
            </w:r>
            <w:r w:rsidRPr="009D3827">
              <w:rPr>
                <w:b/>
                <w:sz w:val="22"/>
                <w:szCs w:val="22"/>
                <w:vertAlign w:val="subscript"/>
              </w:rPr>
              <w:t>РДД ф і</w:t>
            </w:r>
            <w:r w:rsidRPr="009D3827">
              <w:rPr>
                <w:b/>
                <w:sz w:val="22"/>
                <w:szCs w:val="22"/>
              </w:rPr>
              <w:t xml:space="preserve"> визначається на рівні значення показника Ц </w:t>
            </w:r>
            <w:r w:rsidRPr="009D3827">
              <w:rPr>
                <w:b/>
                <w:sz w:val="22"/>
                <w:szCs w:val="22"/>
                <w:vertAlign w:val="subscript"/>
              </w:rPr>
              <w:t>РДН ф i.</w:t>
            </w:r>
          </w:p>
          <w:p w:rsidR="007F4594" w:rsidRPr="009D3827" w:rsidRDefault="007F4594" w:rsidP="007F4594">
            <w:pPr>
              <w:ind w:firstLine="308"/>
              <w:jc w:val="both"/>
              <w:rPr>
                <w:i/>
                <w:sz w:val="22"/>
                <w:szCs w:val="22"/>
                <w:shd w:val="clear" w:color="auto" w:fill="FFFFFF"/>
              </w:rPr>
            </w:pPr>
          </w:p>
          <w:p w:rsidR="007F4594" w:rsidRPr="001633DC" w:rsidRDefault="007F4594" w:rsidP="007F4594">
            <w:pPr>
              <w:ind w:firstLine="308"/>
              <w:jc w:val="both"/>
              <w:rPr>
                <w:i/>
                <w:sz w:val="22"/>
                <w:szCs w:val="22"/>
                <w:shd w:val="clear" w:color="auto" w:fill="FFFFFF"/>
              </w:rPr>
            </w:pPr>
            <w:r w:rsidRPr="001633DC">
              <w:rPr>
                <w:i/>
                <w:sz w:val="22"/>
                <w:szCs w:val="22"/>
                <w:shd w:val="clear" w:color="auto" w:fill="FFFFFF"/>
              </w:rPr>
              <w:t>ОБҐРУНТУВАННЯ:</w:t>
            </w:r>
          </w:p>
          <w:p w:rsidR="007F4594" w:rsidRPr="001633DC" w:rsidRDefault="007F4594" w:rsidP="007F4594">
            <w:pPr>
              <w:ind w:firstLine="240"/>
              <w:jc w:val="both"/>
              <w:rPr>
                <w:i/>
                <w:sz w:val="22"/>
                <w:szCs w:val="22"/>
              </w:rPr>
            </w:pPr>
            <w:r w:rsidRPr="001633DC">
              <w:rPr>
                <w:i/>
                <w:sz w:val="22"/>
                <w:szCs w:val="22"/>
              </w:rPr>
              <w:t xml:space="preserve">В умовах невизначеності, спричиненої ураженнями енергетичної інфраструктури України, наслідком чого є застосування до ОСР обмежуючих графіків за вказівками ОСП (ГАВ, ГПВ, ГОП), значно </w:t>
            </w:r>
            <w:proofErr w:type="spellStart"/>
            <w:r w:rsidRPr="001633DC">
              <w:rPr>
                <w:i/>
                <w:sz w:val="22"/>
                <w:szCs w:val="22"/>
              </w:rPr>
              <w:t>ускладнюється</w:t>
            </w:r>
            <w:proofErr w:type="spellEnd"/>
            <w:r w:rsidRPr="001633DC">
              <w:rPr>
                <w:i/>
                <w:sz w:val="22"/>
                <w:szCs w:val="22"/>
              </w:rPr>
              <w:t xml:space="preserve"> планування обсягів придбання електричної енергії з метою компенсації ТВЕ та, як наслідок, значно </w:t>
            </w:r>
            <w:proofErr w:type="spellStart"/>
            <w:r w:rsidRPr="001633DC">
              <w:rPr>
                <w:i/>
                <w:sz w:val="22"/>
                <w:szCs w:val="22"/>
              </w:rPr>
              <w:t>ризиковішим</w:t>
            </w:r>
            <w:proofErr w:type="spellEnd"/>
            <w:r w:rsidRPr="001633DC">
              <w:rPr>
                <w:i/>
                <w:sz w:val="22"/>
                <w:szCs w:val="22"/>
              </w:rPr>
              <w:t xml:space="preserve"> стає укладання довгострокових угод придбання електричної енергії з визначеними цінами та обсягами купівлі. </w:t>
            </w:r>
            <w:r w:rsidRPr="001633DC">
              <w:rPr>
                <w:b/>
                <w:i/>
                <w:sz w:val="22"/>
                <w:szCs w:val="22"/>
              </w:rPr>
              <w:t xml:space="preserve">У зазначених умовах застосування індексів цін двосторонніх договорів (навіть визначених на основі декадних їх значень), які укладаються за результатами аукціонів на площадці ТОВ «Українська енергетична біржа» при визначенні нормативно-фактичної  вартості технологічних витрат електричної енергії на її розподіл, </w:t>
            </w:r>
            <w:r w:rsidRPr="001633DC">
              <w:rPr>
                <w:b/>
                <w:i/>
                <w:sz w:val="22"/>
                <w:szCs w:val="22"/>
                <w:u w:val="single"/>
              </w:rPr>
              <w:t>не є об’єктивним</w:t>
            </w:r>
            <w:r w:rsidRPr="001633DC">
              <w:rPr>
                <w:i/>
                <w:sz w:val="22"/>
                <w:szCs w:val="22"/>
              </w:rPr>
              <w:t>.</w:t>
            </w:r>
          </w:p>
          <w:p w:rsidR="007F4594" w:rsidRPr="001633DC" w:rsidRDefault="007F4594" w:rsidP="007F4594">
            <w:pPr>
              <w:ind w:firstLine="240"/>
              <w:jc w:val="both"/>
              <w:rPr>
                <w:i/>
                <w:sz w:val="22"/>
                <w:szCs w:val="22"/>
              </w:rPr>
            </w:pPr>
            <w:r w:rsidRPr="001633DC">
              <w:rPr>
                <w:i/>
                <w:sz w:val="22"/>
                <w:szCs w:val="22"/>
              </w:rPr>
              <w:t xml:space="preserve">Більше того, мінімальні обсяги продажу електричної енергії у одному лоті таких торгівельних позицій, які розміщуються для проведення аукціонів на ТОВ «Українська енергетична біржа», перевищують максимальні </w:t>
            </w:r>
            <w:r w:rsidRPr="001633DC">
              <w:rPr>
                <w:i/>
                <w:sz w:val="22"/>
                <w:szCs w:val="22"/>
              </w:rPr>
              <w:lastRenderedPageBreak/>
              <w:t>необхідні обсяги придбання для Товариства, що призводить до відсутності можливості долучення до таких торгів.</w:t>
            </w:r>
          </w:p>
          <w:p w:rsidR="007F4594" w:rsidRPr="001633DC" w:rsidRDefault="007F4594" w:rsidP="007F4594">
            <w:pPr>
              <w:ind w:firstLine="240"/>
              <w:jc w:val="both"/>
              <w:rPr>
                <w:i/>
                <w:sz w:val="22"/>
                <w:szCs w:val="22"/>
              </w:rPr>
            </w:pPr>
            <w:r w:rsidRPr="001633DC">
              <w:rPr>
                <w:i/>
                <w:sz w:val="22"/>
                <w:szCs w:val="22"/>
              </w:rPr>
              <w:t>Також важливим є й те, що значна частина фактичного  придбання електричної за двосторонніми договорами відбувається по прямим договорам, поза площадками проведення аукціонів, а, відповідно, не відображаються у індексах двосторонніх договорів ТОВ «Українська енергетична біржа».</w:t>
            </w:r>
          </w:p>
          <w:p w:rsidR="007F4594" w:rsidRPr="001633DC" w:rsidRDefault="007F4594" w:rsidP="007F4594">
            <w:pPr>
              <w:ind w:firstLine="240"/>
              <w:jc w:val="both"/>
              <w:rPr>
                <w:i/>
                <w:sz w:val="22"/>
                <w:szCs w:val="22"/>
              </w:rPr>
            </w:pPr>
            <w:r w:rsidRPr="001633DC">
              <w:rPr>
                <w:i/>
                <w:sz w:val="22"/>
                <w:szCs w:val="22"/>
              </w:rPr>
              <w:t>У вказаних умовах реальною об’єктивною ціною для ринку двосторонніх договорів є ціна на ринку «на добу наперед», яка є більш гнучкою та більш оперативно реагує на наявні системні обмеження.</w:t>
            </w:r>
          </w:p>
          <w:p w:rsidR="007F4594" w:rsidRPr="001633DC" w:rsidRDefault="007F4594" w:rsidP="007F4594">
            <w:pPr>
              <w:ind w:firstLine="240"/>
              <w:jc w:val="both"/>
              <w:rPr>
                <w:b/>
                <w:i/>
                <w:sz w:val="22"/>
                <w:szCs w:val="22"/>
                <w:vertAlign w:val="subscript"/>
              </w:rPr>
            </w:pPr>
            <w:r w:rsidRPr="001633DC">
              <w:rPr>
                <w:b/>
                <w:i/>
                <w:sz w:val="22"/>
                <w:szCs w:val="22"/>
              </w:rPr>
              <w:t>Враховуючи вищезазначене, за умови застосування до ОСР у і-му місяці обмежуючих графіків за вказівками ОСП (ГАВ, ГПВ, ГОП), пропонуємо у відповідному і-му місяці звітного року показник Ц</w:t>
            </w:r>
            <w:r w:rsidRPr="001633DC">
              <w:rPr>
                <w:b/>
                <w:i/>
                <w:sz w:val="22"/>
                <w:szCs w:val="22"/>
                <w:vertAlign w:val="subscript"/>
              </w:rPr>
              <w:t>РДД фі</w:t>
            </w:r>
            <w:r w:rsidRPr="001633DC">
              <w:rPr>
                <w:b/>
                <w:i/>
                <w:sz w:val="22"/>
                <w:szCs w:val="22"/>
              </w:rPr>
              <w:t xml:space="preserve"> визначати на рівні значення показника Ц </w:t>
            </w:r>
            <w:r w:rsidRPr="001633DC">
              <w:rPr>
                <w:b/>
                <w:i/>
                <w:sz w:val="22"/>
                <w:szCs w:val="22"/>
                <w:vertAlign w:val="subscript"/>
              </w:rPr>
              <w:t xml:space="preserve">РДН </w:t>
            </w:r>
            <w:proofErr w:type="spellStart"/>
            <w:r w:rsidRPr="001633DC">
              <w:rPr>
                <w:b/>
                <w:i/>
                <w:sz w:val="22"/>
                <w:szCs w:val="22"/>
                <w:vertAlign w:val="subscript"/>
              </w:rPr>
              <w:t>фi</w:t>
            </w:r>
            <w:proofErr w:type="spellEnd"/>
            <w:r w:rsidRPr="001633DC">
              <w:rPr>
                <w:b/>
                <w:i/>
                <w:sz w:val="22"/>
                <w:szCs w:val="22"/>
                <w:vertAlign w:val="subscript"/>
              </w:rPr>
              <w:t>.</w:t>
            </w:r>
          </w:p>
          <w:p w:rsidR="007F4594" w:rsidRPr="009D3827" w:rsidRDefault="007F4594" w:rsidP="007F4594">
            <w:pPr>
              <w:ind w:firstLine="240"/>
              <w:jc w:val="both"/>
              <w:rPr>
                <w:i/>
                <w:sz w:val="22"/>
                <w:szCs w:val="22"/>
                <w:shd w:val="clear" w:color="auto" w:fill="FFFFFF"/>
              </w:rPr>
            </w:pPr>
          </w:p>
          <w:p w:rsidR="007F4594" w:rsidRPr="009D3827" w:rsidRDefault="007F4594" w:rsidP="007F4594">
            <w:pPr>
              <w:ind w:firstLine="240"/>
              <w:jc w:val="both"/>
              <w:rPr>
                <w:i/>
                <w:sz w:val="22"/>
                <w:szCs w:val="22"/>
                <w:shd w:val="clear" w:color="auto" w:fill="FFFFFF"/>
              </w:rPr>
            </w:pPr>
            <w:r w:rsidRPr="009D3827">
              <w:rPr>
                <w:i/>
                <w:sz w:val="22"/>
                <w:szCs w:val="22"/>
                <w:shd w:val="clear" w:color="auto" w:fill="FFFFFF"/>
              </w:rPr>
              <w:t>ПРАТ «КІРОВОГРАДОБЛЕНЕРГО»</w:t>
            </w:r>
          </w:p>
          <w:p w:rsidR="007F4594" w:rsidRPr="009D3827" w:rsidRDefault="007F4594" w:rsidP="007F4594">
            <w:pPr>
              <w:ind w:firstLine="308"/>
              <w:jc w:val="both"/>
              <w:rPr>
                <w:sz w:val="22"/>
                <w:szCs w:val="22"/>
                <w:shd w:val="clear" w:color="auto" w:fill="FFFFFF"/>
              </w:rPr>
            </w:pPr>
            <w:r w:rsidRPr="009D3827">
              <w:rPr>
                <w:sz w:val="22"/>
                <w:szCs w:val="22"/>
                <w:shd w:val="clear" w:color="auto" w:fill="FFFFFF"/>
              </w:rPr>
              <w:t>&lt;…&gt;</w:t>
            </w:r>
          </w:p>
          <w:p w:rsidR="007F4594" w:rsidRPr="009D3827" w:rsidRDefault="007F4594" w:rsidP="007F4594">
            <w:pPr>
              <w:ind w:firstLine="240"/>
              <w:jc w:val="both"/>
              <w:rPr>
                <w:sz w:val="22"/>
                <w:szCs w:val="22"/>
              </w:rPr>
            </w:pPr>
            <w:r w:rsidRPr="009D3827">
              <w:rPr>
                <w:sz w:val="22"/>
                <w:szCs w:val="22"/>
              </w:rPr>
              <w:t>Починаючи з 2023 року:</w:t>
            </w:r>
          </w:p>
          <w:p w:rsidR="007F4594" w:rsidRPr="009D3827" w:rsidRDefault="007F4594" w:rsidP="007F4594">
            <w:pPr>
              <w:ind w:firstLine="240"/>
              <w:jc w:val="both"/>
              <w:rPr>
                <w:sz w:val="22"/>
                <w:szCs w:val="22"/>
              </w:rPr>
            </w:pPr>
            <w:r w:rsidRPr="009D3827">
              <w:rPr>
                <w:sz w:val="22"/>
                <w:szCs w:val="22"/>
              </w:rPr>
              <w:t xml:space="preserve">Ц </w:t>
            </w:r>
            <w:r w:rsidRPr="009D3827">
              <w:rPr>
                <w:sz w:val="22"/>
                <w:szCs w:val="22"/>
                <w:vertAlign w:val="subscript"/>
              </w:rPr>
              <w:t>ТВЕ і</w:t>
            </w:r>
            <w:r w:rsidRPr="009D3827">
              <w:rPr>
                <w:sz w:val="22"/>
                <w:szCs w:val="22"/>
              </w:rPr>
              <w:t xml:space="preserve"> = Ц </w:t>
            </w:r>
            <w:r w:rsidRPr="009D3827">
              <w:rPr>
                <w:sz w:val="22"/>
                <w:szCs w:val="22"/>
                <w:vertAlign w:val="subscript"/>
              </w:rPr>
              <w:t>РДН ф і</w:t>
            </w:r>
            <w:r w:rsidRPr="009D3827">
              <w:rPr>
                <w:sz w:val="22"/>
                <w:szCs w:val="22"/>
              </w:rPr>
              <w:t xml:space="preserve"> × (1 - </w:t>
            </w:r>
            <w:proofErr w:type="spellStart"/>
            <w:r w:rsidRPr="009D3827">
              <w:rPr>
                <w:sz w:val="22"/>
                <w:szCs w:val="22"/>
              </w:rPr>
              <w:t>К</w:t>
            </w:r>
            <w:r w:rsidRPr="009D3827">
              <w:rPr>
                <w:sz w:val="22"/>
                <w:szCs w:val="22"/>
                <w:vertAlign w:val="superscript"/>
              </w:rPr>
              <w:t>БР</w:t>
            </w:r>
            <w:r w:rsidRPr="009D3827">
              <w:rPr>
                <w:sz w:val="22"/>
                <w:szCs w:val="22"/>
              </w:rPr>
              <w:t>w</w:t>
            </w:r>
            <w:proofErr w:type="spellEnd"/>
            <w:r w:rsidRPr="009D3827">
              <w:rPr>
                <w:sz w:val="22"/>
                <w:szCs w:val="22"/>
              </w:rPr>
              <w:t xml:space="preserve"> - </w:t>
            </w:r>
            <w:proofErr w:type="spellStart"/>
            <w:r w:rsidRPr="009D3827">
              <w:rPr>
                <w:sz w:val="22"/>
                <w:szCs w:val="22"/>
              </w:rPr>
              <w:t>К</w:t>
            </w:r>
            <w:r w:rsidRPr="009D3827">
              <w:rPr>
                <w:sz w:val="22"/>
                <w:szCs w:val="22"/>
                <w:vertAlign w:val="superscript"/>
              </w:rPr>
              <w:t>ДД</w:t>
            </w:r>
            <w:r w:rsidRPr="009D3827">
              <w:rPr>
                <w:sz w:val="22"/>
                <w:szCs w:val="22"/>
              </w:rPr>
              <w:t>w</w:t>
            </w:r>
            <w:proofErr w:type="spellEnd"/>
            <w:r w:rsidRPr="009D3827">
              <w:rPr>
                <w:sz w:val="22"/>
                <w:szCs w:val="22"/>
              </w:rPr>
              <w:t xml:space="preserve">) + Ц </w:t>
            </w:r>
            <w:r w:rsidRPr="009D3827">
              <w:rPr>
                <w:sz w:val="22"/>
                <w:szCs w:val="22"/>
                <w:vertAlign w:val="subscript"/>
              </w:rPr>
              <w:t>РДН ф і</w:t>
            </w:r>
            <w:r w:rsidRPr="009D3827">
              <w:rPr>
                <w:sz w:val="22"/>
                <w:szCs w:val="22"/>
              </w:rPr>
              <w:t xml:space="preserve"> × (1 + </w:t>
            </w:r>
            <w:proofErr w:type="spellStart"/>
            <w:r w:rsidRPr="009D3827">
              <w:rPr>
                <w:sz w:val="22"/>
                <w:szCs w:val="22"/>
              </w:rPr>
              <w:t>К</w:t>
            </w:r>
            <w:r w:rsidRPr="009D3827">
              <w:rPr>
                <w:sz w:val="22"/>
                <w:szCs w:val="22"/>
                <w:vertAlign w:val="superscript"/>
              </w:rPr>
              <w:t>БР</w:t>
            </w:r>
            <w:r w:rsidRPr="009D3827">
              <w:rPr>
                <w:sz w:val="22"/>
                <w:szCs w:val="22"/>
              </w:rPr>
              <w:t>ц</w:t>
            </w:r>
            <w:proofErr w:type="spellEnd"/>
            <w:r w:rsidRPr="009D3827">
              <w:rPr>
                <w:sz w:val="22"/>
                <w:szCs w:val="22"/>
              </w:rPr>
              <w:t xml:space="preserve">) × </w:t>
            </w:r>
            <w:proofErr w:type="spellStart"/>
            <w:r w:rsidRPr="009D3827">
              <w:rPr>
                <w:sz w:val="22"/>
                <w:szCs w:val="22"/>
              </w:rPr>
              <w:t>К</w:t>
            </w:r>
            <w:r w:rsidRPr="009D3827">
              <w:rPr>
                <w:sz w:val="22"/>
                <w:szCs w:val="22"/>
                <w:vertAlign w:val="superscript"/>
              </w:rPr>
              <w:t>БР</w:t>
            </w:r>
            <w:r w:rsidRPr="009D3827">
              <w:rPr>
                <w:sz w:val="22"/>
                <w:szCs w:val="22"/>
              </w:rPr>
              <w:t>w</w:t>
            </w:r>
            <w:proofErr w:type="spellEnd"/>
            <w:r w:rsidRPr="009D3827">
              <w:rPr>
                <w:sz w:val="22"/>
                <w:szCs w:val="22"/>
              </w:rPr>
              <w:t xml:space="preserve"> + </w:t>
            </w:r>
            <w:r w:rsidRPr="009D3827">
              <w:rPr>
                <w:strike/>
                <w:sz w:val="22"/>
                <w:szCs w:val="22"/>
              </w:rPr>
              <w:t xml:space="preserve">Ц </w:t>
            </w:r>
            <w:r w:rsidRPr="009D3827">
              <w:rPr>
                <w:strike/>
                <w:sz w:val="22"/>
                <w:szCs w:val="22"/>
                <w:vertAlign w:val="subscript"/>
              </w:rPr>
              <w:t>РДД ф і</w:t>
            </w:r>
            <w:r w:rsidRPr="009D3827">
              <w:rPr>
                <w:sz w:val="22"/>
                <w:szCs w:val="22"/>
              </w:rPr>
              <w:t xml:space="preserve"> </w:t>
            </w:r>
            <w:r w:rsidRPr="009D3827">
              <w:rPr>
                <w:b/>
                <w:bCs/>
                <w:sz w:val="22"/>
                <w:szCs w:val="22"/>
              </w:rPr>
              <w:t xml:space="preserve">Ц </w:t>
            </w:r>
            <w:r w:rsidRPr="009D3827">
              <w:rPr>
                <w:b/>
                <w:bCs/>
                <w:sz w:val="22"/>
                <w:szCs w:val="22"/>
                <w:vertAlign w:val="subscript"/>
              </w:rPr>
              <w:t>база і</w:t>
            </w:r>
            <w:r w:rsidRPr="009D3827">
              <w:rPr>
                <w:sz w:val="22"/>
                <w:szCs w:val="22"/>
              </w:rPr>
              <w:t xml:space="preserve"> × К × </w:t>
            </w:r>
            <w:proofErr w:type="spellStart"/>
            <w:r w:rsidRPr="009D3827">
              <w:rPr>
                <w:sz w:val="22"/>
                <w:szCs w:val="22"/>
              </w:rPr>
              <w:t>К</w:t>
            </w:r>
            <w:r w:rsidRPr="009D3827">
              <w:rPr>
                <w:sz w:val="22"/>
                <w:szCs w:val="22"/>
                <w:vertAlign w:val="superscript"/>
              </w:rPr>
              <w:t>ДД</w:t>
            </w:r>
            <w:r w:rsidRPr="009D3827">
              <w:rPr>
                <w:sz w:val="22"/>
                <w:szCs w:val="22"/>
              </w:rPr>
              <w:t>w</w:t>
            </w:r>
            <w:proofErr w:type="spellEnd"/>
            <w:r w:rsidRPr="009D3827">
              <w:rPr>
                <w:sz w:val="22"/>
                <w:szCs w:val="22"/>
              </w:rPr>
              <w:t>;</w:t>
            </w:r>
          </w:p>
          <w:p w:rsidR="007F4594" w:rsidRPr="009D3827" w:rsidRDefault="007F4594" w:rsidP="007F4594">
            <w:pPr>
              <w:ind w:firstLine="240"/>
              <w:jc w:val="both"/>
              <w:rPr>
                <w:sz w:val="22"/>
                <w:szCs w:val="22"/>
              </w:rPr>
            </w:pPr>
            <w:r w:rsidRPr="009D3827">
              <w:rPr>
                <w:sz w:val="22"/>
                <w:szCs w:val="22"/>
              </w:rPr>
              <w:t>де К</w:t>
            </w:r>
            <w:r w:rsidRPr="009D3827">
              <w:rPr>
                <w:sz w:val="22"/>
                <w:szCs w:val="22"/>
                <w:vertAlign w:val="superscript"/>
              </w:rPr>
              <w:t>БР</w:t>
            </w:r>
            <w:r w:rsidRPr="009D3827">
              <w:rPr>
                <w:sz w:val="22"/>
                <w:szCs w:val="22"/>
                <w:vertAlign w:val="subscript"/>
              </w:rPr>
              <w:t>W</w:t>
            </w:r>
            <w:r w:rsidRPr="009D3827">
              <w:rPr>
                <w:sz w:val="22"/>
                <w:szCs w:val="22"/>
              </w:rPr>
              <w:t>, К</w:t>
            </w:r>
            <w:r w:rsidRPr="009D3827">
              <w:rPr>
                <w:sz w:val="22"/>
                <w:szCs w:val="22"/>
                <w:vertAlign w:val="superscript"/>
              </w:rPr>
              <w:t>ДД</w:t>
            </w:r>
            <w:r w:rsidRPr="009D3827">
              <w:rPr>
                <w:sz w:val="22"/>
                <w:szCs w:val="22"/>
                <w:vertAlign w:val="subscript"/>
              </w:rPr>
              <w:t>W</w:t>
            </w:r>
            <w:r w:rsidRPr="009D3827">
              <w:rPr>
                <w:sz w:val="22"/>
                <w:szCs w:val="22"/>
              </w:rPr>
              <w:t xml:space="preserve"> та К</w:t>
            </w:r>
            <w:r w:rsidRPr="009D3827">
              <w:rPr>
                <w:sz w:val="22"/>
                <w:szCs w:val="22"/>
                <w:vertAlign w:val="superscript"/>
              </w:rPr>
              <w:t>БР</w:t>
            </w:r>
            <w:r w:rsidRPr="009D3827">
              <w:rPr>
                <w:sz w:val="22"/>
                <w:szCs w:val="22"/>
                <w:vertAlign w:val="subscript"/>
              </w:rPr>
              <w:t>Ц</w:t>
            </w:r>
            <w:r w:rsidRPr="009D3827">
              <w:rPr>
                <w:sz w:val="22"/>
                <w:szCs w:val="22"/>
              </w:rPr>
              <w:t xml:space="preserve"> визначаються на рівнях, застосованих під час розрахунку встановлених тарифів на  послуги з розподілу електричної енергії в і-му місяці звітного року, або, у разі істотних змін на ринку електричної енергії протягом звітного року, на рівнях, визначених Регулятором; </w:t>
            </w:r>
          </w:p>
          <w:p w:rsidR="007F4594" w:rsidRPr="009D3827" w:rsidRDefault="007F4594" w:rsidP="007F4594">
            <w:pPr>
              <w:ind w:firstLine="240"/>
              <w:jc w:val="both"/>
              <w:rPr>
                <w:sz w:val="22"/>
                <w:szCs w:val="22"/>
              </w:rPr>
            </w:pPr>
            <w:r w:rsidRPr="009D3827">
              <w:rPr>
                <w:strike/>
                <w:sz w:val="22"/>
                <w:szCs w:val="22"/>
              </w:rPr>
              <w:t>Ц</w:t>
            </w:r>
            <w:r w:rsidRPr="009D3827">
              <w:rPr>
                <w:strike/>
                <w:sz w:val="22"/>
                <w:szCs w:val="22"/>
                <w:vertAlign w:val="subscript"/>
              </w:rPr>
              <w:t>РДД ф і</w:t>
            </w:r>
            <w:r w:rsidRPr="009D3827">
              <w:rPr>
                <w:strike/>
                <w:sz w:val="22"/>
                <w:szCs w:val="22"/>
              </w:rPr>
              <w:t xml:space="preserve"> - місячний індекс базового навантаження на ринку двосторонніх договорів в і-му місяці звітного року, </w:t>
            </w:r>
            <w:r w:rsidRPr="009D3827">
              <w:rPr>
                <w:b/>
                <w:strike/>
                <w:sz w:val="22"/>
                <w:szCs w:val="22"/>
              </w:rPr>
              <w:t xml:space="preserve">або середньозважений місячний індекс, визначений на підставі декадних базових навантажень на ринку двосторонніх договорів в і-му місяці звітного року, які оприлюднюються ТОВ «Українська енергетична біржа» на його </w:t>
            </w:r>
            <w:r w:rsidRPr="009D3827">
              <w:rPr>
                <w:b/>
                <w:strike/>
                <w:sz w:val="22"/>
                <w:szCs w:val="22"/>
              </w:rPr>
              <w:lastRenderedPageBreak/>
              <w:t>офіційному вебсайті в мережі Інтернет, та декадних фактичних обсягів технологічних витрат електричної енергії на її розподіл в і-му місяці звітного року купівлі на РДД</w:t>
            </w:r>
            <w:r w:rsidRPr="009D3827">
              <w:rPr>
                <w:strike/>
                <w:sz w:val="22"/>
                <w:szCs w:val="22"/>
              </w:rPr>
              <w:t>, грн/МВт·год</w:t>
            </w:r>
            <w:r w:rsidRPr="009D3827">
              <w:rPr>
                <w:sz w:val="22"/>
                <w:szCs w:val="22"/>
              </w:rPr>
              <w:t>;</w:t>
            </w:r>
          </w:p>
          <w:p w:rsidR="007F4594" w:rsidRPr="009D3827" w:rsidRDefault="007F4594" w:rsidP="007F4594">
            <w:pPr>
              <w:ind w:firstLine="240"/>
              <w:jc w:val="both"/>
              <w:rPr>
                <w:sz w:val="22"/>
                <w:szCs w:val="22"/>
              </w:rPr>
            </w:pPr>
            <w:r w:rsidRPr="009D3827">
              <w:rPr>
                <w:sz w:val="22"/>
                <w:szCs w:val="22"/>
              </w:rPr>
              <w:t>К - коефіцієнт, що враховує відхилення фактичної середньозваженої ціни купівлі електричної енергії на ринку "на добу наперед" від місячного індексу базового навантаження на ринку "на добу наперед", відносні одиниці, який визначається за формулою</w:t>
            </w:r>
          </w:p>
          <w:p w:rsidR="007F4594" w:rsidRPr="009D3827" w:rsidRDefault="007F4594" w:rsidP="007F4594">
            <w:pPr>
              <w:ind w:firstLine="240"/>
              <w:jc w:val="both"/>
              <w:rPr>
                <w:sz w:val="22"/>
                <w:szCs w:val="22"/>
              </w:rPr>
            </w:pPr>
            <w:r w:rsidRPr="009D3827">
              <w:rPr>
                <w:sz w:val="22"/>
                <w:szCs w:val="22"/>
              </w:rPr>
              <w:t xml:space="preserve">К = Ц </w:t>
            </w:r>
            <w:r w:rsidRPr="009D3827">
              <w:rPr>
                <w:sz w:val="22"/>
                <w:szCs w:val="22"/>
                <w:vertAlign w:val="subscript"/>
              </w:rPr>
              <w:t>РДН ф і</w:t>
            </w:r>
            <w:r w:rsidRPr="009D3827">
              <w:rPr>
                <w:sz w:val="22"/>
                <w:szCs w:val="22"/>
              </w:rPr>
              <w:t xml:space="preserve"> / Ц </w:t>
            </w:r>
            <w:r w:rsidRPr="009D3827">
              <w:rPr>
                <w:sz w:val="22"/>
                <w:szCs w:val="22"/>
                <w:vertAlign w:val="subscript"/>
              </w:rPr>
              <w:t>база і</w:t>
            </w:r>
            <w:r w:rsidRPr="009D3827">
              <w:rPr>
                <w:sz w:val="22"/>
                <w:szCs w:val="22"/>
              </w:rPr>
              <w:t>;</w:t>
            </w:r>
          </w:p>
          <w:p w:rsidR="007F4594" w:rsidRPr="009D3827" w:rsidRDefault="007F4594" w:rsidP="007F4594">
            <w:pPr>
              <w:ind w:firstLine="240"/>
              <w:jc w:val="both"/>
              <w:rPr>
                <w:sz w:val="22"/>
                <w:szCs w:val="22"/>
              </w:rPr>
            </w:pPr>
            <w:r w:rsidRPr="009D3827">
              <w:rPr>
                <w:sz w:val="22"/>
                <w:szCs w:val="22"/>
              </w:rPr>
              <w:t xml:space="preserve">Ц </w:t>
            </w:r>
            <w:r w:rsidRPr="009D3827">
              <w:rPr>
                <w:sz w:val="22"/>
                <w:szCs w:val="22"/>
                <w:vertAlign w:val="subscript"/>
              </w:rPr>
              <w:t>база і</w:t>
            </w:r>
            <w:r w:rsidRPr="009D3827">
              <w:rPr>
                <w:sz w:val="22"/>
                <w:szCs w:val="22"/>
              </w:rPr>
              <w:t xml:space="preserve"> - місячний індекс базового навантаження на ринку "на добу наперед", в і-му місяці звітного року, який оприлюднюється АТ "Оператор ринку" на його офіційному вебсайті в мережі Інтернет, грн/МВт.</w:t>
            </w: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r>
              <w:rPr>
                <w:i/>
                <w:sz w:val="22"/>
                <w:szCs w:val="22"/>
                <w:shd w:val="clear" w:color="auto" w:fill="FFFFFF"/>
              </w:rPr>
              <w:t>ОБҐРУНТУВАННЯ</w:t>
            </w:r>
            <w:r w:rsidRPr="009D3827">
              <w:rPr>
                <w:i/>
                <w:sz w:val="22"/>
                <w:szCs w:val="22"/>
                <w:shd w:val="clear" w:color="auto" w:fill="FFFFFF"/>
              </w:rPr>
              <w:t>:</w:t>
            </w:r>
          </w:p>
          <w:p w:rsidR="007F4594" w:rsidRPr="009D3827" w:rsidRDefault="007F4594" w:rsidP="007F4594">
            <w:pPr>
              <w:pStyle w:val="af5"/>
              <w:spacing w:before="0" w:beforeAutospacing="0" w:after="0" w:afterAutospacing="0"/>
              <w:ind w:firstLine="454"/>
              <w:jc w:val="both"/>
              <w:rPr>
                <w:i/>
                <w:iCs/>
                <w:sz w:val="22"/>
                <w:szCs w:val="22"/>
              </w:rPr>
            </w:pPr>
            <w:r w:rsidRPr="009D3827">
              <w:rPr>
                <w:i/>
                <w:iCs/>
                <w:sz w:val="22"/>
                <w:szCs w:val="22"/>
              </w:rPr>
              <w:t>Зважаючи на те, що при формуванні місячного індексу базового навантаження на Українській енергетичній біржі у торгах приймає участь незначна кількість виробників, які виставляють пропозиції з певними умовами, обсяги продажу яких на цьому сегменті ринку є дуже мізерними по відношенню до загальної кількості виробленої електричної енергії в ОЕС України, тому місячний індекс базового навантаження не може бути об’єктивним для формування обґрунтованих витрат. Пропонуємо замінити місячний індекс базового навантаження на ринку двосторонніх договорів в і-му місяці звітного року, який оприлюднюється ТОВ "Українська енергетична біржа" на його офіційному вебсайті в мережі Інтернет на місячний індекс базового навантаження на ринку "на добу наперед", в і-му місяці звітного року, який оприлюднюється АТ "Оператор ринку" на його офіційному вебсайті в мережі Інтернет, грн/МВт·год.</w:t>
            </w: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r w:rsidRPr="009D3827">
              <w:rPr>
                <w:i/>
                <w:sz w:val="22"/>
                <w:szCs w:val="22"/>
                <w:shd w:val="clear" w:color="auto" w:fill="FFFFFF"/>
              </w:rPr>
              <w:t>ПРАТ «ЛЬВІВОБЛЕНЕРГО»</w:t>
            </w:r>
          </w:p>
          <w:p w:rsidR="007F4594" w:rsidRPr="009D3827" w:rsidRDefault="007F4594" w:rsidP="007F4594">
            <w:pPr>
              <w:ind w:firstLine="308"/>
              <w:jc w:val="both"/>
              <w:rPr>
                <w:sz w:val="22"/>
                <w:szCs w:val="22"/>
                <w:shd w:val="clear" w:color="auto" w:fill="FFFFFF"/>
              </w:rPr>
            </w:pPr>
            <w:r w:rsidRPr="009D3827">
              <w:rPr>
                <w:sz w:val="22"/>
                <w:szCs w:val="22"/>
                <w:shd w:val="clear" w:color="auto" w:fill="FFFFFF"/>
              </w:rPr>
              <w:t>&lt;…&gt;</w:t>
            </w:r>
          </w:p>
          <w:p w:rsidR="007F4594" w:rsidRPr="0080536C" w:rsidRDefault="007F4594" w:rsidP="007F4594">
            <w:pPr>
              <w:ind w:firstLine="240"/>
              <w:jc w:val="both"/>
              <w:rPr>
                <w:b/>
                <w:color w:val="000000" w:themeColor="text1"/>
                <w:sz w:val="22"/>
                <w:szCs w:val="22"/>
              </w:rPr>
            </w:pPr>
            <w:r w:rsidRPr="0080536C">
              <w:rPr>
                <w:b/>
                <w:color w:val="000000" w:themeColor="text1"/>
                <w:sz w:val="22"/>
                <w:szCs w:val="22"/>
              </w:rPr>
              <w:t>де КБР W та КБР Ц</w:t>
            </w:r>
            <w:r w:rsidRPr="0080536C">
              <w:rPr>
                <w:color w:val="000000" w:themeColor="text1"/>
                <w:sz w:val="22"/>
                <w:szCs w:val="22"/>
              </w:rPr>
              <w:t xml:space="preserve"> </w:t>
            </w:r>
            <w:r w:rsidRPr="0080536C">
              <w:rPr>
                <w:b/>
                <w:color w:val="000000" w:themeColor="text1"/>
                <w:sz w:val="22"/>
                <w:szCs w:val="22"/>
              </w:rPr>
              <w:t xml:space="preserve">визначаються на рівнях, застосованих під час розрахунку встановлених тарифів на послуги з розподілу електричної енергії в і-му місяці звітного року, або, у разі істотних змін на ринку електричної енергії протягом звітного року, на рівнях, визначених Регулятором; </w:t>
            </w:r>
          </w:p>
          <w:p w:rsidR="007F4594" w:rsidRPr="009D3827" w:rsidRDefault="007F4594" w:rsidP="007F4594">
            <w:pPr>
              <w:ind w:firstLine="240"/>
              <w:jc w:val="both"/>
              <w:rPr>
                <w:b/>
                <w:color w:val="000000" w:themeColor="text1"/>
                <w:sz w:val="22"/>
                <w:szCs w:val="22"/>
              </w:rPr>
            </w:pPr>
            <w:r w:rsidRPr="009D3827">
              <w:rPr>
                <w:b/>
                <w:color w:val="000000" w:themeColor="text1"/>
                <w:sz w:val="22"/>
                <w:szCs w:val="22"/>
              </w:rPr>
              <w:t>КДД W визначається розрахунково по  співвідношенню фактичного базового місячного споживання, визначеного на підставі усереднення мінімальних добових значень, до загального споживання за розрахунковий місяць.</w:t>
            </w:r>
          </w:p>
          <w:p w:rsidR="007F4594" w:rsidRPr="009D3827" w:rsidRDefault="007F4594" w:rsidP="007F4594">
            <w:pPr>
              <w:ind w:firstLine="308"/>
              <w:jc w:val="both"/>
              <w:rPr>
                <w:i/>
                <w:sz w:val="22"/>
                <w:szCs w:val="22"/>
                <w:shd w:val="clear" w:color="auto" w:fill="FFFFFF"/>
              </w:rPr>
            </w:pPr>
          </w:p>
          <w:p w:rsidR="007F4594" w:rsidRPr="0080536C" w:rsidRDefault="007F4594" w:rsidP="007F4594">
            <w:pPr>
              <w:ind w:firstLine="308"/>
              <w:jc w:val="both"/>
              <w:rPr>
                <w:i/>
                <w:sz w:val="22"/>
                <w:szCs w:val="22"/>
                <w:shd w:val="clear" w:color="auto" w:fill="FFFFFF"/>
              </w:rPr>
            </w:pPr>
            <w:r w:rsidRPr="0080536C">
              <w:rPr>
                <w:i/>
                <w:sz w:val="22"/>
                <w:szCs w:val="22"/>
                <w:shd w:val="clear" w:color="auto" w:fill="FFFFFF"/>
              </w:rPr>
              <w:t>ОБҐРУНТУВАННЯ:</w:t>
            </w:r>
          </w:p>
          <w:p w:rsidR="007F4594" w:rsidRPr="0080536C" w:rsidRDefault="007F4594" w:rsidP="007F4594">
            <w:pPr>
              <w:ind w:right="127" w:firstLine="284"/>
              <w:jc w:val="both"/>
              <w:rPr>
                <w:i/>
                <w:color w:val="000000" w:themeColor="text1"/>
                <w:sz w:val="22"/>
                <w:szCs w:val="22"/>
              </w:rPr>
            </w:pPr>
            <w:r w:rsidRPr="0080536C">
              <w:rPr>
                <w:i/>
                <w:color w:val="000000" w:themeColor="text1"/>
                <w:sz w:val="22"/>
                <w:szCs w:val="22"/>
              </w:rPr>
              <w:t>В результаті нерівномірності навантаження протягом доби і місяця в цілому, співвідношення фактичного базового споживання більшості ОСР значно менше 77%. Даний підхід дозволить реальніше оцінювати витрати на закупівлю ТВЕ.</w:t>
            </w:r>
          </w:p>
          <w:p w:rsidR="007F4594" w:rsidRPr="0080536C" w:rsidRDefault="007F4594" w:rsidP="007F4594">
            <w:pPr>
              <w:ind w:firstLine="284"/>
              <w:jc w:val="both"/>
              <w:rPr>
                <w:i/>
                <w:color w:val="000000" w:themeColor="text1"/>
                <w:sz w:val="22"/>
                <w:szCs w:val="22"/>
              </w:rPr>
            </w:pPr>
            <w:r w:rsidRPr="0080536C">
              <w:rPr>
                <w:i/>
                <w:color w:val="000000" w:themeColor="text1"/>
                <w:sz w:val="22"/>
                <w:szCs w:val="22"/>
              </w:rPr>
              <w:t>Індекси базового навантаження РДД, які оприлюднюються ТОВ «Українська енергетична біржа» на його офіційному вебсайті в мережі Інтернет, не відображає фактичну ціну РДД. Відповідно, пропонуємо для визначення Ц РДД ф і при незначних обсягах продажу місячного базового навантаження, розрахунки проводити виходячи з результатів декадних аукціонів.</w:t>
            </w:r>
          </w:p>
          <w:p w:rsidR="007F4594" w:rsidRDefault="007F4594" w:rsidP="007F4594">
            <w:pPr>
              <w:ind w:firstLine="284"/>
              <w:jc w:val="both"/>
              <w:rPr>
                <w:color w:val="000000" w:themeColor="text1"/>
                <w:sz w:val="22"/>
                <w:szCs w:val="22"/>
              </w:rPr>
            </w:pPr>
          </w:p>
          <w:p w:rsidR="007F4594" w:rsidRPr="007C7AED" w:rsidRDefault="007F4594" w:rsidP="007F4594">
            <w:pPr>
              <w:ind w:firstLine="308"/>
              <w:jc w:val="both"/>
              <w:rPr>
                <w:i/>
                <w:sz w:val="22"/>
                <w:szCs w:val="22"/>
                <w:shd w:val="clear" w:color="auto" w:fill="FFFFFF"/>
              </w:rPr>
            </w:pPr>
            <w:r w:rsidRPr="007C7AED">
              <w:rPr>
                <w:i/>
                <w:sz w:val="22"/>
                <w:szCs w:val="22"/>
                <w:shd w:val="clear" w:color="auto" w:fill="FFFFFF"/>
              </w:rPr>
              <w:t>АТ «ПРИКАРПАТТЯОБЛЕНЕРГО»</w:t>
            </w:r>
          </w:p>
          <w:p w:rsidR="007F4594" w:rsidRPr="007C7AED" w:rsidRDefault="007F4594" w:rsidP="007F4594">
            <w:pPr>
              <w:ind w:firstLine="308"/>
              <w:jc w:val="both"/>
              <w:rPr>
                <w:sz w:val="22"/>
                <w:szCs w:val="22"/>
                <w:shd w:val="clear" w:color="auto" w:fill="FFFFFF"/>
              </w:rPr>
            </w:pPr>
            <w:r w:rsidRPr="007C7AED">
              <w:rPr>
                <w:sz w:val="22"/>
                <w:szCs w:val="22"/>
                <w:shd w:val="clear" w:color="auto" w:fill="FFFFFF"/>
              </w:rPr>
              <w:t>&lt;…&gt;</w:t>
            </w:r>
          </w:p>
          <w:p w:rsidR="007F4594" w:rsidRPr="007C7AED" w:rsidRDefault="007F4594" w:rsidP="007F4594">
            <w:pPr>
              <w:spacing w:after="75"/>
              <w:ind w:firstLine="240"/>
              <w:jc w:val="both"/>
              <w:rPr>
                <w:b/>
                <w:bCs/>
                <w:sz w:val="22"/>
                <w:szCs w:val="22"/>
              </w:rPr>
            </w:pPr>
            <w:r w:rsidRPr="007C7AED">
              <w:rPr>
                <w:b/>
                <w:bCs/>
                <w:sz w:val="22"/>
                <w:szCs w:val="22"/>
              </w:rPr>
              <w:t>де К</w:t>
            </w:r>
            <w:r w:rsidRPr="007C7AED">
              <w:rPr>
                <w:b/>
                <w:bCs/>
                <w:sz w:val="22"/>
                <w:szCs w:val="22"/>
                <w:vertAlign w:val="superscript"/>
              </w:rPr>
              <w:t>БР</w:t>
            </w:r>
            <w:r w:rsidRPr="007C7AED">
              <w:rPr>
                <w:b/>
                <w:bCs/>
                <w:sz w:val="22"/>
                <w:szCs w:val="22"/>
                <w:vertAlign w:val="subscript"/>
              </w:rPr>
              <w:t xml:space="preserve">W </w:t>
            </w:r>
            <w:r w:rsidRPr="007C7AED">
              <w:rPr>
                <w:b/>
                <w:bCs/>
                <w:sz w:val="22"/>
                <w:szCs w:val="22"/>
              </w:rPr>
              <w:t>та К</w:t>
            </w:r>
            <w:r w:rsidRPr="007C7AED">
              <w:rPr>
                <w:b/>
                <w:bCs/>
                <w:sz w:val="22"/>
                <w:szCs w:val="22"/>
                <w:vertAlign w:val="superscript"/>
              </w:rPr>
              <w:t>БР</w:t>
            </w:r>
            <w:r w:rsidRPr="007C7AED">
              <w:rPr>
                <w:b/>
                <w:bCs/>
                <w:sz w:val="22"/>
                <w:szCs w:val="22"/>
                <w:vertAlign w:val="subscript"/>
              </w:rPr>
              <w:t>Ц</w:t>
            </w:r>
            <w:r w:rsidRPr="007C7AED">
              <w:rPr>
                <w:b/>
                <w:bCs/>
                <w:sz w:val="22"/>
                <w:szCs w:val="22"/>
              </w:rPr>
              <w:t xml:space="preserve"> визначаються на рівнях, застосованих під час розрахунку встановлених тарифів на послуги з розподілу електричної енергії в і-му місяці звітного року, або, у разі істотних змін на ринку електричної енергії </w:t>
            </w:r>
            <w:r w:rsidRPr="007C7AED">
              <w:rPr>
                <w:b/>
                <w:bCs/>
                <w:sz w:val="22"/>
                <w:szCs w:val="22"/>
              </w:rPr>
              <w:lastRenderedPageBreak/>
              <w:t>протягом звітного року, на рівнях, визначених Регулятором;</w:t>
            </w:r>
            <w:r w:rsidRPr="007C7AED">
              <w:rPr>
                <w:b/>
                <w:bCs/>
                <w:sz w:val="22"/>
                <w:szCs w:val="22"/>
              </w:rPr>
              <w:br/>
              <w:t>К</w:t>
            </w:r>
            <w:r w:rsidRPr="007C7AED">
              <w:rPr>
                <w:b/>
                <w:bCs/>
                <w:sz w:val="22"/>
                <w:szCs w:val="22"/>
                <w:vertAlign w:val="superscript"/>
              </w:rPr>
              <w:t>ДД</w:t>
            </w:r>
            <w:r w:rsidRPr="007C7AED">
              <w:rPr>
                <w:b/>
                <w:bCs/>
                <w:sz w:val="22"/>
                <w:szCs w:val="22"/>
                <w:vertAlign w:val="subscript"/>
              </w:rPr>
              <w:t xml:space="preserve">W </w:t>
            </w:r>
            <w:r w:rsidRPr="007C7AED">
              <w:rPr>
                <w:b/>
                <w:bCs/>
                <w:sz w:val="22"/>
                <w:szCs w:val="22"/>
              </w:rPr>
              <w:t xml:space="preserve">– визначається на підставі усереднення мінімальних добових значень фактичних обсягів ТВЕ ОСР, до загальних обсягів ТВЕ за розрахунковий місяць. </w:t>
            </w:r>
          </w:p>
          <w:p w:rsidR="007F4594" w:rsidRPr="007C7AED" w:rsidRDefault="007F4594" w:rsidP="007F4594">
            <w:pPr>
              <w:pStyle w:val="tj"/>
              <w:spacing w:before="0" w:beforeAutospacing="0" w:after="0" w:afterAutospacing="0"/>
              <w:jc w:val="both"/>
              <w:rPr>
                <w:sz w:val="22"/>
                <w:szCs w:val="22"/>
              </w:rPr>
            </w:pPr>
          </w:p>
          <w:p w:rsidR="007F4594" w:rsidRDefault="007F4594" w:rsidP="007F4594">
            <w:pPr>
              <w:pStyle w:val="af5"/>
              <w:spacing w:before="0" w:beforeAutospacing="0" w:after="0" w:afterAutospacing="0"/>
              <w:ind w:firstLine="454"/>
              <w:jc w:val="both"/>
              <w:rPr>
                <w:sz w:val="22"/>
                <w:szCs w:val="22"/>
              </w:rPr>
            </w:pPr>
            <w:r w:rsidRPr="007C7AED">
              <w:rPr>
                <w:sz w:val="22"/>
                <w:szCs w:val="22"/>
              </w:rPr>
              <w:t>Ц</w:t>
            </w:r>
            <w:r w:rsidRPr="007C7AED">
              <w:rPr>
                <w:sz w:val="22"/>
                <w:szCs w:val="22"/>
                <w:vertAlign w:val="subscript"/>
              </w:rPr>
              <w:t>РДД ф і</w:t>
            </w:r>
            <w:r w:rsidRPr="007C7AED">
              <w:rPr>
                <w:sz w:val="22"/>
                <w:szCs w:val="22"/>
              </w:rPr>
              <w:t xml:space="preserve"> - місячний індекс базового навантаження на ринку двосторонніх договорів в і-му місяці звітного року. </w:t>
            </w:r>
            <w:r w:rsidRPr="007C7AED">
              <w:rPr>
                <w:rFonts w:eastAsia="Calibri"/>
                <w:b/>
                <w:bCs/>
                <w:sz w:val="22"/>
                <w:szCs w:val="22"/>
                <w:lang w:eastAsia="ru-RU"/>
              </w:rPr>
              <w:t xml:space="preserve">У місяці, коли обсяг продажу базового навантаження, реалізованого на повний календарний місяць, становить менше ніж 50% від загального обсягу продажу базового навантаження на платформі ТОВ «Українська енергетична біржа», визначається на основі </w:t>
            </w:r>
            <w:r w:rsidRPr="007C7AED">
              <w:rPr>
                <w:b/>
                <w:sz w:val="22"/>
                <w:szCs w:val="22"/>
              </w:rPr>
              <w:t xml:space="preserve"> середньозваженого місячного індексу, визначеного на підставі декадних базових навантажень на ринку двосторонніх договорів в і-му місяці звітного року, які оприлюднюються ТОВ «Українська енергетична біржа» на його офіційному веб сайті в мережі Інтернет, та декадних фактичних обсягів технологічних витрат електричної енергії на її розподіл в і-му місяці звітного року купівлі на РДД</w:t>
            </w:r>
            <w:r w:rsidRPr="007C7AED">
              <w:rPr>
                <w:sz w:val="22"/>
                <w:szCs w:val="22"/>
              </w:rPr>
              <w:t>, грн/МВт·год;</w:t>
            </w:r>
          </w:p>
          <w:p w:rsidR="007F4594" w:rsidRPr="009D3827" w:rsidRDefault="007F4594" w:rsidP="007F4594">
            <w:pPr>
              <w:ind w:firstLine="308"/>
              <w:jc w:val="both"/>
              <w:rPr>
                <w:i/>
                <w:sz w:val="22"/>
                <w:szCs w:val="22"/>
                <w:shd w:val="clear" w:color="auto" w:fill="FFFFFF"/>
              </w:rPr>
            </w:pPr>
          </w:p>
          <w:p w:rsidR="007F4594" w:rsidRDefault="007F4594" w:rsidP="007F4594">
            <w:pPr>
              <w:ind w:firstLine="308"/>
              <w:jc w:val="both"/>
              <w:rPr>
                <w:i/>
                <w:sz w:val="22"/>
                <w:szCs w:val="22"/>
                <w:shd w:val="clear" w:color="auto" w:fill="FFFFFF"/>
              </w:rPr>
            </w:pPr>
            <w:r w:rsidRPr="0080536C">
              <w:rPr>
                <w:i/>
                <w:sz w:val="22"/>
                <w:szCs w:val="22"/>
                <w:shd w:val="clear" w:color="auto" w:fill="FFFFFF"/>
              </w:rPr>
              <w:t>ОБҐРУНТУВАННЯ:</w:t>
            </w:r>
          </w:p>
          <w:p w:rsidR="007F4594" w:rsidRPr="0080536C" w:rsidRDefault="007F4594" w:rsidP="007F4594">
            <w:pPr>
              <w:ind w:firstLine="308"/>
              <w:jc w:val="both"/>
              <w:rPr>
                <w:i/>
                <w:sz w:val="22"/>
                <w:szCs w:val="22"/>
                <w:shd w:val="clear" w:color="auto" w:fill="FFFFFF"/>
              </w:rPr>
            </w:pPr>
            <w:r w:rsidRPr="0080536C">
              <w:rPr>
                <w:bCs/>
                <w:i/>
                <w:sz w:val="22"/>
                <w:szCs w:val="22"/>
              </w:rPr>
              <w:t xml:space="preserve">Співвідношення фактичного базового споживання більшості ОСР менше 77% (величина при розрахунку тарифу), що спричиняє не об’єктивність при визначенні Ц </w:t>
            </w:r>
            <w:r w:rsidRPr="0080536C">
              <w:rPr>
                <w:bCs/>
                <w:i/>
                <w:sz w:val="22"/>
                <w:szCs w:val="22"/>
                <w:vertAlign w:val="subscript"/>
              </w:rPr>
              <w:t>ТВЕ і</w:t>
            </w:r>
            <w:r w:rsidRPr="0080536C">
              <w:rPr>
                <w:bCs/>
                <w:i/>
                <w:sz w:val="22"/>
                <w:szCs w:val="22"/>
              </w:rPr>
              <w:t>. Відповідно, пропонуємо К</w:t>
            </w:r>
            <w:r w:rsidRPr="0080536C">
              <w:rPr>
                <w:bCs/>
                <w:i/>
                <w:sz w:val="22"/>
                <w:szCs w:val="22"/>
                <w:vertAlign w:val="superscript"/>
              </w:rPr>
              <w:t>ДД</w:t>
            </w:r>
            <w:r w:rsidRPr="0080536C">
              <w:rPr>
                <w:bCs/>
                <w:i/>
                <w:sz w:val="22"/>
                <w:szCs w:val="22"/>
                <w:vertAlign w:val="subscript"/>
              </w:rPr>
              <w:t xml:space="preserve">W </w:t>
            </w:r>
            <w:r w:rsidRPr="0080536C">
              <w:rPr>
                <w:bCs/>
                <w:i/>
                <w:sz w:val="22"/>
                <w:szCs w:val="22"/>
              </w:rPr>
              <w:t xml:space="preserve"> розраховувати по співвідношенню фактичного базового місячного споживання, визначеного на підставі усереднення мінімальних добових значень, до загального споживання за розрахунковий місяць.</w:t>
            </w:r>
          </w:p>
          <w:p w:rsidR="007F4594" w:rsidRPr="00945544" w:rsidRDefault="007F4594" w:rsidP="007F4594">
            <w:pPr>
              <w:pStyle w:val="af5"/>
              <w:spacing w:before="0" w:beforeAutospacing="0" w:after="0" w:afterAutospacing="0"/>
              <w:ind w:firstLine="454"/>
              <w:jc w:val="both"/>
              <w:rPr>
                <w:bCs/>
                <w:i/>
                <w:sz w:val="22"/>
                <w:szCs w:val="22"/>
              </w:rPr>
            </w:pPr>
            <w:r w:rsidRPr="00945544">
              <w:rPr>
                <w:bCs/>
                <w:i/>
                <w:sz w:val="22"/>
                <w:szCs w:val="22"/>
              </w:rPr>
              <w:t xml:space="preserve">Запропонована редакція проєкту дає можливість неоднозначного трактування визначення коефіцієнта ЦРДД ф і, тому необхідно </w:t>
            </w:r>
            <w:r w:rsidRPr="00945544">
              <w:rPr>
                <w:bCs/>
                <w:i/>
                <w:sz w:val="22"/>
                <w:szCs w:val="22"/>
              </w:rPr>
              <w:lastRenderedPageBreak/>
              <w:t>визначити чіткі критерії умов визначення даної величини.</w:t>
            </w:r>
          </w:p>
          <w:p w:rsidR="007F4594" w:rsidRDefault="007F4594" w:rsidP="007F4594">
            <w:pPr>
              <w:ind w:firstLine="308"/>
              <w:jc w:val="both"/>
              <w:rPr>
                <w:i/>
                <w:sz w:val="22"/>
                <w:szCs w:val="22"/>
                <w:shd w:val="clear" w:color="auto" w:fill="FFFFFF"/>
              </w:rPr>
            </w:pPr>
          </w:p>
          <w:p w:rsidR="007F4594" w:rsidRDefault="007F4594" w:rsidP="007F4594">
            <w:pPr>
              <w:ind w:firstLine="308"/>
              <w:jc w:val="both"/>
              <w:rPr>
                <w:i/>
                <w:sz w:val="22"/>
                <w:szCs w:val="22"/>
                <w:shd w:val="clear" w:color="auto" w:fill="FFFFFF"/>
              </w:rPr>
            </w:pPr>
            <w:r>
              <w:rPr>
                <w:i/>
                <w:sz w:val="22"/>
                <w:szCs w:val="22"/>
                <w:shd w:val="clear" w:color="auto" w:fill="FFFFFF"/>
              </w:rPr>
              <w:t>ПРАТ «РІВНЕОБЛЕНЕРГО»</w:t>
            </w:r>
          </w:p>
          <w:p w:rsidR="007F4594" w:rsidRPr="009D3827" w:rsidRDefault="007F4594" w:rsidP="007F4594">
            <w:pPr>
              <w:ind w:firstLine="308"/>
              <w:jc w:val="both"/>
              <w:rPr>
                <w:sz w:val="22"/>
                <w:szCs w:val="22"/>
                <w:shd w:val="clear" w:color="auto" w:fill="FFFFFF"/>
              </w:rPr>
            </w:pPr>
            <w:r w:rsidRPr="009D3827">
              <w:rPr>
                <w:sz w:val="22"/>
                <w:szCs w:val="22"/>
                <w:shd w:val="clear" w:color="auto" w:fill="FFFFFF"/>
              </w:rPr>
              <w:t>&lt;…&gt;</w:t>
            </w:r>
          </w:p>
          <w:p w:rsidR="007F4594" w:rsidRPr="00B40BED" w:rsidRDefault="007F4594" w:rsidP="007F4594">
            <w:pPr>
              <w:ind w:firstLine="308"/>
              <w:jc w:val="both"/>
              <w:rPr>
                <w:i/>
                <w:sz w:val="22"/>
                <w:szCs w:val="22"/>
                <w:shd w:val="clear" w:color="auto" w:fill="FFFFFF"/>
              </w:rPr>
            </w:pPr>
          </w:p>
          <w:p w:rsidR="007F4594" w:rsidRPr="00B40BED" w:rsidRDefault="007F4594" w:rsidP="007F4594">
            <w:pPr>
              <w:spacing w:after="75"/>
              <w:ind w:firstLine="240"/>
              <w:jc w:val="both"/>
              <w:rPr>
                <w:sz w:val="22"/>
                <w:szCs w:val="22"/>
              </w:rPr>
            </w:pPr>
            <w:r w:rsidRPr="00B40BED">
              <w:rPr>
                <w:sz w:val="22"/>
                <w:szCs w:val="22"/>
              </w:rPr>
              <w:t>Ц</w:t>
            </w:r>
            <w:r w:rsidRPr="00B40BED">
              <w:rPr>
                <w:sz w:val="22"/>
                <w:szCs w:val="22"/>
                <w:vertAlign w:val="subscript"/>
              </w:rPr>
              <w:t>РДД ф і</w:t>
            </w:r>
            <w:r w:rsidRPr="00B40BED">
              <w:rPr>
                <w:sz w:val="22"/>
                <w:szCs w:val="22"/>
              </w:rPr>
              <w:t xml:space="preserve"> - місячний індекс базового навантаження на ринку двосторонніх договорів в і-му місяці звітного року</w:t>
            </w:r>
            <w:r w:rsidRPr="00B40BED">
              <w:rPr>
                <w:strike/>
                <w:sz w:val="22"/>
                <w:szCs w:val="22"/>
              </w:rPr>
              <w:t xml:space="preserve">, </w:t>
            </w:r>
            <w:r w:rsidRPr="00B40BED">
              <w:rPr>
                <w:b/>
                <w:strike/>
                <w:sz w:val="22"/>
                <w:szCs w:val="22"/>
              </w:rPr>
              <w:t>або середньозважений місячний індекс, визначений на підставі декадних базових навантажень на ринку двосторонніх договорів в і-му місяці звітного року, які оприлюднюються ТОВ «Українська енергетична біржа» на його офіційному вебсайті в мережі Інтернет, та декадних фактичних обсягів технологічних витрат електричної енергії на її розподіл в і-му місяці звітного року купівлі на РДД</w:t>
            </w:r>
            <w:r w:rsidRPr="00B40BED">
              <w:rPr>
                <w:b/>
                <w:bCs/>
                <w:strike/>
                <w:color w:val="FF0000"/>
                <w:sz w:val="22"/>
                <w:szCs w:val="22"/>
              </w:rPr>
              <w:t>,</w:t>
            </w:r>
            <w:r w:rsidRPr="00B40BED">
              <w:rPr>
                <w:b/>
                <w:bCs/>
                <w:color w:val="FF0000"/>
                <w:sz w:val="22"/>
                <w:szCs w:val="22"/>
              </w:rPr>
              <w:t xml:space="preserve"> </w:t>
            </w:r>
            <w:r w:rsidRPr="00595F91">
              <w:rPr>
                <w:b/>
                <w:bCs/>
                <w:sz w:val="22"/>
                <w:szCs w:val="22"/>
              </w:rPr>
              <w:t>в якому не було застосовано графіки погодинного відключення електроенергії за вказівкою оператора система передачі,</w:t>
            </w:r>
            <w:r w:rsidRPr="00595F91">
              <w:rPr>
                <w:sz w:val="22"/>
                <w:szCs w:val="22"/>
              </w:rPr>
              <w:t xml:space="preserve"> </w:t>
            </w:r>
            <w:r w:rsidRPr="00B40BED">
              <w:rPr>
                <w:sz w:val="22"/>
                <w:szCs w:val="22"/>
              </w:rPr>
              <w:t>який оприлюднюється ТОВ "Українська енергетична біржа" на його офіційному вебсайті в мережі Інтернет, грн/МВт·год.</w:t>
            </w:r>
          </w:p>
          <w:p w:rsidR="007F4594" w:rsidRPr="00595F91" w:rsidRDefault="007F4594" w:rsidP="007F4594">
            <w:pPr>
              <w:spacing w:after="75"/>
              <w:ind w:firstLine="240"/>
              <w:jc w:val="both"/>
              <w:rPr>
                <w:b/>
                <w:bCs/>
                <w:sz w:val="22"/>
                <w:szCs w:val="22"/>
              </w:rPr>
            </w:pPr>
            <w:r w:rsidRPr="00595F91">
              <w:rPr>
                <w:b/>
                <w:bCs/>
                <w:sz w:val="22"/>
                <w:szCs w:val="22"/>
              </w:rPr>
              <w:t xml:space="preserve">В і-му місяці звітного року, в якому застосовувалися графіки погодинного відключення електроенергії згідно вказівкою оператора системи передачі, Ц </w:t>
            </w:r>
            <w:r w:rsidRPr="00595F91">
              <w:rPr>
                <w:b/>
                <w:bCs/>
                <w:sz w:val="22"/>
                <w:szCs w:val="22"/>
                <w:vertAlign w:val="subscript"/>
              </w:rPr>
              <w:t>РДД фі</w:t>
            </w:r>
            <w:r w:rsidRPr="00595F91">
              <w:rPr>
                <w:b/>
                <w:bCs/>
                <w:sz w:val="22"/>
                <w:szCs w:val="22"/>
              </w:rPr>
              <w:t xml:space="preserve"> визначається як добуток Ц </w:t>
            </w:r>
            <w:r w:rsidRPr="00595F91">
              <w:rPr>
                <w:b/>
                <w:bCs/>
                <w:sz w:val="22"/>
                <w:szCs w:val="22"/>
                <w:vertAlign w:val="subscript"/>
              </w:rPr>
              <w:t>РДН ф і</w:t>
            </w:r>
            <w:r w:rsidRPr="00595F91">
              <w:rPr>
                <w:b/>
                <w:bCs/>
                <w:sz w:val="22"/>
                <w:szCs w:val="22"/>
              </w:rPr>
              <w:t xml:space="preserve"> та коефіцієнту 0,97;</w:t>
            </w:r>
          </w:p>
          <w:p w:rsidR="007F4594" w:rsidRPr="00B40BED" w:rsidRDefault="007F4594" w:rsidP="007F4594">
            <w:pPr>
              <w:spacing w:after="75"/>
              <w:ind w:firstLine="240"/>
              <w:jc w:val="both"/>
              <w:rPr>
                <w:sz w:val="22"/>
                <w:szCs w:val="22"/>
              </w:rPr>
            </w:pPr>
            <w:r w:rsidRPr="00B40BED">
              <w:rPr>
                <w:sz w:val="22"/>
                <w:szCs w:val="22"/>
              </w:rPr>
              <w:t>К - коефіцієнт, що враховує відхилення фактичної середньозваженої ціни купівлі електричної енергії на ринку "на добу наперед" від місячного індексу базового навантаження на ринку "на добу наперед", відносні одиниці, який визначається за формулою</w:t>
            </w:r>
          </w:p>
          <w:p w:rsidR="007F4594" w:rsidRPr="00B40BED" w:rsidRDefault="007F4594" w:rsidP="007F4594">
            <w:pPr>
              <w:spacing w:after="75"/>
              <w:ind w:firstLine="240"/>
              <w:jc w:val="both"/>
              <w:rPr>
                <w:sz w:val="22"/>
                <w:szCs w:val="22"/>
              </w:rPr>
            </w:pPr>
            <w:r w:rsidRPr="00B40BED">
              <w:rPr>
                <w:sz w:val="22"/>
                <w:szCs w:val="22"/>
              </w:rPr>
              <w:t xml:space="preserve">К = Ц </w:t>
            </w:r>
            <w:r w:rsidRPr="00B40BED">
              <w:rPr>
                <w:sz w:val="22"/>
                <w:szCs w:val="22"/>
                <w:vertAlign w:val="subscript"/>
              </w:rPr>
              <w:t>РДН ф і</w:t>
            </w:r>
            <w:r w:rsidRPr="00B40BED">
              <w:rPr>
                <w:sz w:val="22"/>
                <w:szCs w:val="22"/>
              </w:rPr>
              <w:t xml:space="preserve"> / Ц </w:t>
            </w:r>
            <w:r w:rsidRPr="00B40BED">
              <w:rPr>
                <w:sz w:val="22"/>
                <w:szCs w:val="22"/>
                <w:vertAlign w:val="subscript"/>
              </w:rPr>
              <w:t>база і</w:t>
            </w:r>
            <w:r w:rsidRPr="00B40BED">
              <w:rPr>
                <w:sz w:val="22"/>
                <w:szCs w:val="22"/>
              </w:rPr>
              <w:t>;</w:t>
            </w:r>
          </w:p>
          <w:p w:rsidR="007F4594" w:rsidRPr="00E3234C" w:rsidRDefault="007F4594" w:rsidP="007F4594">
            <w:pPr>
              <w:spacing w:after="75"/>
              <w:ind w:firstLine="240"/>
              <w:jc w:val="both"/>
              <w:rPr>
                <w:sz w:val="22"/>
                <w:szCs w:val="22"/>
              </w:rPr>
            </w:pPr>
            <w:r w:rsidRPr="00B40BED">
              <w:rPr>
                <w:sz w:val="22"/>
                <w:szCs w:val="22"/>
              </w:rPr>
              <w:t xml:space="preserve">Ц </w:t>
            </w:r>
            <w:r w:rsidRPr="00B40BED">
              <w:rPr>
                <w:sz w:val="22"/>
                <w:szCs w:val="22"/>
                <w:vertAlign w:val="subscript"/>
              </w:rPr>
              <w:t>база і</w:t>
            </w:r>
            <w:r w:rsidRPr="00B40BED">
              <w:rPr>
                <w:sz w:val="22"/>
                <w:szCs w:val="22"/>
              </w:rPr>
              <w:t xml:space="preserve"> - місячний індекс базового навантаження на </w:t>
            </w:r>
            <w:r w:rsidRPr="00E3234C">
              <w:rPr>
                <w:sz w:val="22"/>
                <w:szCs w:val="22"/>
              </w:rPr>
              <w:t xml:space="preserve">ринку "на добу наперед", в і-му місяці звітного </w:t>
            </w:r>
            <w:r w:rsidRPr="00E3234C">
              <w:rPr>
                <w:sz w:val="22"/>
                <w:szCs w:val="22"/>
              </w:rPr>
              <w:lastRenderedPageBreak/>
              <w:t>року, який оприлюднюється АТ "Оператор ринку" на його офіційному вебсайті в мережі Інтернет, грн/МВт.</w:t>
            </w:r>
          </w:p>
          <w:p w:rsidR="007F4594" w:rsidRPr="00E3234C" w:rsidRDefault="007F4594" w:rsidP="007F4594">
            <w:pPr>
              <w:ind w:firstLine="308"/>
              <w:jc w:val="both"/>
              <w:rPr>
                <w:i/>
                <w:sz w:val="22"/>
                <w:szCs w:val="22"/>
                <w:shd w:val="clear" w:color="auto" w:fill="FFFFFF"/>
              </w:rPr>
            </w:pPr>
          </w:p>
          <w:p w:rsidR="007F4594" w:rsidRPr="00E3234C" w:rsidRDefault="007F4594" w:rsidP="007F4594">
            <w:pPr>
              <w:ind w:firstLine="308"/>
              <w:jc w:val="both"/>
              <w:rPr>
                <w:i/>
                <w:sz w:val="22"/>
                <w:szCs w:val="22"/>
                <w:shd w:val="clear" w:color="auto" w:fill="FFFFFF"/>
              </w:rPr>
            </w:pPr>
            <w:r>
              <w:rPr>
                <w:i/>
                <w:sz w:val="22"/>
                <w:szCs w:val="22"/>
                <w:shd w:val="clear" w:color="auto" w:fill="FFFFFF"/>
              </w:rPr>
              <w:t>ОБҐРУНТУВАННЯ</w:t>
            </w:r>
            <w:r w:rsidRPr="00E3234C">
              <w:rPr>
                <w:i/>
                <w:sz w:val="22"/>
                <w:szCs w:val="22"/>
                <w:shd w:val="clear" w:color="auto" w:fill="FFFFFF"/>
              </w:rPr>
              <w:t>:</w:t>
            </w:r>
          </w:p>
          <w:p w:rsidR="007F4594" w:rsidRPr="00F411B3" w:rsidRDefault="007F4594" w:rsidP="007F4594">
            <w:pPr>
              <w:ind w:firstLine="361"/>
              <w:jc w:val="both"/>
              <w:rPr>
                <w:i/>
                <w:sz w:val="22"/>
                <w:szCs w:val="22"/>
              </w:rPr>
            </w:pPr>
            <w:r w:rsidRPr="00F411B3">
              <w:rPr>
                <w:i/>
                <w:sz w:val="22"/>
                <w:szCs w:val="22"/>
              </w:rPr>
              <w:t xml:space="preserve">Графіки погодинного відключення, які застосовуються через суттєві руйнування об’єктів енергетичної мережі, мають суттєвий вплив на ціноутворення на ТОВ "Українська енергетична біржа" (УЕБ), особливо в сегменті базового навантаження. </w:t>
            </w:r>
          </w:p>
          <w:p w:rsidR="007F4594" w:rsidRPr="00F411B3" w:rsidRDefault="007F4594" w:rsidP="007F4594">
            <w:pPr>
              <w:ind w:firstLine="361"/>
              <w:jc w:val="both"/>
              <w:rPr>
                <w:i/>
                <w:sz w:val="22"/>
                <w:szCs w:val="22"/>
                <w:lang w:eastAsia="uk-UA"/>
              </w:rPr>
            </w:pPr>
            <w:r w:rsidRPr="00F411B3">
              <w:rPr>
                <w:i/>
                <w:sz w:val="22"/>
                <w:szCs w:val="22"/>
                <w:lang w:eastAsia="uk-UA"/>
              </w:rPr>
              <w:t xml:space="preserve">Індекс базового навантаження РДД у період ГПВ стає </w:t>
            </w:r>
            <w:r w:rsidRPr="00F411B3">
              <w:rPr>
                <w:bCs/>
                <w:i/>
                <w:sz w:val="22"/>
                <w:szCs w:val="22"/>
                <w:lang w:eastAsia="uk-UA"/>
              </w:rPr>
              <w:t>теоретичним показником</w:t>
            </w:r>
            <w:r w:rsidRPr="00F411B3">
              <w:rPr>
                <w:i/>
                <w:sz w:val="22"/>
                <w:szCs w:val="22"/>
                <w:lang w:eastAsia="uk-UA"/>
              </w:rPr>
              <w:t xml:space="preserve">, який показує вартість електроенергії за умови ідеальної роботи мережі, оскільки це більше «ціна наміру», а не «ціна факту». </w:t>
            </w:r>
          </w:p>
          <w:p w:rsidR="007F4594" w:rsidRPr="00F411B3" w:rsidRDefault="007F4594" w:rsidP="007F4594">
            <w:pPr>
              <w:ind w:firstLine="361"/>
              <w:jc w:val="both"/>
              <w:rPr>
                <w:i/>
                <w:sz w:val="22"/>
                <w:szCs w:val="22"/>
                <w:lang w:eastAsia="uk-UA"/>
              </w:rPr>
            </w:pPr>
            <w:r w:rsidRPr="00F411B3">
              <w:rPr>
                <w:i/>
                <w:sz w:val="22"/>
                <w:szCs w:val="22"/>
                <w:lang w:eastAsia="uk-UA"/>
              </w:rPr>
              <w:t xml:space="preserve">Фактична ж ціна для учасників ринку в цей час «розмивається» через величезні втрати на балансуючому ринку та неможливість фізичної реалізації куплених обсягів. </w:t>
            </w:r>
          </w:p>
          <w:p w:rsidR="007F4594" w:rsidRPr="00F411B3" w:rsidRDefault="007F4594" w:rsidP="007F4594">
            <w:pPr>
              <w:ind w:firstLine="361"/>
              <w:jc w:val="both"/>
              <w:rPr>
                <w:i/>
                <w:sz w:val="22"/>
                <w:szCs w:val="22"/>
                <w:lang w:eastAsia="uk-UA"/>
              </w:rPr>
            </w:pPr>
            <w:r w:rsidRPr="00F411B3">
              <w:rPr>
                <w:i/>
                <w:sz w:val="22"/>
                <w:szCs w:val="22"/>
                <w:lang w:eastAsia="uk-UA"/>
              </w:rPr>
              <w:t xml:space="preserve">Індекс ТОВ «УЕБ» є загальнонаціональним, але руйнування мереж через ворожі обстріли створює дефіцитні та </w:t>
            </w:r>
            <w:proofErr w:type="spellStart"/>
            <w:r w:rsidRPr="00F411B3">
              <w:rPr>
                <w:i/>
                <w:sz w:val="22"/>
                <w:szCs w:val="22"/>
                <w:lang w:eastAsia="uk-UA"/>
              </w:rPr>
              <w:t>профіцитні</w:t>
            </w:r>
            <w:proofErr w:type="spellEnd"/>
            <w:r w:rsidRPr="00F411B3">
              <w:rPr>
                <w:i/>
                <w:sz w:val="22"/>
                <w:szCs w:val="22"/>
                <w:lang w:eastAsia="uk-UA"/>
              </w:rPr>
              <w:t xml:space="preserve"> </w:t>
            </w:r>
            <w:proofErr w:type="spellStart"/>
            <w:r w:rsidRPr="00F411B3">
              <w:rPr>
                <w:i/>
                <w:sz w:val="22"/>
                <w:szCs w:val="22"/>
                <w:lang w:eastAsia="uk-UA"/>
              </w:rPr>
              <w:t>енергорайони</w:t>
            </w:r>
            <w:proofErr w:type="spellEnd"/>
            <w:r w:rsidRPr="00F411B3">
              <w:rPr>
                <w:i/>
                <w:sz w:val="22"/>
                <w:szCs w:val="22"/>
                <w:lang w:eastAsia="uk-UA"/>
              </w:rPr>
              <w:t xml:space="preserve"> України. Як наслідок, у районах, де є надлишок генерації, фактична ціна може бути вдвічі нижчою за індекс через неможливість доставити енергію до споживача. У дефіцитних районах - навпаки. Як наслідок, індекс базового навантаження РДД не може відобразити реальну вартість електроенергії в умовах розірваної мережі.</w:t>
            </w:r>
          </w:p>
          <w:p w:rsidR="007F4594" w:rsidRPr="00F411B3" w:rsidRDefault="007F4594" w:rsidP="007F4594">
            <w:pPr>
              <w:ind w:firstLine="361"/>
              <w:jc w:val="both"/>
              <w:rPr>
                <w:i/>
                <w:sz w:val="22"/>
                <w:szCs w:val="22"/>
                <w:lang w:eastAsia="uk-UA"/>
              </w:rPr>
            </w:pPr>
            <w:r w:rsidRPr="00F411B3">
              <w:rPr>
                <w:i/>
                <w:sz w:val="22"/>
                <w:szCs w:val="22"/>
                <w:lang w:eastAsia="uk-UA"/>
              </w:rPr>
              <w:t xml:space="preserve">Також, у періоди високої невизначеності через обстріли </w:t>
            </w:r>
            <w:proofErr w:type="spellStart"/>
            <w:r w:rsidRPr="00F411B3">
              <w:rPr>
                <w:i/>
                <w:sz w:val="22"/>
                <w:szCs w:val="22"/>
                <w:lang w:eastAsia="uk-UA"/>
              </w:rPr>
              <w:t>енергообєктів</w:t>
            </w:r>
            <w:proofErr w:type="spellEnd"/>
            <w:r w:rsidRPr="00F411B3">
              <w:rPr>
                <w:i/>
                <w:sz w:val="22"/>
                <w:szCs w:val="22"/>
                <w:lang w:eastAsia="uk-UA"/>
              </w:rPr>
              <w:t xml:space="preserve">, сторони часто переходять до прямих договорів або додаткових угод, які не фіксуються в публічному індексі ТОВ «УЕБ». Учасники можуть закладати у формулу ціни специфічні коефіцієнти-дисконти на випадок відключень (ті ж самі 5% від ціни РДН). Таким чином, базовий індекс РДД відображає «чисту» ціну контракту, але не враховує ці приховані </w:t>
            </w:r>
            <w:r w:rsidRPr="00F411B3">
              <w:rPr>
                <w:i/>
                <w:sz w:val="22"/>
                <w:szCs w:val="22"/>
                <w:lang w:eastAsia="uk-UA"/>
              </w:rPr>
              <w:lastRenderedPageBreak/>
              <w:t>коригування, які сторони застосовують для балансування ризиків ГПВ.</w:t>
            </w:r>
          </w:p>
          <w:p w:rsidR="007F4594" w:rsidRPr="00F411B3" w:rsidRDefault="007F4594" w:rsidP="007F4594">
            <w:pPr>
              <w:ind w:firstLine="361"/>
              <w:jc w:val="both"/>
              <w:rPr>
                <w:i/>
                <w:sz w:val="22"/>
                <w:szCs w:val="22"/>
                <w:lang w:eastAsia="uk-UA"/>
              </w:rPr>
            </w:pPr>
          </w:p>
          <w:p w:rsidR="007F4594" w:rsidRPr="00F411B3" w:rsidRDefault="007F4594" w:rsidP="007F4594">
            <w:pPr>
              <w:ind w:firstLine="361"/>
              <w:jc w:val="both"/>
              <w:rPr>
                <w:i/>
                <w:sz w:val="22"/>
                <w:szCs w:val="22"/>
                <w:lang w:eastAsia="uk-UA"/>
              </w:rPr>
            </w:pPr>
            <w:r w:rsidRPr="00F411B3">
              <w:rPr>
                <w:i/>
                <w:sz w:val="22"/>
                <w:szCs w:val="22"/>
                <w:lang w:eastAsia="uk-UA"/>
              </w:rPr>
              <w:t xml:space="preserve">Саме тому в місяці нестабільності та застосування як ГПВ, так і ГАВ, об’єктивним орієнтиром є </w:t>
            </w:r>
            <w:r w:rsidRPr="00F411B3">
              <w:rPr>
                <w:b/>
                <w:bCs/>
                <w:i/>
                <w:sz w:val="22"/>
                <w:szCs w:val="22"/>
                <w:lang w:eastAsia="uk-UA"/>
              </w:rPr>
              <w:t>середньозважена фактична ціна РДН</w:t>
            </w:r>
            <w:r w:rsidRPr="00F411B3">
              <w:rPr>
                <w:i/>
                <w:sz w:val="22"/>
                <w:szCs w:val="22"/>
                <w:lang w:eastAsia="uk-UA"/>
              </w:rPr>
              <w:t xml:space="preserve">, яка є більш гнучкою і швидше реагує на реальні обмеження в системі. </w:t>
            </w:r>
          </w:p>
          <w:p w:rsidR="007F4594" w:rsidRPr="00F411B3" w:rsidRDefault="007F4594" w:rsidP="007F4594">
            <w:pPr>
              <w:ind w:firstLine="361"/>
              <w:jc w:val="both"/>
              <w:rPr>
                <w:b/>
                <w:sz w:val="22"/>
                <w:szCs w:val="22"/>
              </w:rPr>
            </w:pPr>
            <w:r w:rsidRPr="00F411B3">
              <w:rPr>
                <w:i/>
                <w:sz w:val="22"/>
                <w:szCs w:val="22"/>
                <w:lang w:eastAsia="uk-UA"/>
              </w:rPr>
              <w:t xml:space="preserve">Зважаючи на це, </w:t>
            </w:r>
            <w:r w:rsidRPr="00F411B3">
              <w:rPr>
                <w:b/>
                <w:sz w:val="22"/>
                <w:szCs w:val="22"/>
                <w:lang w:eastAsia="uk-UA"/>
              </w:rPr>
              <w:t xml:space="preserve">пропонуємо </w:t>
            </w:r>
            <w:r w:rsidRPr="00F411B3">
              <w:rPr>
                <w:b/>
                <w:sz w:val="22"/>
                <w:szCs w:val="22"/>
              </w:rPr>
              <w:t xml:space="preserve">Ц </w:t>
            </w:r>
            <w:r w:rsidRPr="00F411B3">
              <w:rPr>
                <w:b/>
                <w:sz w:val="22"/>
                <w:szCs w:val="22"/>
                <w:vertAlign w:val="subscript"/>
              </w:rPr>
              <w:t>РДД ф і</w:t>
            </w:r>
            <w:r w:rsidRPr="00F411B3">
              <w:rPr>
                <w:b/>
                <w:sz w:val="22"/>
                <w:szCs w:val="22"/>
              </w:rPr>
              <w:t xml:space="preserve"> в період застосування графіків погодинного відключення електроенергії визначати як ціну РДН із застосуванням дисконту: </w:t>
            </w:r>
          </w:p>
          <w:p w:rsidR="007F4594" w:rsidRPr="00F411B3" w:rsidRDefault="007F4594" w:rsidP="007F4594">
            <w:pPr>
              <w:ind w:firstLine="361"/>
              <w:jc w:val="both"/>
              <w:rPr>
                <w:b/>
                <w:sz w:val="22"/>
                <w:szCs w:val="22"/>
              </w:rPr>
            </w:pPr>
            <w:r w:rsidRPr="00F411B3">
              <w:rPr>
                <w:b/>
                <w:sz w:val="22"/>
                <w:szCs w:val="22"/>
              </w:rPr>
              <w:t xml:space="preserve">Ц </w:t>
            </w:r>
            <w:r w:rsidRPr="00F411B3">
              <w:rPr>
                <w:b/>
                <w:sz w:val="22"/>
                <w:szCs w:val="22"/>
                <w:vertAlign w:val="subscript"/>
              </w:rPr>
              <w:t>РДН ф і</w:t>
            </w:r>
            <w:r w:rsidRPr="00F411B3">
              <w:rPr>
                <w:b/>
                <w:sz w:val="22"/>
                <w:szCs w:val="22"/>
              </w:rPr>
              <w:t xml:space="preserve"> *0,97.</w:t>
            </w:r>
          </w:p>
          <w:p w:rsidR="007F4594" w:rsidRPr="00E3234C" w:rsidRDefault="007F4594" w:rsidP="007F4594">
            <w:pPr>
              <w:ind w:firstLine="361"/>
              <w:jc w:val="both"/>
              <w:rPr>
                <w:i/>
                <w:sz w:val="22"/>
                <w:szCs w:val="22"/>
                <w:shd w:val="clear" w:color="auto" w:fill="FFFFFF"/>
              </w:rPr>
            </w:pPr>
          </w:p>
          <w:p w:rsidR="007F4594" w:rsidRPr="00E3234C" w:rsidRDefault="007F4594" w:rsidP="007F4594">
            <w:pPr>
              <w:ind w:firstLine="361"/>
              <w:jc w:val="both"/>
              <w:rPr>
                <w:i/>
                <w:sz w:val="22"/>
                <w:szCs w:val="22"/>
                <w:shd w:val="clear" w:color="auto" w:fill="FFFFFF"/>
              </w:rPr>
            </w:pPr>
            <w:r w:rsidRPr="00E3234C">
              <w:rPr>
                <w:i/>
                <w:sz w:val="22"/>
                <w:szCs w:val="22"/>
                <w:shd w:val="clear" w:color="auto" w:fill="FFFFFF"/>
              </w:rPr>
              <w:t>ГС «РЕУ»</w:t>
            </w:r>
          </w:p>
          <w:p w:rsidR="007F4594" w:rsidRPr="00E3234C" w:rsidRDefault="007F4594" w:rsidP="007F4594">
            <w:pPr>
              <w:ind w:firstLine="308"/>
              <w:jc w:val="both"/>
              <w:rPr>
                <w:i/>
                <w:iCs/>
                <w:sz w:val="22"/>
                <w:szCs w:val="22"/>
                <w:shd w:val="clear" w:color="auto" w:fill="FFFFFF"/>
              </w:rPr>
            </w:pPr>
            <w:r w:rsidRPr="00E3234C">
              <w:rPr>
                <w:i/>
                <w:iCs/>
                <w:sz w:val="22"/>
                <w:szCs w:val="22"/>
                <w:shd w:val="clear" w:color="auto" w:fill="FFFFFF"/>
              </w:rPr>
              <w:t>Пропозиція 1</w:t>
            </w:r>
          </w:p>
          <w:p w:rsidR="007F4594" w:rsidRPr="00E3234C" w:rsidRDefault="007F4594" w:rsidP="007F4594">
            <w:pPr>
              <w:ind w:firstLine="308"/>
              <w:jc w:val="both"/>
              <w:rPr>
                <w:sz w:val="22"/>
                <w:szCs w:val="22"/>
                <w:shd w:val="clear" w:color="auto" w:fill="FFFFFF"/>
              </w:rPr>
            </w:pPr>
            <w:r w:rsidRPr="00E3234C">
              <w:rPr>
                <w:sz w:val="22"/>
                <w:szCs w:val="22"/>
                <w:shd w:val="clear" w:color="auto" w:fill="FFFFFF"/>
              </w:rPr>
              <w:t xml:space="preserve">Ц </w:t>
            </w:r>
            <w:r w:rsidRPr="00E3234C">
              <w:rPr>
                <w:sz w:val="22"/>
                <w:szCs w:val="22"/>
                <w:shd w:val="clear" w:color="auto" w:fill="FFFFFF"/>
                <w:vertAlign w:val="subscript"/>
              </w:rPr>
              <w:t>ТВЕ і</w:t>
            </w:r>
            <w:r w:rsidRPr="00E3234C">
              <w:rPr>
                <w:sz w:val="22"/>
                <w:szCs w:val="22"/>
                <w:shd w:val="clear" w:color="auto" w:fill="FFFFFF"/>
              </w:rPr>
              <w:t xml:space="preserve"> = Ц </w:t>
            </w:r>
            <w:r w:rsidRPr="00E3234C">
              <w:rPr>
                <w:sz w:val="22"/>
                <w:szCs w:val="22"/>
                <w:shd w:val="clear" w:color="auto" w:fill="FFFFFF"/>
                <w:vertAlign w:val="subscript"/>
              </w:rPr>
              <w:t>РДН ф і</w:t>
            </w:r>
            <w:r w:rsidRPr="00E3234C">
              <w:rPr>
                <w:sz w:val="22"/>
                <w:szCs w:val="22"/>
                <w:shd w:val="clear" w:color="auto" w:fill="FFFFFF"/>
              </w:rPr>
              <w:t xml:space="preserve"> × (1 - </w:t>
            </w:r>
            <w:proofErr w:type="spellStart"/>
            <w:r w:rsidRPr="00E3234C">
              <w:rPr>
                <w:sz w:val="22"/>
                <w:szCs w:val="22"/>
                <w:shd w:val="clear" w:color="auto" w:fill="FFFFFF"/>
              </w:rPr>
              <w:t>К</w:t>
            </w:r>
            <w:r w:rsidRPr="00E3234C">
              <w:rPr>
                <w:sz w:val="22"/>
                <w:szCs w:val="22"/>
                <w:shd w:val="clear" w:color="auto" w:fill="FFFFFF"/>
                <w:vertAlign w:val="superscript"/>
              </w:rPr>
              <w:t>БР</w:t>
            </w:r>
            <w:r w:rsidRPr="00E3234C">
              <w:rPr>
                <w:sz w:val="22"/>
                <w:szCs w:val="22"/>
                <w:shd w:val="clear" w:color="auto" w:fill="FFFFFF"/>
              </w:rPr>
              <w:t>w</w:t>
            </w:r>
            <w:proofErr w:type="spellEnd"/>
            <w:r w:rsidRPr="00E3234C">
              <w:rPr>
                <w:sz w:val="22"/>
                <w:szCs w:val="22"/>
                <w:shd w:val="clear" w:color="auto" w:fill="FFFFFF"/>
              </w:rPr>
              <w:t xml:space="preserve"> - </w:t>
            </w:r>
            <w:proofErr w:type="spellStart"/>
            <w:r w:rsidRPr="00E3234C">
              <w:rPr>
                <w:sz w:val="22"/>
                <w:szCs w:val="22"/>
                <w:shd w:val="clear" w:color="auto" w:fill="FFFFFF"/>
              </w:rPr>
              <w:t>К</w:t>
            </w:r>
            <w:r w:rsidRPr="00E3234C">
              <w:rPr>
                <w:sz w:val="22"/>
                <w:szCs w:val="22"/>
                <w:shd w:val="clear" w:color="auto" w:fill="FFFFFF"/>
                <w:vertAlign w:val="superscript"/>
              </w:rPr>
              <w:t>ДД</w:t>
            </w:r>
            <w:r w:rsidRPr="00E3234C">
              <w:rPr>
                <w:sz w:val="22"/>
                <w:szCs w:val="22"/>
                <w:shd w:val="clear" w:color="auto" w:fill="FFFFFF"/>
              </w:rPr>
              <w:t>w</w:t>
            </w:r>
            <w:proofErr w:type="spellEnd"/>
            <w:r w:rsidRPr="00E3234C">
              <w:rPr>
                <w:sz w:val="22"/>
                <w:szCs w:val="22"/>
                <w:shd w:val="clear" w:color="auto" w:fill="FFFFFF"/>
              </w:rPr>
              <w:t xml:space="preserve">) + Ц </w:t>
            </w:r>
            <w:r w:rsidRPr="00E3234C">
              <w:rPr>
                <w:sz w:val="22"/>
                <w:szCs w:val="22"/>
                <w:shd w:val="clear" w:color="auto" w:fill="FFFFFF"/>
                <w:vertAlign w:val="subscript"/>
              </w:rPr>
              <w:t>РДН ф і</w:t>
            </w:r>
            <w:r w:rsidRPr="00E3234C">
              <w:rPr>
                <w:sz w:val="22"/>
                <w:szCs w:val="22"/>
                <w:shd w:val="clear" w:color="auto" w:fill="FFFFFF"/>
              </w:rPr>
              <w:t xml:space="preserve"> × (1 + </w:t>
            </w:r>
            <w:proofErr w:type="spellStart"/>
            <w:r w:rsidRPr="00E3234C">
              <w:rPr>
                <w:sz w:val="22"/>
                <w:szCs w:val="22"/>
                <w:shd w:val="clear" w:color="auto" w:fill="FFFFFF"/>
              </w:rPr>
              <w:t>К</w:t>
            </w:r>
            <w:r w:rsidRPr="00E3234C">
              <w:rPr>
                <w:sz w:val="22"/>
                <w:szCs w:val="22"/>
                <w:shd w:val="clear" w:color="auto" w:fill="FFFFFF"/>
                <w:vertAlign w:val="superscript"/>
              </w:rPr>
              <w:t>БР</w:t>
            </w:r>
            <w:r w:rsidRPr="00E3234C">
              <w:rPr>
                <w:sz w:val="22"/>
                <w:szCs w:val="22"/>
                <w:shd w:val="clear" w:color="auto" w:fill="FFFFFF"/>
              </w:rPr>
              <w:t>ц</w:t>
            </w:r>
            <w:proofErr w:type="spellEnd"/>
            <w:r w:rsidRPr="00E3234C">
              <w:rPr>
                <w:sz w:val="22"/>
                <w:szCs w:val="22"/>
                <w:shd w:val="clear" w:color="auto" w:fill="FFFFFF"/>
              </w:rPr>
              <w:t xml:space="preserve">) × </w:t>
            </w:r>
            <w:proofErr w:type="spellStart"/>
            <w:r w:rsidRPr="00E3234C">
              <w:rPr>
                <w:sz w:val="22"/>
                <w:szCs w:val="22"/>
                <w:shd w:val="clear" w:color="auto" w:fill="FFFFFF"/>
              </w:rPr>
              <w:t>К</w:t>
            </w:r>
            <w:r w:rsidRPr="00E3234C">
              <w:rPr>
                <w:sz w:val="22"/>
                <w:szCs w:val="22"/>
                <w:shd w:val="clear" w:color="auto" w:fill="FFFFFF"/>
                <w:vertAlign w:val="superscript"/>
              </w:rPr>
              <w:t>БР</w:t>
            </w:r>
            <w:r w:rsidRPr="00E3234C">
              <w:rPr>
                <w:sz w:val="22"/>
                <w:szCs w:val="22"/>
                <w:shd w:val="clear" w:color="auto" w:fill="FFFFFF"/>
              </w:rPr>
              <w:t>w</w:t>
            </w:r>
            <w:proofErr w:type="spellEnd"/>
            <w:r w:rsidRPr="00E3234C">
              <w:rPr>
                <w:sz w:val="22"/>
                <w:szCs w:val="22"/>
                <w:shd w:val="clear" w:color="auto" w:fill="FFFFFF"/>
              </w:rPr>
              <w:t xml:space="preserve"> + Ц </w:t>
            </w:r>
            <w:r w:rsidRPr="00E3234C">
              <w:rPr>
                <w:sz w:val="22"/>
                <w:szCs w:val="22"/>
                <w:shd w:val="clear" w:color="auto" w:fill="FFFFFF"/>
                <w:vertAlign w:val="subscript"/>
              </w:rPr>
              <w:t>РДД ф і</w:t>
            </w:r>
            <w:r w:rsidRPr="00E3234C">
              <w:rPr>
                <w:sz w:val="22"/>
                <w:szCs w:val="22"/>
                <w:shd w:val="clear" w:color="auto" w:fill="FFFFFF"/>
              </w:rPr>
              <w:t xml:space="preserve"> × </w:t>
            </w:r>
            <w:r w:rsidRPr="00E3234C">
              <w:rPr>
                <w:b/>
                <w:bCs/>
                <w:sz w:val="22"/>
                <w:szCs w:val="22"/>
                <w:shd w:val="clear" w:color="auto" w:fill="FFFFFF"/>
              </w:rPr>
              <w:t xml:space="preserve"> </w:t>
            </w:r>
            <w:r w:rsidRPr="00E3234C">
              <w:rPr>
                <w:b/>
                <w:bCs/>
                <w:strike/>
                <w:sz w:val="22"/>
                <w:szCs w:val="22"/>
                <w:shd w:val="clear" w:color="auto" w:fill="FFFFFF"/>
              </w:rPr>
              <w:t>К</w:t>
            </w:r>
            <w:r w:rsidRPr="00E3234C">
              <w:rPr>
                <w:sz w:val="22"/>
                <w:szCs w:val="22"/>
                <w:shd w:val="clear" w:color="auto" w:fill="FFFFFF"/>
              </w:rPr>
              <w:t xml:space="preserve"> × </w:t>
            </w:r>
            <w:proofErr w:type="spellStart"/>
            <w:r w:rsidRPr="00E3234C">
              <w:rPr>
                <w:sz w:val="22"/>
                <w:szCs w:val="22"/>
                <w:shd w:val="clear" w:color="auto" w:fill="FFFFFF"/>
              </w:rPr>
              <w:t>К</w:t>
            </w:r>
            <w:r w:rsidRPr="00E3234C">
              <w:rPr>
                <w:sz w:val="22"/>
                <w:szCs w:val="22"/>
                <w:shd w:val="clear" w:color="auto" w:fill="FFFFFF"/>
                <w:vertAlign w:val="superscript"/>
              </w:rPr>
              <w:t>ДД</w:t>
            </w:r>
            <w:r w:rsidRPr="00E3234C">
              <w:rPr>
                <w:sz w:val="22"/>
                <w:szCs w:val="22"/>
                <w:shd w:val="clear" w:color="auto" w:fill="FFFFFF"/>
              </w:rPr>
              <w:t>w</w:t>
            </w:r>
            <w:proofErr w:type="spellEnd"/>
            <w:r w:rsidRPr="00E3234C">
              <w:rPr>
                <w:sz w:val="22"/>
                <w:szCs w:val="22"/>
                <w:shd w:val="clear" w:color="auto" w:fill="FFFFFF"/>
              </w:rPr>
              <w:t>;</w:t>
            </w:r>
          </w:p>
          <w:p w:rsidR="007F4594" w:rsidRPr="00E3234C" w:rsidRDefault="007F4594" w:rsidP="007F4594">
            <w:pPr>
              <w:ind w:firstLine="308"/>
              <w:jc w:val="both"/>
              <w:rPr>
                <w:sz w:val="22"/>
                <w:szCs w:val="22"/>
                <w:shd w:val="clear" w:color="auto" w:fill="FFFFFF"/>
              </w:rPr>
            </w:pPr>
          </w:p>
          <w:p w:rsidR="007F4594" w:rsidRPr="00E3234C" w:rsidRDefault="007F4594" w:rsidP="007F4594">
            <w:pPr>
              <w:ind w:firstLine="308"/>
              <w:jc w:val="both"/>
              <w:rPr>
                <w:b/>
                <w:bCs/>
                <w:sz w:val="22"/>
                <w:szCs w:val="22"/>
                <w:shd w:val="clear" w:color="auto" w:fill="FFFFFF"/>
              </w:rPr>
            </w:pPr>
            <w:r w:rsidRPr="00E3234C">
              <w:rPr>
                <w:b/>
                <w:bCs/>
                <w:sz w:val="22"/>
                <w:szCs w:val="22"/>
                <w:shd w:val="clear" w:color="auto" w:fill="FFFFFF"/>
              </w:rPr>
              <w:t>Ц</w:t>
            </w:r>
            <w:r w:rsidRPr="00E3234C">
              <w:rPr>
                <w:b/>
                <w:bCs/>
                <w:sz w:val="22"/>
                <w:szCs w:val="22"/>
                <w:shd w:val="clear" w:color="auto" w:fill="FFFFFF"/>
                <w:vertAlign w:val="subscript"/>
              </w:rPr>
              <w:t>РДД ф і</w:t>
            </w:r>
            <w:r w:rsidRPr="00E3234C">
              <w:rPr>
                <w:sz w:val="22"/>
                <w:szCs w:val="22"/>
                <w:shd w:val="clear" w:color="auto" w:fill="FFFFFF"/>
              </w:rPr>
              <w:t xml:space="preserve"> - </w:t>
            </w:r>
            <w:r w:rsidRPr="00E3234C">
              <w:rPr>
                <w:b/>
                <w:bCs/>
                <w:sz w:val="22"/>
                <w:szCs w:val="22"/>
                <w:shd w:val="clear" w:color="auto" w:fill="FFFFFF"/>
              </w:rPr>
              <w:t>визначається на рівні фактичної середньозваженої ціни купівлі електричної енергії на ринку двосторонніх договорів в i-му місяці звітного року згідно з Актом купівлі-продажу електроенергії, грн/МВт·год.</w:t>
            </w:r>
          </w:p>
          <w:p w:rsidR="007F4594" w:rsidRPr="00E3234C" w:rsidRDefault="007F4594" w:rsidP="007F4594">
            <w:pPr>
              <w:ind w:firstLine="308"/>
              <w:jc w:val="both"/>
              <w:rPr>
                <w:sz w:val="22"/>
                <w:szCs w:val="22"/>
                <w:shd w:val="clear" w:color="auto" w:fill="FFFFFF"/>
              </w:rPr>
            </w:pPr>
          </w:p>
          <w:p w:rsidR="007F4594" w:rsidRPr="00E3234C" w:rsidRDefault="007F4594" w:rsidP="007F4594">
            <w:pPr>
              <w:ind w:firstLine="308"/>
              <w:jc w:val="both"/>
              <w:rPr>
                <w:i/>
                <w:iCs/>
                <w:sz w:val="22"/>
                <w:szCs w:val="22"/>
                <w:shd w:val="clear" w:color="auto" w:fill="FFFFFF"/>
              </w:rPr>
            </w:pPr>
            <w:r w:rsidRPr="00E3234C">
              <w:rPr>
                <w:i/>
                <w:iCs/>
                <w:sz w:val="22"/>
                <w:szCs w:val="22"/>
                <w:shd w:val="clear" w:color="auto" w:fill="FFFFFF"/>
              </w:rPr>
              <w:t>Пропозиція 2</w:t>
            </w:r>
          </w:p>
          <w:p w:rsidR="007F4594" w:rsidRPr="00E3234C" w:rsidRDefault="007F4594" w:rsidP="007F4594">
            <w:pPr>
              <w:ind w:firstLine="308"/>
              <w:jc w:val="both"/>
              <w:rPr>
                <w:b/>
                <w:bCs/>
                <w:sz w:val="22"/>
                <w:szCs w:val="22"/>
                <w:shd w:val="clear" w:color="auto" w:fill="FFFFFF"/>
              </w:rPr>
            </w:pPr>
            <w:r w:rsidRPr="00E3234C">
              <w:rPr>
                <w:b/>
                <w:bCs/>
                <w:sz w:val="22"/>
                <w:szCs w:val="22"/>
                <w:shd w:val="clear" w:color="auto" w:fill="FFFFFF"/>
              </w:rPr>
              <w:t>де К</w:t>
            </w:r>
            <w:r w:rsidRPr="00E3234C">
              <w:rPr>
                <w:b/>
                <w:bCs/>
                <w:sz w:val="22"/>
                <w:szCs w:val="22"/>
                <w:shd w:val="clear" w:color="auto" w:fill="FFFFFF"/>
                <w:vertAlign w:val="superscript"/>
              </w:rPr>
              <w:t>БР</w:t>
            </w:r>
            <w:r w:rsidRPr="00E3234C">
              <w:rPr>
                <w:b/>
                <w:bCs/>
                <w:sz w:val="22"/>
                <w:szCs w:val="22"/>
                <w:shd w:val="clear" w:color="auto" w:fill="FFFFFF"/>
                <w:vertAlign w:val="subscript"/>
              </w:rPr>
              <w:t xml:space="preserve">W </w:t>
            </w:r>
            <w:r w:rsidRPr="00E3234C">
              <w:rPr>
                <w:b/>
                <w:bCs/>
                <w:sz w:val="22"/>
                <w:szCs w:val="22"/>
                <w:shd w:val="clear" w:color="auto" w:fill="FFFFFF"/>
              </w:rPr>
              <w:t>та К</w:t>
            </w:r>
            <w:r w:rsidRPr="00E3234C">
              <w:rPr>
                <w:b/>
                <w:bCs/>
                <w:sz w:val="22"/>
                <w:szCs w:val="22"/>
                <w:shd w:val="clear" w:color="auto" w:fill="FFFFFF"/>
                <w:vertAlign w:val="superscript"/>
              </w:rPr>
              <w:t>БР</w:t>
            </w:r>
            <w:r w:rsidRPr="00E3234C">
              <w:rPr>
                <w:b/>
                <w:bCs/>
                <w:sz w:val="22"/>
                <w:szCs w:val="22"/>
                <w:shd w:val="clear" w:color="auto" w:fill="FFFFFF"/>
                <w:vertAlign w:val="subscript"/>
              </w:rPr>
              <w:t>Ц</w:t>
            </w:r>
            <w:r w:rsidRPr="00E3234C">
              <w:rPr>
                <w:b/>
                <w:bCs/>
                <w:sz w:val="22"/>
                <w:szCs w:val="22"/>
                <w:shd w:val="clear" w:color="auto" w:fill="FFFFFF"/>
              </w:rPr>
              <w:t xml:space="preserve"> визначаються на рівнях, застосованих під час розрахунку встановлених тарифів на послуги з розподілу електричної енергії в і-му місяці звітного року, або, у разі істотних змін на ринку електричної енергії протягом звітного року, на рівнях, визначених Регулятором;</w:t>
            </w:r>
          </w:p>
          <w:p w:rsidR="007F4594" w:rsidRPr="00E3234C" w:rsidRDefault="007F4594" w:rsidP="007F4594">
            <w:pPr>
              <w:ind w:firstLine="308"/>
              <w:jc w:val="both"/>
              <w:rPr>
                <w:b/>
                <w:bCs/>
                <w:sz w:val="22"/>
                <w:szCs w:val="22"/>
                <w:shd w:val="clear" w:color="auto" w:fill="FFFFFF"/>
              </w:rPr>
            </w:pPr>
          </w:p>
          <w:p w:rsidR="007F4594" w:rsidRPr="00E3234C" w:rsidRDefault="007F4594" w:rsidP="007F4594">
            <w:pPr>
              <w:spacing w:after="75"/>
              <w:ind w:firstLine="240"/>
              <w:jc w:val="both"/>
              <w:rPr>
                <w:b/>
                <w:bCs/>
                <w:sz w:val="22"/>
                <w:szCs w:val="22"/>
              </w:rPr>
            </w:pPr>
            <w:r w:rsidRPr="00E3234C">
              <w:rPr>
                <w:b/>
                <w:bCs/>
                <w:sz w:val="22"/>
                <w:szCs w:val="22"/>
              </w:rPr>
              <w:t>К</w:t>
            </w:r>
            <w:r w:rsidRPr="00E3234C">
              <w:rPr>
                <w:b/>
                <w:bCs/>
                <w:sz w:val="22"/>
                <w:szCs w:val="22"/>
                <w:vertAlign w:val="superscript"/>
              </w:rPr>
              <w:t>ДД</w:t>
            </w:r>
            <w:r w:rsidRPr="00E3234C">
              <w:rPr>
                <w:b/>
                <w:bCs/>
                <w:sz w:val="22"/>
                <w:szCs w:val="22"/>
                <w:vertAlign w:val="subscript"/>
              </w:rPr>
              <w:t xml:space="preserve">W </w:t>
            </w:r>
            <w:r w:rsidRPr="00E3234C">
              <w:rPr>
                <w:b/>
                <w:bCs/>
                <w:sz w:val="22"/>
                <w:szCs w:val="22"/>
              </w:rPr>
              <w:t xml:space="preserve">– визначається на підставі усереднення мінімальних добових значень фактичних обсягів ТВЕ ОСР, до загальних обсягів ТВЕ за розрахунковий місяць. </w:t>
            </w:r>
          </w:p>
          <w:p w:rsidR="007F4594" w:rsidRPr="00E3234C" w:rsidRDefault="007F4594" w:rsidP="007F4594">
            <w:pPr>
              <w:spacing w:after="75"/>
              <w:ind w:firstLine="240"/>
              <w:jc w:val="both"/>
              <w:rPr>
                <w:b/>
                <w:bCs/>
                <w:sz w:val="22"/>
                <w:szCs w:val="22"/>
              </w:rPr>
            </w:pPr>
          </w:p>
          <w:p w:rsidR="007F4594" w:rsidRPr="00E3234C" w:rsidRDefault="007F4594" w:rsidP="007F4594">
            <w:pPr>
              <w:spacing w:after="75"/>
              <w:ind w:firstLine="240"/>
              <w:jc w:val="both"/>
              <w:rPr>
                <w:b/>
                <w:bCs/>
                <w:sz w:val="22"/>
                <w:szCs w:val="22"/>
              </w:rPr>
            </w:pPr>
            <w:r w:rsidRPr="00E3234C">
              <w:rPr>
                <w:sz w:val="22"/>
                <w:szCs w:val="22"/>
              </w:rPr>
              <w:t>Ц</w:t>
            </w:r>
            <w:r w:rsidRPr="00E3234C">
              <w:rPr>
                <w:sz w:val="22"/>
                <w:szCs w:val="22"/>
                <w:vertAlign w:val="subscript"/>
              </w:rPr>
              <w:t>РДД ф і</w:t>
            </w:r>
            <w:r w:rsidRPr="00E3234C">
              <w:rPr>
                <w:sz w:val="22"/>
                <w:szCs w:val="22"/>
              </w:rPr>
              <w:t xml:space="preserve"> - місячний індекс базового навантаження на ринку двосторонніх договорів в і-му місяці звітного року.</w:t>
            </w:r>
            <w:r w:rsidRPr="00E3234C">
              <w:rPr>
                <w:b/>
                <w:bCs/>
                <w:sz w:val="22"/>
                <w:szCs w:val="22"/>
              </w:rPr>
              <w:t xml:space="preserve"> У місяці, коли обсяг продажу базового навантаження, реалізованого на повний календарний місяць, становить менше ніж 50% від загального обсягу продажу базового навантаження на платформі ТОВ «Українська енергетична біржа», визначається на основі  середньозваженого місячного індексу, визначеного на підставі декадних базових навантажень на ринку двосторонніх договорів в і-му місяці звітного року, які оприлюднюються ТОВ «Українська енергетична біржа» на його офіційному веб сайті в мережі Інтернет, та декадних фактичних обсягів технологічних витрат електричної енергії на її розподіл в і-му місяці звітного року купівлі на РДД, грн/МВт·год;</w:t>
            </w:r>
          </w:p>
          <w:p w:rsidR="007F4594" w:rsidRPr="00E3234C" w:rsidRDefault="007F4594" w:rsidP="007F4594">
            <w:pPr>
              <w:spacing w:after="75"/>
              <w:ind w:firstLine="240"/>
              <w:jc w:val="both"/>
              <w:rPr>
                <w:b/>
                <w:bCs/>
                <w:sz w:val="22"/>
                <w:szCs w:val="22"/>
              </w:rPr>
            </w:pPr>
          </w:p>
          <w:p w:rsidR="007F4594" w:rsidRPr="00E3234C" w:rsidRDefault="007F4594" w:rsidP="007F4594">
            <w:pPr>
              <w:ind w:firstLine="308"/>
              <w:jc w:val="both"/>
              <w:rPr>
                <w:i/>
                <w:iCs/>
                <w:sz w:val="22"/>
                <w:szCs w:val="22"/>
                <w:shd w:val="clear" w:color="auto" w:fill="FFFFFF"/>
              </w:rPr>
            </w:pPr>
            <w:r w:rsidRPr="00E3234C">
              <w:rPr>
                <w:i/>
                <w:iCs/>
                <w:sz w:val="22"/>
                <w:szCs w:val="22"/>
                <w:shd w:val="clear" w:color="auto" w:fill="FFFFFF"/>
              </w:rPr>
              <w:t>Пропозиція 3</w:t>
            </w:r>
          </w:p>
          <w:p w:rsidR="007F4594" w:rsidRPr="00E3234C" w:rsidRDefault="007F4594" w:rsidP="007F4594">
            <w:pPr>
              <w:jc w:val="both"/>
              <w:rPr>
                <w:b/>
                <w:bCs/>
                <w:sz w:val="22"/>
                <w:szCs w:val="22"/>
              </w:rPr>
            </w:pPr>
            <w:r w:rsidRPr="00E3234C">
              <w:rPr>
                <w:sz w:val="22"/>
                <w:szCs w:val="22"/>
              </w:rPr>
              <w:t xml:space="preserve">Ц </w:t>
            </w:r>
            <w:r w:rsidRPr="00E3234C">
              <w:rPr>
                <w:sz w:val="22"/>
                <w:szCs w:val="22"/>
                <w:vertAlign w:val="subscript"/>
              </w:rPr>
              <w:t>РДД ф і</w:t>
            </w:r>
            <w:r w:rsidRPr="00E3234C">
              <w:rPr>
                <w:sz w:val="22"/>
                <w:szCs w:val="22"/>
              </w:rPr>
              <w:t xml:space="preserve"> - місячний індекс базового навантаження на ринку двосторонніх договорів в і-му місяці звітного року, </w:t>
            </w:r>
            <w:r w:rsidRPr="00E3234C">
              <w:rPr>
                <w:b/>
                <w:sz w:val="22"/>
                <w:szCs w:val="22"/>
              </w:rPr>
              <w:t xml:space="preserve">або середньозважений місячний індекс, визначений на підставі декадних індексів РДД базових навантажень в і-му місяці звітного року, які оприлюднюються ТОВ «Українська енергетична біржа» на його офіційному вебсайті в мережі Інтернет, або надаються ТОВ «Українська енергетична біржа» за запитом </w:t>
            </w:r>
            <w:r w:rsidRPr="00E3234C">
              <w:rPr>
                <w:b/>
                <w:bCs/>
                <w:sz w:val="22"/>
                <w:szCs w:val="22"/>
                <w:shd w:val="clear" w:color="auto" w:fill="FFFFFF"/>
              </w:rPr>
              <w:t>НКРЕКП</w:t>
            </w:r>
            <w:r w:rsidRPr="00732E05">
              <w:rPr>
                <w:b/>
                <w:bCs/>
                <w:sz w:val="22"/>
                <w:szCs w:val="22"/>
                <w:shd w:val="clear" w:color="auto" w:fill="FFFFFF"/>
              </w:rPr>
              <w:t>/ОСР</w:t>
            </w:r>
            <w:r w:rsidRPr="00E3234C">
              <w:rPr>
                <w:b/>
                <w:sz w:val="22"/>
                <w:szCs w:val="22"/>
              </w:rPr>
              <w:t>, та декадних фактичних обсягів технологічних витрат електричної енергії ОСР в і-му місяці звітного року</w:t>
            </w:r>
            <w:r w:rsidRPr="00E3234C">
              <w:rPr>
                <w:sz w:val="22"/>
                <w:szCs w:val="22"/>
              </w:rPr>
              <w:t xml:space="preserve">, грн/МВт·год. </w:t>
            </w:r>
            <w:r w:rsidRPr="00E3234C">
              <w:rPr>
                <w:b/>
                <w:bCs/>
                <w:sz w:val="22"/>
                <w:szCs w:val="22"/>
              </w:rPr>
              <w:t>Середньозважений місячний індекс застосовується за умови введення ГПВ та</w:t>
            </w:r>
            <w:r w:rsidRPr="00732E05">
              <w:rPr>
                <w:b/>
                <w:bCs/>
                <w:sz w:val="22"/>
                <w:szCs w:val="22"/>
              </w:rPr>
              <w:t>/</w:t>
            </w:r>
            <w:r w:rsidRPr="00E3234C">
              <w:rPr>
                <w:b/>
                <w:bCs/>
                <w:sz w:val="22"/>
                <w:szCs w:val="22"/>
              </w:rPr>
              <w:t xml:space="preserve">або ГАВ в і-му місяці, або коли обсяг продажу базового навантаження, реалізованого на повний календарний місяць, становить менше </w:t>
            </w:r>
            <w:r w:rsidRPr="00E3234C">
              <w:rPr>
                <w:b/>
                <w:bCs/>
                <w:sz w:val="22"/>
                <w:szCs w:val="22"/>
              </w:rPr>
              <w:lastRenderedPageBreak/>
              <w:t>ніж 50% від загального обсягу продажу базового навантаження на платформі ТОВ «Українська енергетична біржа»;</w:t>
            </w:r>
          </w:p>
          <w:p w:rsidR="007F4594" w:rsidRPr="00E3234C" w:rsidRDefault="007F4594" w:rsidP="007F4594">
            <w:pPr>
              <w:jc w:val="both"/>
              <w:rPr>
                <w:b/>
                <w:bCs/>
                <w:sz w:val="22"/>
                <w:szCs w:val="22"/>
                <w:shd w:val="clear" w:color="auto" w:fill="FFFFFF"/>
              </w:rPr>
            </w:pPr>
            <w:r w:rsidRPr="00E3234C">
              <w:rPr>
                <w:b/>
                <w:bCs/>
                <w:sz w:val="22"/>
                <w:szCs w:val="22"/>
                <w:shd w:val="clear" w:color="auto" w:fill="FFFFFF"/>
              </w:rPr>
              <w:t>За запитом НКРЕКП</w:t>
            </w:r>
            <w:r w:rsidRPr="00732E05">
              <w:rPr>
                <w:b/>
                <w:bCs/>
                <w:sz w:val="22"/>
                <w:szCs w:val="22"/>
                <w:shd w:val="clear" w:color="auto" w:fill="FFFFFF"/>
              </w:rPr>
              <w:t>/ОСР</w:t>
            </w:r>
            <w:r w:rsidRPr="00E3234C">
              <w:rPr>
                <w:b/>
                <w:bCs/>
                <w:sz w:val="22"/>
                <w:szCs w:val="22"/>
                <w:shd w:val="clear" w:color="auto" w:fill="FFFFFF"/>
              </w:rPr>
              <w:t xml:space="preserve">, ТОВ «Українська енергетична біржа» надає дані щодо  декадних індексів РДД базових навантажень у і-му місяці 2025 року. </w:t>
            </w:r>
          </w:p>
          <w:p w:rsidR="007F4594" w:rsidRPr="00E3234C" w:rsidRDefault="007F4594" w:rsidP="007F4594">
            <w:pPr>
              <w:ind w:firstLine="308"/>
              <w:jc w:val="both"/>
              <w:rPr>
                <w:i/>
                <w:sz w:val="22"/>
                <w:szCs w:val="22"/>
                <w:shd w:val="clear" w:color="auto" w:fill="FFFFFF"/>
              </w:rPr>
            </w:pPr>
          </w:p>
          <w:p w:rsidR="007F4594" w:rsidRPr="00E3234C" w:rsidRDefault="007F4594" w:rsidP="007F4594">
            <w:pPr>
              <w:ind w:firstLine="308"/>
              <w:jc w:val="both"/>
              <w:rPr>
                <w:i/>
                <w:sz w:val="22"/>
                <w:szCs w:val="22"/>
                <w:shd w:val="clear" w:color="auto" w:fill="FFFFFF"/>
              </w:rPr>
            </w:pPr>
            <w:r>
              <w:rPr>
                <w:i/>
                <w:sz w:val="22"/>
                <w:szCs w:val="22"/>
                <w:shd w:val="clear" w:color="auto" w:fill="FFFFFF"/>
              </w:rPr>
              <w:t>ОБҐРУНТУВАННЯ</w:t>
            </w:r>
            <w:r w:rsidRPr="00E3234C">
              <w:rPr>
                <w:i/>
                <w:sz w:val="22"/>
                <w:szCs w:val="22"/>
                <w:shd w:val="clear" w:color="auto" w:fill="FFFFFF"/>
              </w:rPr>
              <w:t>:</w:t>
            </w:r>
          </w:p>
          <w:p w:rsidR="007F4594" w:rsidRPr="00595F91" w:rsidRDefault="007F4594" w:rsidP="007F4594">
            <w:pPr>
              <w:ind w:firstLine="308"/>
              <w:jc w:val="both"/>
              <w:rPr>
                <w:i/>
                <w:sz w:val="22"/>
                <w:szCs w:val="22"/>
                <w:shd w:val="clear" w:color="auto" w:fill="FFFFFF"/>
              </w:rPr>
            </w:pPr>
            <w:r w:rsidRPr="00595F91">
              <w:rPr>
                <w:i/>
                <w:sz w:val="22"/>
                <w:szCs w:val="22"/>
                <w:shd w:val="clear" w:color="auto" w:fill="FFFFFF"/>
              </w:rPr>
              <w:t xml:space="preserve">Спілка одностайна в думці щодо того, що існуюче визначення </w:t>
            </w:r>
            <w:r w:rsidRPr="00595F91">
              <w:rPr>
                <w:bCs/>
                <w:i/>
                <w:sz w:val="22"/>
                <w:szCs w:val="22"/>
              </w:rPr>
              <w:t xml:space="preserve">Ц </w:t>
            </w:r>
            <w:r w:rsidRPr="00595F91">
              <w:rPr>
                <w:bCs/>
                <w:i/>
                <w:sz w:val="22"/>
                <w:szCs w:val="22"/>
                <w:vertAlign w:val="subscript"/>
              </w:rPr>
              <w:t xml:space="preserve">ТВЕ і </w:t>
            </w:r>
            <w:r w:rsidRPr="00595F91">
              <w:rPr>
                <w:i/>
                <w:sz w:val="22"/>
                <w:szCs w:val="22"/>
                <w:shd w:val="clear" w:color="auto" w:fill="FFFFFF"/>
              </w:rPr>
              <w:t>є необ’єктивним.</w:t>
            </w:r>
            <w:r w:rsidRPr="00595F91">
              <w:rPr>
                <w:bCs/>
                <w:i/>
                <w:sz w:val="22"/>
                <w:szCs w:val="22"/>
                <w:vertAlign w:val="subscript"/>
              </w:rPr>
              <w:t xml:space="preserve"> </w:t>
            </w:r>
          </w:p>
          <w:p w:rsidR="007F4594" w:rsidRPr="00595F91" w:rsidRDefault="007F4594" w:rsidP="007F4594">
            <w:pPr>
              <w:ind w:firstLine="308"/>
              <w:jc w:val="both"/>
              <w:rPr>
                <w:i/>
                <w:sz w:val="22"/>
                <w:szCs w:val="22"/>
                <w:shd w:val="clear" w:color="auto" w:fill="FFFFFF"/>
              </w:rPr>
            </w:pPr>
            <w:r w:rsidRPr="00595F91">
              <w:rPr>
                <w:i/>
                <w:sz w:val="22"/>
                <w:szCs w:val="22"/>
                <w:shd w:val="clear" w:color="auto" w:fill="FFFFFF"/>
              </w:rPr>
              <w:t xml:space="preserve">Разом з тим різні ОСР по-своєму бачать корінь проблеми і шляхи його вирішення.  </w:t>
            </w:r>
          </w:p>
          <w:p w:rsidR="007F4594" w:rsidRPr="00595F91" w:rsidRDefault="007F4594" w:rsidP="007F4594">
            <w:pPr>
              <w:ind w:firstLine="308"/>
              <w:jc w:val="both"/>
              <w:rPr>
                <w:i/>
                <w:sz w:val="22"/>
                <w:szCs w:val="22"/>
                <w:shd w:val="clear" w:color="auto" w:fill="FFFFFF"/>
              </w:rPr>
            </w:pPr>
            <w:r w:rsidRPr="00595F91">
              <w:rPr>
                <w:i/>
                <w:sz w:val="22"/>
                <w:szCs w:val="22"/>
                <w:shd w:val="clear" w:color="auto" w:fill="FFFFFF"/>
              </w:rPr>
              <w:t xml:space="preserve">Ми пропонуємо до Розгляду Регулятором одразу декілька пропозицій, що стосуються як </w:t>
            </w:r>
            <w:proofErr w:type="spellStart"/>
            <w:r w:rsidRPr="00595F91">
              <w:rPr>
                <w:i/>
                <w:sz w:val="22"/>
                <w:szCs w:val="22"/>
                <w:shd w:val="clear" w:color="auto" w:fill="FFFFFF"/>
              </w:rPr>
              <w:t>коефіціентів</w:t>
            </w:r>
            <w:proofErr w:type="spellEnd"/>
            <w:r w:rsidRPr="00595F91">
              <w:rPr>
                <w:i/>
                <w:sz w:val="22"/>
                <w:szCs w:val="22"/>
                <w:shd w:val="clear" w:color="auto" w:fill="FFFFFF"/>
              </w:rPr>
              <w:t xml:space="preserve"> ціни на ринку двосторонніх договорів, так і підходу до формування місячного індексу базового </w:t>
            </w:r>
            <w:proofErr w:type="spellStart"/>
            <w:r w:rsidRPr="00595F91">
              <w:rPr>
                <w:i/>
                <w:sz w:val="22"/>
                <w:szCs w:val="22"/>
                <w:shd w:val="clear" w:color="auto" w:fill="FFFFFF"/>
              </w:rPr>
              <w:t>навантаженя</w:t>
            </w:r>
            <w:proofErr w:type="spellEnd"/>
            <w:r w:rsidRPr="00595F91">
              <w:rPr>
                <w:i/>
                <w:sz w:val="22"/>
                <w:szCs w:val="22"/>
                <w:shd w:val="clear" w:color="auto" w:fill="FFFFFF"/>
              </w:rPr>
              <w:t xml:space="preserve">. </w:t>
            </w:r>
          </w:p>
          <w:p w:rsidR="007F4594" w:rsidRPr="00595F91" w:rsidRDefault="007F4594" w:rsidP="007F4594">
            <w:pPr>
              <w:ind w:firstLine="308"/>
              <w:jc w:val="both"/>
              <w:rPr>
                <w:i/>
                <w:sz w:val="22"/>
                <w:szCs w:val="22"/>
                <w:shd w:val="clear" w:color="auto" w:fill="FFFFFF"/>
              </w:rPr>
            </w:pPr>
          </w:p>
          <w:p w:rsidR="007F4594" w:rsidRPr="00595F91" w:rsidRDefault="007F4594" w:rsidP="007F4594">
            <w:pPr>
              <w:ind w:firstLine="308"/>
              <w:jc w:val="both"/>
              <w:rPr>
                <w:i/>
                <w:sz w:val="22"/>
                <w:szCs w:val="22"/>
                <w:shd w:val="clear" w:color="auto" w:fill="FFFFFF"/>
              </w:rPr>
            </w:pPr>
            <w:r w:rsidRPr="00595F91">
              <w:rPr>
                <w:i/>
                <w:sz w:val="22"/>
                <w:szCs w:val="22"/>
                <w:shd w:val="clear" w:color="auto" w:fill="FFFFFF"/>
              </w:rPr>
              <w:t xml:space="preserve">Пропозиція 3 - це комбінована версія де індекс визначається на підставі: </w:t>
            </w:r>
          </w:p>
          <w:p w:rsidR="007F4594" w:rsidRPr="00595F91" w:rsidRDefault="007F4594" w:rsidP="007F4594">
            <w:pPr>
              <w:ind w:firstLine="308"/>
              <w:jc w:val="both"/>
              <w:rPr>
                <w:i/>
                <w:sz w:val="22"/>
                <w:szCs w:val="22"/>
                <w:shd w:val="clear" w:color="auto" w:fill="FFFFFF"/>
              </w:rPr>
            </w:pPr>
            <w:r w:rsidRPr="00595F91">
              <w:rPr>
                <w:i/>
                <w:sz w:val="22"/>
                <w:szCs w:val="22"/>
                <w:shd w:val="clear" w:color="auto" w:fill="FFFFFF"/>
              </w:rPr>
              <w:t>1) подекадних даних біржі;</w:t>
            </w:r>
          </w:p>
          <w:p w:rsidR="007F4594" w:rsidRPr="00595F91" w:rsidRDefault="007F4594" w:rsidP="007F4594">
            <w:pPr>
              <w:ind w:firstLine="308"/>
              <w:jc w:val="both"/>
              <w:rPr>
                <w:i/>
                <w:sz w:val="22"/>
                <w:szCs w:val="22"/>
                <w:shd w:val="clear" w:color="auto" w:fill="FFFFFF"/>
              </w:rPr>
            </w:pPr>
            <w:r w:rsidRPr="00595F91">
              <w:rPr>
                <w:i/>
                <w:sz w:val="22"/>
                <w:szCs w:val="22"/>
                <w:shd w:val="clear" w:color="auto" w:fill="FFFFFF"/>
              </w:rPr>
              <w:t>2) декадних факт. обсягів ТВЕ.</w:t>
            </w:r>
          </w:p>
          <w:p w:rsidR="007F4594" w:rsidRPr="00595F91" w:rsidRDefault="007F4594" w:rsidP="007F4594">
            <w:pPr>
              <w:ind w:firstLine="308"/>
              <w:jc w:val="both"/>
              <w:rPr>
                <w:i/>
                <w:sz w:val="22"/>
                <w:szCs w:val="22"/>
                <w:shd w:val="clear" w:color="auto" w:fill="FFFFFF"/>
              </w:rPr>
            </w:pPr>
          </w:p>
          <w:p w:rsidR="007F4594" w:rsidRPr="00595F91" w:rsidRDefault="007F4594" w:rsidP="007F4594">
            <w:pPr>
              <w:ind w:firstLine="308"/>
              <w:jc w:val="both"/>
              <w:rPr>
                <w:i/>
                <w:sz w:val="22"/>
                <w:szCs w:val="22"/>
                <w:shd w:val="clear" w:color="auto" w:fill="FFFFFF"/>
              </w:rPr>
            </w:pPr>
            <w:r w:rsidRPr="00595F91">
              <w:rPr>
                <w:i/>
                <w:sz w:val="22"/>
                <w:szCs w:val="22"/>
                <w:shd w:val="clear" w:color="auto" w:fill="FFFFFF"/>
              </w:rPr>
              <w:t xml:space="preserve">Індекс застосовується при введенні ГПВ і ГАВ, та/або коли обсяги продажу базового навантаження склав менше 50%. </w:t>
            </w:r>
          </w:p>
          <w:p w:rsidR="007F4594" w:rsidRPr="00595F91" w:rsidRDefault="007F4594" w:rsidP="007F4594">
            <w:pPr>
              <w:ind w:firstLine="308"/>
              <w:jc w:val="both"/>
              <w:rPr>
                <w:i/>
                <w:sz w:val="22"/>
                <w:szCs w:val="22"/>
                <w:shd w:val="clear" w:color="auto" w:fill="FFFFFF"/>
              </w:rPr>
            </w:pPr>
          </w:p>
          <w:p w:rsidR="007F4594" w:rsidRPr="00595F91" w:rsidRDefault="007F4594" w:rsidP="007F4594">
            <w:pPr>
              <w:ind w:firstLine="308"/>
              <w:jc w:val="both"/>
              <w:rPr>
                <w:i/>
                <w:sz w:val="22"/>
                <w:szCs w:val="22"/>
                <w:shd w:val="clear" w:color="auto" w:fill="FFFFFF"/>
              </w:rPr>
            </w:pPr>
            <w:r w:rsidRPr="00595F91">
              <w:rPr>
                <w:i/>
                <w:sz w:val="22"/>
                <w:szCs w:val="22"/>
                <w:shd w:val="clear" w:color="auto" w:fill="FFFFFF"/>
              </w:rPr>
              <w:t>У зв’язку з тим, що вимога щодо публікації декадних індексів почала діяти з другої половини жовтня, пропонується внести уточнення.</w:t>
            </w:r>
          </w:p>
          <w:p w:rsidR="007F4594" w:rsidRPr="00595F91" w:rsidRDefault="007F4594" w:rsidP="007F4594">
            <w:pPr>
              <w:ind w:firstLine="308"/>
              <w:jc w:val="both"/>
              <w:rPr>
                <w:i/>
                <w:sz w:val="22"/>
                <w:szCs w:val="22"/>
                <w:shd w:val="clear" w:color="auto" w:fill="FFFFFF"/>
              </w:rPr>
            </w:pPr>
            <w:r w:rsidRPr="00595F91">
              <w:rPr>
                <w:i/>
                <w:sz w:val="22"/>
                <w:szCs w:val="22"/>
                <w:shd w:val="clear" w:color="auto" w:fill="FFFFFF"/>
              </w:rPr>
              <w:t>На запит НКРЕКП або оператора системи розподілу ТОВ «Українська енергетична біржа» надає дані щодо декадних індексів РДД базових навантажень у і-му місяці 2025 року, які не були опубліковані на офіційному вебсайті ТОВ «Українська енергетична біржа».</w:t>
            </w:r>
          </w:p>
          <w:p w:rsidR="007F4594" w:rsidRDefault="007F4594" w:rsidP="007F4594">
            <w:pPr>
              <w:ind w:firstLine="361"/>
              <w:jc w:val="both"/>
              <w:rPr>
                <w:i/>
                <w:sz w:val="22"/>
                <w:szCs w:val="22"/>
                <w:shd w:val="clear" w:color="auto" w:fill="FFFFFF"/>
              </w:rPr>
            </w:pPr>
          </w:p>
          <w:p w:rsidR="007F4594" w:rsidRPr="009D3827" w:rsidRDefault="007F4594" w:rsidP="007F4594">
            <w:pPr>
              <w:ind w:firstLine="308"/>
              <w:jc w:val="both"/>
              <w:rPr>
                <w:sz w:val="22"/>
                <w:szCs w:val="22"/>
              </w:rPr>
            </w:pPr>
            <w:r w:rsidRPr="00BF0320">
              <w:rPr>
                <w:i/>
                <w:sz w:val="22"/>
                <w:szCs w:val="22"/>
                <w:shd w:val="clear" w:color="auto" w:fill="FFFFFF"/>
              </w:rPr>
              <w:t>АТ «ЧЕРНІВЦІОБЛЕНЕРГО»</w:t>
            </w:r>
          </w:p>
          <w:p w:rsidR="007F4594" w:rsidRPr="009D3827" w:rsidRDefault="007F4594" w:rsidP="007F4594">
            <w:pPr>
              <w:ind w:firstLine="308"/>
              <w:jc w:val="both"/>
              <w:rPr>
                <w:sz w:val="22"/>
                <w:szCs w:val="22"/>
                <w:shd w:val="clear" w:color="auto" w:fill="FFFFFF"/>
              </w:rPr>
            </w:pPr>
            <w:r w:rsidRPr="009D3827">
              <w:rPr>
                <w:sz w:val="22"/>
                <w:szCs w:val="22"/>
                <w:shd w:val="clear" w:color="auto" w:fill="FFFFFF"/>
              </w:rPr>
              <w:lastRenderedPageBreak/>
              <w:t>&lt;…&gt;</w:t>
            </w:r>
          </w:p>
          <w:p w:rsidR="007F4594" w:rsidRPr="00EB2552" w:rsidRDefault="007F4594" w:rsidP="007F4594">
            <w:pPr>
              <w:ind w:firstLine="308"/>
              <w:jc w:val="both"/>
            </w:pPr>
            <w:r w:rsidRPr="00EB2552">
              <w:rPr>
                <w:sz w:val="24"/>
              </w:rPr>
              <w:t xml:space="preserve">Ц </w:t>
            </w:r>
            <w:r w:rsidRPr="00EB2552">
              <w:rPr>
                <w:vertAlign w:val="subscript"/>
              </w:rPr>
              <w:t>ТВЕ і</w:t>
            </w:r>
            <w:r w:rsidRPr="00EB2552">
              <w:rPr>
                <w:sz w:val="24"/>
              </w:rPr>
              <w:t xml:space="preserve"> = Ц </w:t>
            </w:r>
            <w:r w:rsidRPr="00EB2552">
              <w:rPr>
                <w:vertAlign w:val="subscript"/>
              </w:rPr>
              <w:t>РДН ф і</w:t>
            </w:r>
            <w:r w:rsidRPr="00EB2552">
              <w:rPr>
                <w:sz w:val="24"/>
              </w:rPr>
              <w:t xml:space="preserve"> × (1 - </w:t>
            </w:r>
            <w:proofErr w:type="spellStart"/>
            <w:r w:rsidRPr="00EB2552">
              <w:rPr>
                <w:sz w:val="24"/>
              </w:rPr>
              <w:t>К</w:t>
            </w:r>
            <w:r w:rsidRPr="00EB2552">
              <w:rPr>
                <w:vertAlign w:val="superscript"/>
              </w:rPr>
              <w:t>БР</w:t>
            </w:r>
            <w:r w:rsidRPr="00EB2552">
              <w:rPr>
                <w:sz w:val="24"/>
              </w:rPr>
              <w:t>w</w:t>
            </w:r>
            <w:proofErr w:type="spellEnd"/>
            <w:r w:rsidRPr="00EB2552">
              <w:rPr>
                <w:sz w:val="24"/>
              </w:rPr>
              <w:t xml:space="preserve"> - </w:t>
            </w:r>
            <w:proofErr w:type="spellStart"/>
            <w:r w:rsidRPr="00EB2552">
              <w:rPr>
                <w:sz w:val="24"/>
              </w:rPr>
              <w:t>К</w:t>
            </w:r>
            <w:r w:rsidRPr="00EB2552">
              <w:rPr>
                <w:vertAlign w:val="superscript"/>
              </w:rPr>
              <w:t>ДД</w:t>
            </w:r>
            <w:r w:rsidRPr="00EB2552">
              <w:rPr>
                <w:sz w:val="24"/>
              </w:rPr>
              <w:t>w</w:t>
            </w:r>
            <w:proofErr w:type="spellEnd"/>
            <w:r w:rsidRPr="00EB2552">
              <w:rPr>
                <w:sz w:val="24"/>
              </w:rPr>
              <w:t xml:space="preserve">) + Ц </w:t>
            </w:r>
            <w:r w:rsidRPr="00EB2552">
              <w:rPr>
                <w:vertAlign w:val="subscript"/>
              </w:rPr>
              <w:t>РДН ф і</w:t>
            </w:r>
            <w:r w:rsidRPr="00EB2552">
              <w:rPr>
                <w:sz w:val="24"/>
              </w:rPr>
              <w:t xml:space="preserve"> × (1 + </w:t>
            </w:r>
            <w:proofErr w:type="spellStart"/>
            <w:r w:rsidRPr="00EB2552">
              <w:rPr>
                <w:sz w:val="24"/>
              </w:rPr>
              <w:t>К</w:t>
            </w:r>
            <w:r w:rsidRPr="00EB2552">
              <w:rPr>
                <w:vertAlign w:val="superscript"/>
              </w:rPr>
              <w:t>БР</w:t>
            </w:r>
            <w:r w:rsidRPr="00EB2552">
              <w:rPr>
                <w:sz w:val="24"/>
              </w:rPr>
              <w:t>ц</w:t>
            </w:r>
            <w:proofErr w:type="spellEnd"/>
            <w:r w:rsidRPr="00EB2552">
              <w:rPr>
                <w:sz w:val="24"/>
              </w:rPr>
              <w:t xml:space="preserve">) × </w:t>
            </w:r>
            <w:proofErr w:type="spellStart"/>
            <w:r w:rsidRPr="00EB2552">
              <w:rPr>
                <w:sz w:val="24"/>
              </w:rPr>
              <w:t>К</w:t>
            </w:r>
            <w:r w:rsidRPr="00EB2552">
              <w:rPr>
                <w:vertAlign w:val="superscript"/>
              </w:rPr>
              <w:t>БР</w:t>
            </w:r>
            <w:r w:rsidRPr="00EB2552">
              <w:rPr>
                <w:sz w:val="24"/>
              </w:rPr>
              <w:t>w</w:t>
            </w:r>
            <w:proofErr w:type="spellEnd"/>
            <w:r w:rsidRPr="00EB2552">
              <w:rPr>
                <w:sz w:val="24"/>
              </w:rPr>
              <w:t xml:space="preserve"> + Ц </w:t>
            </w:r>
            <w:r w:rsidRPr="00EB2552">
              <w:rPr>
                <w:vertAlign w:val="subscript"/>
              </w:rPr>
              <w:t>РДД ф і</w:t>
            </w:r>
            <w:r w:rsidRPr="00EB2552">
              <w:rPr>
                <w:sz w:val="24"/>
              </w:rPr>
              <w:t xml:space="preserve"> × </w:t>
            </w:r>
            <w:r w:rsidRPr="00EB2552">
              <w:rPr>
                <w:b/>
                <w:bCs/>
                <w:strike/>
                <w:sz w:val="24"/>
              </w:rPr>
              <w:t xml:space="preserve"> К</w:t>
            </w:r>
            <w:r w:rsidRPr="00EB2552">
              <w:rPr>
                <w:sz w:val="24"/>
              </w:rPr>
              <w:t xml:space="preserve"> × </w:t>
            </w:r>
            <w:proofErr w:type="spellStart"/>
            <w:r w:rsidRPr="00EB2552">
              <w:rPr>
                <w:sz w:val="24"/>
              </w:rPr>
              <w:t>К</w:t>
            </w:r>
            <w:r w:rsidRPr="00EB2552">
              <w:rPr>
                <w:vertAlign w:val="superscript"/>
              </w:rPr>
              <w:t>ДД</w:t>
            </w:r>
            <w:r w:rsidRPr="00EB2552">
              <w:rPr>
                <w:sz w:val="24"/>
              </w:rPr>
              <w:t>w</w:t>
            </w:r>
            <w:proofErr w:type="spellEnd"/>
            <w:r w:rsidRPr="00EB2552">
              <w:rPr>
                <w:sz w:val="24"/>
              </w:rPr>
              <w:t>;</w:t>
            </w:r>
          </w:p>
          <w:p w:rsidR="007F4594" w:rsidRDefault="007F4594" w:rsidP="007F4594">
            <w:pPr>
              <w:ind w:firstLine="308"/>
              <w:jc w:val="both"/>
              <w:rPr>
                <w:i/>
                <w:sz w:val="22"/>
                <w:szCs w:val="22"/>
                <w:shd w:val="clear" w:color="auto" w:fill="FFFFFF"/>
              </w:rPr>
            </w:pPr>
          </w:p>
          <w:p w:rsidR="007F4594" w:rsidRPr="00EB2552" w:rsidRDefault="007F4594" w:rsidP="007F4594">
            <w:pPr>
              <w:spacing w:after="75"/>
              <w:ind w:firstLine="240"/>
              <w:jc w:val="both"/>
              <w:rPr>
                <w:b/>
                <w:bCs/>
              </w:rPr>
            </w:pPr>
            <w:r w:rsidRPr="00EB2552">
              <w:rPr>
                <w:b/>
                <w:bCs/>
                <w:sz w:val="24"/>
              </w:rPr>
              <w:t>Ц</w:t>
            </w:r>
            <w:r w:rsidRPr="00EB2552">
              <w:rPr>
                <w:b/>
                <w:bCs/>
                <w:vertAlign w:val="subscript"/>
              </w:rPr>
              <w:t>РДД ф і</w:t>
            </w:r>
            <w:r w:rsidRPr="00EB2552">
              <w:rPr>
                <w:sz w:val="24"/>
              </w:rPr>
              <w:t xml:space="preserve"> </w:t>
            </w:r>
            <w:r w:rsidRPr="00EB2552">
              <w:rPr>
                <w:sz w:val="23"/>
                <w:szCs w:val="23"/>
              </w:rPr>
              <w:t xml:space="preserve">- </w:t>
            </w:r>
            <w:r w:rsidRPr="00EB2552">
              <w:rPr>
                <w:b/>
                <w:bCs/>
                <w:sz w:val="24"/>
              </w:rPr>
              <w:t>визначається на рівні фактичної середньозваженої ціни купівлі електричної енергії на ринку двосторонніх договорів в i-му місяці звітного року згідно з Актом купівлі-продажу електроенергії, грн/МВт·год.</w:t>
            </w:r>
          </w:p>
          <w:p w:rsidR="007F4594" w:rsidRPr="009D3827" w:rsidRDefault="007F4594" w:rsidP="007F4594">
            <w:pPr>
              <w:ind w:firstLine="308"/>
              <w:jc w:val="both"/>
              <w:rPr>
                <w:i/>
                <w:sz w:val="22"/>
                <w:szCs w:val="22"/>
                <w:shd w:val="clear" w:color="auto" w:fill="FFFFFF"/>
              </w:rPr>
            </w:pPr>
          </w:p>
          <w:p w:rsidR="007F4594" w:rsidRPr="00F411B3" w:rsidRDefault="007F4594" w:rsidP="007F4594">
            <w:pPr>
              <w:ind w:firstLine="308"/>
              <w:jc w:val="both"/>
              <w:rPr>
                <w:i/>
                <w:sz w:val="22"/>
                <w:szCs w:val="22"/>
                <w:shd w:val="clear" w:color="auto" w:fill="FFFFFF"/>
              </w:rPr>
            </w:pPr>
            <w:r w:rsidRPr="00F411B3">
              <w:rPr>
                <w:i/>
                <w:sz w:val="22"/>
                <w:szCs w:val="22"/>
                <w:shd w:val="clear" w:color="auto" w:fill="FFFFFF"/>
              </w:rPr>
              <w:t>ОБҐРУНТУВАННЯ:</w:t>
            </w:r>
          </w:p>
          <w:p w:rsidR="007F4594" w:rsidRPr="00F411B3" w:rsidRDefault="007F4594" w:rsidP="007F4594">
            <w:pPr>
              <w:ind w:firstLine="567"/>
              <w:jc w:val="both"/>
              <w:rPr>
                <w:i/>
                <w:sz w:val="22"/>
                <w:szCs w:val="22"/>
              </w:rPr>
            </w:pPr>
            <w:r w:rsidRPr="00F411B3">
              <w:rPr>
                <w:i/>
                <w:sz w:val="22"/>
                <w:szCs w:val="22"/>
              </w:rPr>
              <w:t xml:space="preserve">Згідно з регламентом ТОВ «Українська енергетична біржа», умови участі у торгах, у тому числі мінімальні обсяги лотів, порядок формування цінових пропозицій та крок аукціону, визначаються організатором торгів та є обов'язковими для учасників торгів. </w:t>
            </w:r>
          </w:p>
          <w:p w:rsidR="007F4594" w:rsidRPr="00F411B3" w:rsidRDefault="007F4594" w:rsidP="007F4594">
            <w:pPr>
              <w:ind w:firstLine="567"/>
              <w:jc w:val="both"/>
              <w:rPr>
                <w:i/>
                <w:sz w:val="22"/>
                <w:szCs w:val="22"/>
              </w:rPr>
            </w:pPr>
            <w:r w:rsidRPr="00F411B3">
              <w:rPr>
                <w:i/>
                <w:sz w:val="22"/>
                <w:szCs w:val="22"/>
              </w:rPr>
              <w:t xml:space="preserve">Відповідно до оприлюднених на офіційному сайті ТОВ «Українська енергетична біржа» умов проведення аукціонів з продажу електричної енергії, мінімальні погодинні обсяги лотів продавців, </w:t>
            </w:r>
            <w:r w:rsidRPr="00F411B3">
              <w:rPr>
                <w:i/>
                <w:sz w:val="22"/>
                <w:szCs w:val="22"/>
                <w:u w:val="single"/>
              </w:rPr>
              <w:t>з найпривабливішою для ОСР ціною</w:t>
            </w:r>
            <w:r w:rsidRPr="00F411B3">
              <w:rPr>
                <w:i/>
                <w:sz w:val="22"/>
                <w:szCs w:val="22"/>
              </w:rPr>
              <w:t xml:space="preserve">, зокрема НАЕК «Енергоатом», становлять 20 і більше МВт·год. Таким чином, мінімальні погодинні обсяги, що виставляються на торги ТОВ «Українська енергетична біржа», є набагато вищими за фактичні потреби Товариства в погодинних обсягах. </w:t>
            </w:r>
          </w:p>
          <w:p w:rsidR="007F4594" w:rsidRPr="00F411B3" w:rsidRDefault="007F4594" w:rsidP="007F4594">
            <w:pPr>
              <w:ind w:firstLine="567"/>
              <w:jc w:val="both"/>
              <w:rPr>
                <w:i/>
                <w:sz w:val="22"/>
                <w:szCs w:val="22"/>
              </w:rPr>
            </w:pPr>
            <w:r w:rsidRPr="00F411B3">
              <w:rPr>
                <w:i/>
                <w:sz w:val="22"/>
                <w:szCs w:val="22"/>
              </w:rPr>
              <w:t xml:space="preserve">Водночас, середньозважений місячний індекс, який формується на підставі декадних базових навантажень на ринку двосторонніх договорів у i-му місяці звітного року та оприлюднюється ТОВ «Українська енергетична біржа», формується на основі біржових угод і не відображає фактичної ціни купівлі електричної енергії на РДД, особливо, в умовах нестабільності </w:t>
            </w:r>
            <w:r w:rsidRPr="00F411B3">
              <w:rPr>
                <w:i/>
                <w:sz w:val="22"/>
                <w:szCs w:val="22"/>
              </w:rPr>
              <w:lastRenderedPageBreak/>
              <w:t>енергетичної системи та запровадження ГПВ та ГАВ.</w:t>
            </w:r>
          </w:p>
          <w:p w:rsidR="007F4594" w:rsidRPr="009D3827" w:rsidRDefault="007F4594" w:rsidP="007F4594">
            <w:pPr>
              <w:ind w:firstLine="567"/>
              <w:jc w:val="both"/>
              <w:rPr>
                <w:i/>
                <w:sz w:val="22"/>
                <w:szCs w:val="22"/>
                <w:shd w:val="clear" w:color="auto" w:fill="FFFFFF"/>
              </w:rPr>
            </w:pPr>
            <w:r w:rsidRPr="00F411B3">
              <w:rPr>
                <w:i/>
                <w:sz w:val="22"/>
                <w:szCs w:val="22"/>
              </w:rPr>
              <w:t>З огляду на викладене, АТ «</w:t>
            </w:r>
            <w:proofErr w:type="spellStart"/>
            <w:r w:rsidRPr="00F411B3">
              <w:rPr>
                <w:i/>
                <w:sz w:val="22"/>
                <w:szCs w:val="22"/>
              </w:rPr>
              <w:t>Чернівціобленерго</w:t>
            </w:r>
            <w:proofErr w:type="spellEnd"/>
            <w:r w:rsidRPr="00F411B3">
              <w:rPr>
                <w:i/>
                <w:sz w:val="22"/>
                <w:szCs w:val="22"/>
              </w:rPr>
              <w:t xml:space="preserve">» пропонує, показник </w:t>
            </w:r>
            <w:proofErr w:type="spellStart"/>
            <w:r w:rsidRPr="00F411B3">
              <w:rPr>
                <w:i/>
                <w:sz w:val="22"/>
                <w:szCs w:val="22"/>
              </w:rPr>
              <w:t>Ц_РДД_ф_i</w:t>
            </w:r>
            <w:proofErr w:type="spellEnd"/>
            <w:r w:rsidRPr="00F411B3">
              <w:rPr>
                <w:i/>
                <w:sz w:val="22"/>
                <w:szCs w:val="22"/>
              </w:rPr>
              <w:t xml:space="preserve"> визначати як фактичну середньозважену ціну купівлі електричної енергії на ринку двосторонніх договорів у i-му місяці звітного року відповідно до Актів купівлі-продажу електричної енергії.</w:t>
            </w:r>
          </w:p>
        </w:tc>
        <w:tc>
          <w:tcPr>
            <w:tcW w:w="5066" w:type="dxa"/>
            <w:shd w:val="clear" w:color="auto" w:fill="auto"/>
            <w:vAlign w:val="center"/>
          </w:tcPr>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Pr="00945544" w:rsidRDefault="007F4594" w:rsidP="007F4594">
            <w:pPr>
              <w:rPr>
                <w:b/>
                <w:sz w:val="22"/>
                <w:szCs w:val="22"/>
              </w:rPr>
            </w:pPr>
          </w:p>
          <w:p w:rsidR="007F4594" w:rsidRPr="0011354C" w:rsidRDefault="007F4594" w:rsidP="007F4594">
            <w:pPr>
              <w:rPr>
                <w:b/>
                <w:sz w:val="22"/>
                <w:szCs w:val="22"/>
              </w:rPr>
            </w:pPr>
            <w:r w:rsidRPr="0011354C">
              <w:rPr>
                <w:b/>
                <w:sz w:val="22"/>
                <w:szCs w:val="22"/>
              </w:rPr>
              <w:t>Загальна позиція</w:t>
            </w:r>
          </w:p>
          <w:p w:rsidR="007F4594" w:rsidRPr="0011354C" w:rsidRDefault="007F4594" w:rsidP="007F4594">
            <w:pPr>
              <w:rPr>
                <w:b/>
                <w:sz w:val="22"/>
                <w:szCs w:val="22"/>
              </w:rPr>
            </w:pPr>
            <w:r w:rsidRPr="0011354C">
              <w:rPr>
                <w:b/>
                <w:sz w:val="22"/>
                <w:szCs w:val="22"/>
              </w:rPr>
              <w:t>Не враховано</w:t>
            </w:r>
          </w:p>
          <w:p w:rsidR="007F4594" w:rsidRPr="0011354C" w:rsidRDefault="007F4594" w:rsidP="007F4594">
            <w:pPr>
              <w:jc w:val="both"/>
              <w:rPr>
                <w:b/>
                <w:sz w:val="22"/>
                <w:szCs w:val="22"/>
              </w:rPr>
            </w:pPr>
            <w:r w:rsidRPr="0011354C">
              <w:rPr>
                <w:sz w:val="22"/>
                <w:szCs w:val="22"/>
              </w:rPr>
              <w:t>Розрахунок має базуватися на офіційних, опублікованих на вебсайті ТОВ «Українська енергетична біржа», даних.</w:t>
            </w:r>
          </w:p>
          <w:p w:rsidR="007F4594" w:rsidRPr="0011354C" w:rsidRDefault="007F4594" w:rsidP="007F4594">
            <w:pPr>
              <w:rPr>
                <w:b/>
                <w:sz w:val="22"/>
                <w:szCs w:val="22"/>
              </w:rPr>
            </w:pPr>
          </w:p>
          <w:p w:rsidR="007F4594" w:rsidRPr="0011354C" w:rsidRDefault="007F4594" w:rsidP="007F4594">
            <w:pPr>
              <w:jc w:val="both"/>
              <w:rPr>
                <w:sz w:val="22"/>
                <w:szCs w:val="22"/>
              </w:rPr>
            </w:pPr>
            <w:r w:rsidRPr="0011354C">
              <w:rPr>
                <w:sz w:val="22"/>
                <w:szCs w:val="22"/>
              </w:rPr>
              <w:t>Відповідно до світової практики, ціноутворюючим ринком на ринку електроенергії є ринок двосторонніх договорів на РДД. Так, для всіх учасників ринку індикативом ціни на електроенергію є ціна на РДД.</w:t>
            </w:r>
          </w:p>
          <w:p w:rsidR="007F4594" w:rsidRPr="0011354C" w:rsidRDefault="007F4594" w:rsidP="007F4594">
            <w:pPr>
              <w:pStyle w:val="afa"/>
              <w:ind w:firstLine="0"/>
              <w:rPr>
                <w:sz w:val="22"/>
                <w:szCs w:val="22"/>
              </w:rPr>
            </w:pPr>
            <w:r w:rsidRPr="0011354C">
              <w:rPr>
                <w:sz w:val="22"/>
                <w:szCs w:val="22"/>
              </w:rPr>
              <w:t>Заміна місячного індексу базового навантаження на РДД на місячний індекс базового навантаження на ринку "на добу наперед", в і-му місяці звітного року може призвести до викривлення принципів ціноутворення.</w:t>
            </w:r>
          </w:p>
          <w:p w:rsidR="007F4594" w:rsidRPr="0011354C" w:rsidRDefault="007F4594" w:rsidP="007F4594">
            <w:pPr>
              <w:pStyle w:val="afa"/>
              <w:ind w:firstLine="0"/>
              <w:rPr>
                <w:sz w:val="22"/>
                <w:szCs w:val="22"/>
              </w:rPr>
            </w:pPr>
          </w:p>
          <w:p w:rsidR="007F4594" w:rsidRPr="0011354C" w:rsidRDefault="007F4594" w:rsidP="007F4594">
            <w:pPr>
              <w:ind w:firstLine="172"/>
              <w:jc w:val="both"/>
              <w:rPr>
                <w:sz w:val="22"/>
                <w:szCs w:val="22"/>
                <w:shd w:val="clear" w:color="auto" w:fill="FFFFFF"/>
              </w:rPr>
            </w:pPr>
            <w:r w:rsidRPr="0011354C">
              <w:rPr>
                <w:sz w:val="22"/>
                <w:szCs w:val="22"/>
              </w:rPr>
              <w:t xml:space="preserve">Пропозиції у частині зміни коефіцієнта, </w:t>
            </w:r>
            <w:r w:rsidRPr="0011354C">
              <w:rPr>
                <w:sz w:val="22"/>
                <w:szCs w:val="22"/>
                <w:shd w:val="clear" w:color="auto" w:fill="FFFFFF"/>
              </w:rPr>
              <w:t xml:space="preserve">що враховує частку електричної енергії, що купується на РДД </w:t>
            </w:r>
            <w:r w:rsidRPr="0011354C">
              <w:rPr>
                <w:sz w:val="22"/>
                <w:szCs w:val="22"/>
              </w:rPr>
              <w:t xml:space="preserve">на сьогодні не відповідає цілям підтримання стабільності ринку електричної енергії, та може створити дисбаланс інтересів між учасниками ринку. </w:t>
            </w:r>
          </w:p>
          <w:p w:rsidR="007F4594" w:rsidRPr="0011354C" w:rsidRDefault="007F4594" w:rsidP="007F4594">
            <w:pPr>
              <w:jc w:val="both"/>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Pr="009D3827" w:rsidRDefault="007F4594" w:rsidP="007F4594">
            <w:pPr>
              <w:rPr>
                <w:b/>
                <w:sz w:val="22"/>
                <w:szCs w:val="22"/>
              </w:rPr>
            </w:pPr>
          </w:p>
        </w:tc>
      </w:tr>
      <w:tr w:rsidR="007F4594" w:rsidRPr="009D3827" w:rsidTr="00276080">
        <w:trPr>
          <w:trHeight w:val="595"/>
        </w:trPr>
        <w:tc>
          <w:tcPr>
            <w:tcW w:w="5065" w:type="dxa"/>
            <w:shd w:val="clear" w:color="auto" w:fill="auto"/>
          </w:tcPr>
          <w:p w:rsidR="007F4594" w:rsidRPr="009D3827" w:rsidRDefault="007F4594" w:rsidP="007F4594">
            <w:pPr>
              <w:ind w:firstLine="240"/>
              <w:jc w:val="both"/>
              <w:rPr>
                <w:i/>
                <w:sz w:val="22"/>
                <w:szCs w:val="22"/>
                <w:shd w:val="clear" w:color="auto" w:fill="FFFFFF"/>
              </w:rPr>
            </w:pPr>
          </w:p>
          <w:p w:rsidR="007F4594" w:rsidRPr="009D3827" w:rsidRDefault="007F4594" w:rsidP="007F4594">
            <w:pPr>
              <w:ind w:firstLine="240"/>
              <w:jc w:val="both"/>
              <w:rPr>
                <w:sz w:val="22"/>
                <w:szCs w:val="22"/>
              </w:rPr>
            </w:pPr>
          </w:p>
          <w:p w:rsidR="007F4594" w:rsidRDefault="007F4594" w:rsidP="007F4594">
            <w:pPr>
              <w:ind w:firstLine="240"/>
              <w:jc w:val="both"/>
              <w:rPr>
                <w:sz w:val="22"/>
                <w:szCs w:val="22"/>
              </w:rPr>
            </w:pPr>
          </w:p>
          <w:p w:rsidR="007F4594" w:rsidRDefault="007F4594" w:rsidP="007F4594">
            <w:pPr>
              <w:ind w:firstLine="240"/>
              <w:jc w:val="both"/>
              <w:rPr>
                <w:sz w:val="22"/>
                <w:szCs w:val="22"/>
              </w:rPr>
            </w:pPr>
          </w:p>
          <w:p w:rsidR="007F4594" w:rsidRPr="009D3827" w:rsidRDefault="007F4594" w:rsidP="007F4594">
            <w:pPr>
              <w:ind w:firstLine="240"/>
              <w:jc w:val="both"/>
              <w:rPr>
                <w:sz w:val="22"/>
                <w:szCs w:val="22"/>
              </w:rPr>
            </w:pPr>
          </w:p>
          <w:p w:rsidR="007F4594" w:rsidRPr="009D3827" w:rsidRDefault="007F4594" w:rsidP="007F4594">
            <w:pPr>
              <w:ind w:firstLine="308"/>
              <w:jc w:val="both"/>
              <w:rPr>
                <w:sz w:val="22"/>
                <w:szCs w:val="22"/>
                <w:shd w:val="clear" w:color="auto" w:fill="FFFFFF"/>
              </w:rPr>
            </w:pPr>
            <w:r w:rsidRPr="009D3827">
              <w:rPr>
                <w:sz w:val="22"/>
                <w:szCs w:val="22"/>
              </w:rPr>
              <w:t>ЗМІНИ НЕ ПРОПОНУВАЛИСЬ</w:t>
            </w:r>
          </w:p>
        </w:tc>
        <w:tc>
          <w:tcPr>
            <w:tcW w:w="5066" w:type="dxa"/>
            <w:shd w:val="clear" w:color="auto" w:fill="auto"/>
          </w:tcPr>
          <w:p w:rsidR="007F4594" w:rsidRPr="009D3827" w:rsidRDefault="007F4594" w:rsidP="007F4594">
            <w:pPr>
              <w:ind w:firstLine="308"/>
              <w:jc w:val="both"/>
              <w:rPr>
                <w:i/>
                <w:sz w:val="22"/>
                <w:szCs w:val="22"/>
                <w:shd w:val="clear" w:color="auto" w:fill="FFFFFF"/>
              </w:rPr>
            </w:pPr>
            <w:r w:rsidRPr="009D3827">
              <w:rPr>
                <w:i/>
                <w:sz w:val="22"/>
                <w:szCs w:val="22"/>
                <w:shd w:val="clear" w:color="auto" w:fill="FFFFFF"/>
              </w:rPr>
              <w:t>АТ «ДТЕК ДНІПРОВСЬКІ ЕЛЕКТРОМЕРЕЖІ»</w:t>
            </w:r>
          </w:p>
          <w:p w:rsidR="007F4594" w:rsidRDefault="007F4594" w:rsidP="007F4594">
            <w:pPr>
              <w:ind w:firstLine="308"/>
              <w:jc w:val="both"/>
              <w:rPr>
                <w:i/>
                <w:sz w:val="22"/>
                <w:szCs w:val="22"/>
                <w:shd w:val="clear" w:color="auto" w:fill="FFFFFF"/>
              </w:rPr>
            </w:pPr>
            <w:r w:rsidRPr="009D3827">
              <w:rPr>
                <w:i/>
                <w:sz w:val="22"/>
                <w:szCs w:val="22"/>
                <w:shd w:val="clear" w:color="auto" w:fill="FFFFFF"/>
              </w:rPr>
              <w:t>АТ «ДТЕК ОДЕСЬКІ ЕЛЕКТРОМЕРЕЖІ»</w:t>
            </w:r>
          </w:p>
          <w:p w:rsidR="007F4594" w:rsidRPr="00E3234C" w:rsidRDefault="007F4594" w:rsidP="007F4594">
            <w:pPr>
              <w:ind w:firstLine="361"/>
              <w:jc w:val="both"/>
              <w:rPr>
                <w:i/>
                <w:sz w:val="22"/>
                <w:szCs w:val="22"/>
                <w:shd w:val="clear" w:color="auto" w:fill="FFFFFF"/>
              </w:rPr>
            </w:pPr>
            <w:r w:rsidRPr="00E3234C">
              <w:rPr>
                <w:i/>
                <w:sz w:val="22"/>
                <w:szCs w:val="22"/>
                <w:shd w:val="clear" w:color="auto" w:fill="FFFFFF"/>
              </w:rPr>
              <w:t>ГС «РЕУ»</w:t>
            </w:r>
          </w:p>
          <w:p w:rsidR="007F4594" w:rsidRPr="009D3827" w:rsidRDefault="007F4594" w:rsidP="007F4594">
            <w:pPr>
              <w:ind w:firstLine="308"/>
              <w:jc w:val="both"/>
              <w:rPr>
                <w:sz w:val="22"/>
                <w:szCs w:val="22"/>
              </w:rPr>
            </w:pPr>
            <w:r w:rsidRPr="00BF0320">
              <w:rPr>
                <w:i/>
                <w:sz w:val="22"/>
                <w:szCs w:val="22"/>
                <w:shd w:val="clear" w:color="auto" w:fill="FFFFFF"/>
              </w:rPr>
              <w:t>АТ «ЧЕРНІВЦІОБЛЕНЕРГО»</w:t>
            </w: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240"/>
              <w:jc w:val="both"/>
              <w:rPr>
                <w:sz w:val="22"/>
                <w:szCs w:val="22"/>
              </w:rPr>
            </w:pPr>
            <w:r w:rsidRPr="009D3827">
              <w:rPr>
                <w:sz w:val="22"/>
                <w:szCs w:val="22"/>
              </w:rPr>
              <w:t>5. Загальна сума додатково отриманого або недоотриманого доходу від ліцензованої діяльності у звітному році визначається як сума таких складових:</w:t>
            </w:r>
          </w:p>
          <w:p w:rsidR="007F4594" w:rsidRPr="009D3827" w:rsidRDefault="007F4594" w:rsidP="007F4594">
            <w:pPr>
              <w:ind w:firstLine="308"/>
              <w:jc w:val="both"/>
              <w:rPr>
                <w:sz w:val="22"/>
                <w:szCs w:val="22"/>
                <w:shd w:val="clear" w:color="auto" w:fill="FFFFFF"/>
              </w:rPr>
            </w:pPr>
          </w:p>
          <w:p w:rsidR="007F4594" w:rsidRPr="009D3827" w:rsidRDefault="007F4594" w:rsidP="007F4594">
            <w:pPr>
              <w:ind w:firstLine="308"/>
              <w:jc w:val="both"/>
              <w:rPr>
                <w:sz w:val="22"/>
                <w:szCs w:val="22"/>
                <w:shd w:val="clear" w:color="auto" w:fill="FFFFFF"/>
              </w:rPr>
            </w:pPr>
            <w:r w:rsidRPr="009D3827">
              <w:rPr>
                <w:sz w:val="22"/>
                <w:szCs w:val="22"/>
                <w:shd w:val="clear" w:color="auto" w:fill="FFFFFF"/>
              </w:rPr>
              <w:t>&lt;…&gt;</w:t>
            </w: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240"/>
              <w:jc w:val="both"/>
              <w:rPr>
                <w:sz w:val="22"/>
                <w:szCs w:val="22"/>
              </w:rPr>
            </w:pPr>
            <w:r w:rsidRPr="009D3827">
              <w:rPr>
                <w:sz w:val="22"/>
                <w:szCs w:val="22"/>
              </w:rPr>
              <w:t>13) надлишково отриманий / недоотриманий дохід за статтями «прибуток на регуляторну базу активів, яка створена після переходу на стимулююче регулювання» та «прибуток на регуляторну базу активів, яка створена до переходу на стимулююче регулювання» унаслідок некоректного формування баз активів, які створено до/після переходу до стимулюючого регулювання.</w:t>
            </w:r>
          </w:p>
          <w:p w:rsidR="007F4594" w:rsidRPr="009D3827" w:rsidRDefault="007F4594" w:rsidP="007F4594">
            <w:pPr>
              <w:spacing w:after="75"/>
              <w:jc w:val="both"/>
              <w:rPr>
                <w:sz w:val="22"/>
                <w:szCs w:val="22"/>
              </w:rPr>
            </w:pPr>
            <w:r w:rsidRPr="009D3827">
              <w:rPr>
                <w:sz w:val="22"/>
                <w:szCs w:val="22"/>
              </w:rPr>
              <w:t>Недоотриманий дохід ураховується зі знаком "-".</w:t>
            </w:r>
          </w:p>
          <w:p w:rsidR="007F4594" w:rsidRPr="009D3827" w:rsidRDefault="007F4594" w:rsidP="007F4594">
            <w:pPr>
              <w:spacing w:after="75"/>
              <w:jc w:val="both"/>
              <w:rPr>
                <w:sz w:val="22"/>
                <w:szCs w:val="22"/>
              </w:rPr>
            </w:pPr>
          </w:p>
          <w:p w:rsidR="007F4594" w:rsidRPr="009D3827" w:rsidRDefault="007F4594" w:rsidP="007F4594">
            <w:pPr>
              <w:ind w:firstLine="240"/>
              <w:jc w:val="both"/>
              <w:rPr>
                <w:sz w:val="22"/>
                <w:szCs w:val="22"/>
              </w:rPr>
            </w:pPr>
            <w:r w:rsidRPr="009D3827">
              <w:rPr>
                <w:sz w:val="22"/>
                <w:szCs w:val="22"/>
              </w:rPr>
              <w:t>Надлишково отриманий дохід ураховується зі знаком "+" за 2021 - 2023 роки в однократному розмірі, а починаючи з 2024 року:</w:t>
            </w:r>
          </w:p>
          <w:p w:rsidR="007F4594" w:rsidRPr="009D3827" w:rsidRDefault="007F4594" w:rsidP="007F4594">
            <w:pPr>
              <w:ind w:firstLine="240"/>
              <w:jc w:val="both"/>
              <w:rPr>
                <w:sz w:val="22"/>
                <w:szCs w:val="22"/>
              </w:rPr>
            </w:pPr>
            <w:r w:rsidRPr="009D3827">
              <w:rPr>
                <w:sz w:val="22"/>
                <w:szCs w:val="22"/>
              </w:rPr>
              <w:t xml:space="preserve">у частині регуляторної бази активів, яка створена після переходу на стимулююче регулювання - у </w:t>
            </w:r>
            <w:proofErr w:type="spellStart"/>
            <w:r w:rsidRPr="009D3827">
              <w:rPr>
                <w:b/>
                <w:bCs/>
                <w:sz w:val="22"/>
                <w:szCs w:val="22"/>
              </w:rPr>
              <w:t>чотирьохкратному</w:t>
            </w:r>
            <w:proofErr w:type="spellEnd"/>
            <w:r w:rsidRPr="009D3827">
              <w:rPr>
                <w:b/>
                <w:bCs/>
                <w:sz w:val="22"/>
                <w:szCs w:val="22"/>
              </w:rPr>
              <w:t xml:space="preserve"> </w:t>
            </w:r>
            <w:r w:rsidRPr="009D3827">
              <w:rPr>
                <w:sz w:val="22"/>
                <w:szCs w:val="22"/>
              </w:rPr>
              <w:t>розмірі;</w:t>
            </w:r>
          </w:p>
          <w:p w:rsidR="007F4594" w:rsidRPr="009D3827" w:rsidRDefault="007F4594" w:rsidP="007F4594">
            <w:pPr>
              <w:ind w:firstLine="240"/>
              <w:jc w:val="both"/>
              <w:rPr>
                <w:sz w:val="22"/>
                <w:szCs w:val="22"/>
              </w:rPr>
            </w:pPr>
            <w:r w:rsidRPr="009D3827">
              <w:rPr>
                <w:sz w:val="22"/>
                <w:szCs w:val="22"/>
              </w:rPr>
              <w:lastRenderedPageBreak/>
              <w:t xml:space="preserve">у частині регуляторної бази активів, яка створена до переходу на стимулююче регулювання - у </w:t>
            </w:r>
            <w:proofErr w:type="spellStart"/>
            <w:r w:rsidRPr="009D3827">
              <w:rPr>
                <w:b/>
                <w:bCs/>
                <w:sz w:val="22"/>
                <w:szCs w:val="22"/>
              </w:rPr>
              <w:t>чотирьохкратному</w:t>
            </w:r>
            <w:proofErr w:type="spellEnd"/>
            <w:r w:rsidRPr="009D3827">
              <w:rPr>
                <w:sz w:val="22"/>
                <w:szCs w:val="22"/>
              </w:rPr>
              <w:t xml:space="preserve"> розмірі;</w:t>
            </w:r>
          </w:p>
          <w:p w:rsidR="007F4594" w:rsidRPr="009D3827" w:rsidRDefault="007F4594" w:rsidP="007F4594">
            <w:pPr>
              <w:ind w:firstLine="308"/>
              <w:jc w:val="both"/>
              <w:rPr>
                <w:i/>
                <w:sz w:val="22"/>
                <w:szCs w:val="22"/>
                <w:shd w:val="clear" w:color="auto" w:fill="FFFFFF"/>
              </w:rPr>
            </w:pPr>
          </w:p>
          <w:p w:rsidR="007F4594" w:rsidRPr="00595F91" w:rsidRDefault="007F4594" w:rsidP="007F4594">
            <w:pPr>
              <w:ind w:firstLine="308"/>
              <w:jc w:val="both"/>
              <w:rPr>
                <w:i/>
                <w:sz w:val="22"/>
                <w:szCs w:val="22"/>
                <w:shd w:val="clear" w:color="auto" w:fill="FFFFFF"/>
              </w:rPr>
            </w:pPr>
            <w:r w:rsidRPr="00595F91">
              <w:rPr>
                <w:i/>
                <w:sz w:val="22"/>
                <w:szCs w:val="22"/>
                <w:shd w:val="clear" w:color="auto" w:fill="FFFFFF"/>
              </w:rPr>
              <w:t>ОБҐРУНТУВАННЯ:</w:t>
            </w:r>
          </w:p>
          <w:p w:rsidR="007F4594" w:rsidRPr="00595F91" w:rsidRDefault="007F4594" w:rsidP="007F4594">
            <w:pPr>
              <w:ind w:firstLine="240"/>
              <w:jc w:val="both"/>
              <w:rPr>
                <w:i/>
                <w:sz w:val="22"/>
                <w:szCs w:val="22"/>
              </w:rPr>
            </w:pPr>
            <w:r w:rsidRPr="00595F91">
              <w:rPr>
                <w:i/>
                <w:sz w:val="22"/>
                <w:szCs w:val="22"/>
              </w:rPr>
              <w:t>В рамках запровадження санкцій передбачалося застосування вилучення 5-кратної суми надлишково отриманого доходу за статтею «прибуток на регуляторну базу активів…» унаслідок некоректного формування баз активів.</w:t>
            </w:r>
          </w:p>
          <w:p w:rsidR="007F4594" w:rsidRPr="00595F91" w:rsidRDefault="007F4594" w:rsidP="007F4594">
            <w:pPr>
              <w:ind w:firstLine="240"/>
              <w:jc w:val="both"/>
              <w:rPr>
                <w:i/>
                <w:sz w:val="22"/>
                <w:szCs w:val="22"/>
              </w:rPr>
            </w:pPr>
            <w:r w:rsidRPr="00595F91">
              <w:rPr>
                <w:i/>
                <w:sz w:val="22"/>
                <w:szCs w:val="22"/>
              </w:rPr>
              <w:t>Водночас, діючим положенням передбачено застосування вилучення 6-кратної суми прибутку на регуляторну базу активів (однократне вилучення відповідно до  першого абзацу підпункту 13,</w:t>
            </w:r>
          </w:p>
          <w:p w:rsidR="007F4594" w:rsidRPr="00595F91" w:rsidRDefault="007F4594" w:rsidP="007F4594">
            <w:pPr>
              <w:ind w:firstLine="240"/>
              <w:jc w:val="both"/>
              <w:rPr>
                <w:i/>
                <w:sz w:val="22"/>
                <w:szCs w:val="22"/>
              </w:rPr>
            </w:pPr>
            <w:r w:rsidRPr="00595F91">
              <w:rPr>
                <w:i/>
                <w:sz w:val="22"/>
                <w:szCs w:val="22"/>
              </w:rPr>
              <w:t>п’ятикратне вилучення відповідно до останніх абзаців підпункту 13).</w:t>
            </w:r>
          </w:p>
          <w:p w:rsidR="007F4594" w:rsidRPr="009D3827" w:rsidRDefault="007F4594" w:rsidP="007F4594">
            <w:pPr>
              <w:ind w:firstLine="240"/>
              <w:jc w:val="both"/>
              <w:rPr>
                <w:i/>
                <w:sz w:val="22"/>
                <w:szCs w:val="22"/>
                <w:shd w:val="clear" w:color="auto" w:fill="FFFFFF"/>
              </w:rPr>
            </w:pPr>
            <w:r w:rsidRPr="00595F91">
              <w:rPr>
                <w:i/>
                <w:sz w:val="22"/>
                <w:szCs w:val="22"/>
              </w:rPr>
              <w:t>З метою приведення положень пункту відповідно до об’єктивних</w:t>
            </w:r>
            <w:r w:rsidRPr="00595F91">
              <w:rPr>
                <w:bCs/>
                <w:i/>
                <w:sz w:val="22"/>
                <w:szCs w:val="22"/>
                <w:shd w:val="clear" w:color="auto" w:fill="FFFFFF"/>
              </w:rPr>
              <w:t xml:space="preserve"> та виважених штрафних санкцій, враховуючи умови роботи ОСР, просимо передбачити 5 кратну санкцію унаслідок некоректного формування бази активів, а не 6 -кратної, яка діє наразі.</w:t>
            </w:r>
          </w:p>
        </w:tc>
        <w:tc>
          <w:tcPr>
            <w:tcW w:w="5066" w:type="dxa"/>
            <w:shd w:val="clear" w:color="auto" w:fill="auto"/>
            <w:vAlign w:val="center"/>
          </w:tcPr>
          <w:p w:rsidR="007F4594" w:rsidRPr="00D544BC" w:rsidRDefault="007F4594" w:rsidP="007F4594">
            <w:pPr>
              <w:widowControl w:val="0"/>
              <w:suppressAutoHyphens/>
              <w:jc w:val="both"/>
              <w:rPr>
                <w:b/>
                <w:bCs/>
                <w:color w:val="000000"/>
                <w:sz w:val="22"/>
                <w:szCs w:val="22"/>
              </w:rPr>
            </w:pPr>
            <w:r w:rsidRPr="00D544BC">
              <w:rPr>
                <w:b/>
                <w:bCs/>
                <w:color w:val="000000"/>
                <w:sz w:val="22"/>
                <w:szCs w:val="22"/>
              </w:rPr>
              <w:lastRenderedPageBreak/>
              <w:t>Не враховано</w:t>
            </w:r>
          </w:p>
          <w:p w:rsidR="007F4594" w:rsidRPr="00D544BC" w:rsidRDefault="007F4594" w:rsidP="007F4594">
            <w:pPr>
              <w:rPr>
                <w:b/>
                <w:sz w:val="22"/>
                <w:szCs w:val="22"/>
              </w:rPr>
            </w:pPr>
            <w:r w:rsidRPr="00D544BC">
              <w:rPr>
                <w:b/>
                <w:sz w:val="22"/>
                <w:szCs w:val="22"/>
              </w:rPr>
              <w:t>Недостатньо обґрунтована позиція</w:t>
            </w:r>
          </w:p>
          <w:p w:rsidR="007F4594" w:rsidRPr="0011354C" w:rsidRDefault="007F4594" w:rsidP="007F4594">
            <w:pPr>
              <w:pStyle w:val="af5"/>
              <w:spacing w:before="0" w:beforeAutospacing="0" w:after="0" w:afterAutospacing="0"/>
              <w:jc w:val="both"/>
              <w:rPr>
                <w:bCs/>
                <w:sz w:val="22"/>
                <w:szCs w:val="22"/>
                <w:lang w:eastAsia="ru-RU"/>
              </w:rPr>
            </w:pPr>
            <w:r w:rsidRPr="0011354C">
              <w:rPr>
                <w:bCs/>
                <w:sz w:val="22"/>
                <w:szCs w:val="22"/>
                <w:lang w:eastAsia="ru-RU"/>
              </w:rPr>
              <w:t>Важелі впливу, передбачені діючою нормою базою, спрямовані на врегулювання питань в частині ведення регуляторного обліку.</w:t>
            </w:r>
          </w:p>
          <w:p w:rsidR="007F4594" w:rsidRDefault="007F4594" w:rsidP="007F4594">
            <w:pPr>
              <w:pStyle w:val="af5"/>
              <w:spacing w:before="0" w:beforeAutospacing="0" w:after="0" w:afterAutospacing="0"/>
              <w:jc w:val="both"/>
              <w:rPr>
                <w:bCs/>
                <w:sz w:val="22"/>
                <w:szCs w:val="22"/>
                <w:lang w:eastAsia="ru-RU"/>
              </w:rPr>
            </w:pPr>
          </w:p>
          <w:p w:rsidR="007F4594" w:rsidRDefault="007F4594" w:rsidP="007F4594">
            <w:pPr>
              <w:pStyle w:val="af5"/>
              <w:spacing w:before="0" w:beforeAutospacing="0" w:after="0" w:afterAutospacing="0"/>
              <w:jc w:val="both"/>
              <w:rPr>
                <w:bCs/>
                <w:sz w:val="22"/>
                <w:szCs w:val="22"/>
                <w:lang w:eastAsia="ru-RU"/>
              </w:rPr>
            </w:pPr>
          </w:p>
          <w:p w:rsidR="007F4594" w:rsidRDefault="007F4594" w:rsidP="007F4594">
            <w:pPr>
              <w:pStyle w:val="af5"/>
              <w:spacing w:before="0" w:beforeAutospacing="0" w:after="0" w:afterAutospacing="0"/>
              <w:jc w:val="both"/>
              <w:rPr>
                <w:bCs/>
                <w:sz w:val="22"/>
                <w:szCs w:val="22"/>
                <w:lang w:eastAsia="ru-RU"/>
              </w:rPr>
            </w:pPr>
          </w:p>
          <w:p w:rsidR="007F4594" w:rsidRDefault="007F4594" w:rsidP="007F4594">
            <w:pPr>
              <w:pStyle w:val="af5"/>
              <w:spacing w:before="0" w:beforeAutospacing="0" w:after="0" w:afterAutospacing="0"/>
              <w:jc w:val="both"/>
              <w:rPr>
                <w:bCs/>
                <w:sz w:val="22"/>
                <w:szCs w:val="22"/>
                <w:lang w:eastAsia="ru-RU"/>
              </w:rPr>
            </w:pPr>
          </w:p>
          <w:p w:rsidR="007F4594" w:rsidRDefault="007F4594" w:rsidP="007F4594">
            <w:pPr>
              <w:pStyle w:val="af5"/>
              <w:spacing w:before="0" w:beforeAutospacing="0" w:after="0" w:afterAutospacing="0"/>
              <w:rPr>
                <w:bCs/>
                <w:sz w:val="22"/>
                <w:szCs w:val="22"/>
                <w:lang w:eastAsia="ru-RU"/>
              </w:rPr>
            </w:pPr>
          </w:p>
          <w:p w:rsidR="007F4594" w:rsidRDefault="007F4594" w:rsidP="007F4594">
            <w:pPr>
              <w:pStyle w:val="af5"/>
              <w:spacing w:before="0" w:beforeAutospacing="0" w:after="0" w:afterAutospacing="0"/>
              <w:rPr>
                <w:bCs/>
                <w:sz w:val="22"/>
                <w:szCs w:val="22"/>
                <w:lang w:eastAsia="ru-RU"/>
              </w:rPr>
            </w:pPr>
          </w:p>
          <w:p w:rsidR="007F4594" w:rsidRDefault="007F4594" w:rsidP="007F4594">
            <w:pPr>
              <w:pStyle w:val="af5"/>
              <w:spacing w:before="0" w:beforeAutospacing="0" w:after="0" w:afterAutospacing="0"/>
              <w:rPr>
                <w:bCs/>
                <w:sz w:val="22"/>
                <w:szCs w:val="22"/>
                <w:lang w:eastAsia="ru-RU"/>
              </w:rPr>
            </w:pPr>
          </w:p>
          <w:p w:rsidR="007F4594" w:rsidRDefault="007F4594" w:rsidP="007F4594">
            <w:pPr>
              <w:pStyle w:val="af5"/>
              <w:spacing w:before="0" w:beforeAutospacing="0" w:after="0" w:afterAutospacing="0"/>
              <w:rPr>
                <w:bCs/>
                <w:sz w:val="22"/>
                <w:szCs w:val="22"/>
                <w:lang w:eastAsia="ru-RU"/>
              </w:rPr>
            </w:pPr>
          </w:p>
          <w:p w:rsidR="007F4594" w:rsidRPr="00D544BC" w:rsidRDefault="007F4594" w:rsidP="007F4594">
            <w:pPr>
              <w:pStyle w:val="af5"/>
              <w:spacing w:before="0" w:beforeAutospacing="0" w:after="0" w:afterAutospacing="0"/>
              <w:rPr>
                <w:bCs/>
                <w:sz w:val="22"/>
                <w:szCs w:val="22"/>
                <w:lang w:eastAsia="ru-RU"/>
              </w:rPr>
            </w:pPr>
          </w:p>
          <w:p w:rsidR="007F4594" w:rsidRPr="009D3827" w:rsidRDefault="007F4594" w:rsidP="007F4594">
            <w:pPr>
              <w:rPr>
                <w:b/>
                <w:sz w:val="22"/>
                <w:szCs w:val="22"/>
              </w:rPr>
            </w:pPr>
          </w:p>
        </w:tc>
      </w:tr>
      <w:tr w:rsidR="007F4594" w:rsidRPr="009D3827" w:rsidTr="00276080">
        <w:trPr>
          <w:trHeight w:val="595"/>
        </w:trPr>
        <w:tc>
          <w:tcPr>
            <w:tcW w:w="5065" w:type="dxa"/>
            <w:shd w:val="clear" w:color="auto" w:fill="auto"/>
          </w:tcPr>
          <w:p w:rsidR="007F4594" w:rsidRPr="009D3827" w:rsidRDefault="007F4594" w:rsidP="007F4594">
            <w:pPr>
              <w:ind w:firstLine="240"/>
              <w:jc w:val="both"/>
              <w:rPr>
                <w:i/>
                <w:sz w:val="22"/>
                <w:szCs w:val="22"/>
                <w:shd w:val="clear" w:color="auto" w:fill="FFFFFF"/>
              </w:rPr>
            </w:pPr>
            <w:r w:rsidRPr="009D3827">
              <w:rPr>
                <w:sz w:val="22"/>
                <w:szCs w:val="22"/>
              </w:rPr>
              <w:t>ЗМІНИ НЕ ПРОПОНУВАЛИСЬ</w:t>
            </w:r>
          </w:p>
        </w:tc>
        <w:tc>
          <w:tcPr>
            <w:tcW w:w="5066" w:type="dxa"/>
            <w:shd w:val="clear" w:color="auto" w:fill="auto"/>
          </w:tcPr>
          <w:p w:rsidR="007F4594" w:rsidRPr="009D3827" w:rsidRDefault="007F4594" w:rsidP="007F4594">
            <w:pPr>
              <w:ind w:firstLine="308"/>
              <w:jc w:val="both"/>
              <w:rPr>
                <w:i/>
                <w:sz w:val="22"/>
                <w:szCs w:val="22"/>
                <w:shd w:val="clear" w:color="auto" w:fill="FFFFFF"/>
              </w:rPr>
            </w:pPr>
            <w:r w:rsidRPr="009D3827">
              <w:rPr>
                <w:i/>
                <w:sz w:val="22"/>
                <w:szCs w:val="22"/>
                <w:shd w:val="clear" w:color="auto" w:fill="FFFFFF"/>
              </w:rPr>
              <w:t>АТ «ЖИТОМИРОБЛЕНЕРГО»</w:t>
            </w:r>
          </w:p>
          <w:p w:rsidR="007F4594" w:rsidRPr="009D3827" w:rsidRDefault="007F4594" w:rsidP="007F4594">
            <w:pPr>
              <w:ind w:firstLine="308"/>
              <w:jc w:val="both"/>
              <w:rPr>
                <w:sz w:val="22"/>
                <w:szCs w:val="22"/>
              </w:rPr>
            </w:pPr>
            <w:r w:rsidRPr="00BF0320">
              <w:rPr>
                <w:i/>
                <w:sz w:val="22"/>
                <w:szCs w:val="22"/>
                <w:shd w:val="clear" w:color="auto" w:fill="FFFFFF"/>
              </w:rPr>
              <w:t>АТ «ЧЕРНІВЦІОБЛЕНЕРГО»</w:t>
            </w:r>
          </w:p>
          <w:p w:rsidR="007F4594" w:rsidRPr="009D3827" w:rsidRDefault="007F4594" w:rsidP="007F4594">
            <w:pPr>
              <w:ind w:firstLine="308"/>
              <w:jc w:val="both"/>
              <w:rPr>
                <w:sz w:val="22"/>
                <w:szCs w:val="22"/>
                <w:shd w:val="clear" w:color="auto" w:fill="FFFFFF"/>
              </w:rPr>
            </w:pPr>
            <w:r w:rsidRPr="009D3827">
              <w:rPr>
                <w:sz w:val="22"/>
                <w:szCs w:val="22"/>
                <w:shd w:val="clear" w:color="auto" w:fill="FFFFFF"/>
              </w:rPr>
              <w:t>6. Розмір об'єктивних чинників недофінансування ліцензованої діяльності визначається як сума таких об'єктивних чинників недофінансування ліцензованої діяльності:</w:t>
            </w:r>
          </w:p>
          <w:p w:rsidR="007F4594" w:rsidRPr="009D3827" w:rsidRDefault="007F4594" w:rsidP="007F4594">
            <w:pPr>
              <w:ind w:firstLine="308"/>
              <w:jc w:val="both"/>
              <w:rPr>
                <w:sz w:val="22"/>
                <w:szCs w:val="22"/>
                <w:shd w:val="clear" w:color="auto" w:fill="FFFFFF"/>
              </w:rPr>
            </w:pPr>
          </w:p>
          <w:p w:rsidR="007F4594" w:rsidRPr="009D3827" w:rsidRDefault="007F4594" w:rsidP="007F4594">
            <w:pPr>
              <w:ind w:firstLine="308"/>
              <w:jc w:val="both"/>
              <w:rPr>
                <w:sz w:val="22"/>
                <w:szCs w:val="22"/>
                <w:shd w:val="clear" w:color="auto" w:fill="FFFFFF"/>
              </w:rPr>
            </w:pPr>
            <w:r w:rsidRPr="009D3827">
              <w:rPr>
                <w:sz w:val="22"/>
                <w:szCs w:val="22"/>
                <w:shd w:val="clear" w:color="auto" w:fill="FFFFFF"/>
              </w:rPr>
              <w:t>&lt;…&gt;</w:t>
            </w:r>
          </w:p>
          <w:p w:rsidR="007F4594" w:rsidRPr="009D3827" w:rsidRDefault="007F4594" w:rsidP="007F4594">
            <w:pPr>
              <w:ind w:firstLine="308"/>
              <w:jc w:val="both"/>
              <w:rPr>
                <w:b/>
                <w:sz w:val="22"/>
                <w:szCs w:val="22"/>
              </w:rPr>
            </w:pPr>
            <w:r w:rsidRPr="009D3827">
              <w:rPr>
                <w:b/>
                <w:sz w:val="22"/>
                <w:szCs w:val="22"/>
              </w:rPr>
              <w:t>4) фактичні витрати ліцензіата, що понесені у звітному році на оплату вартості нарахованих штрафних санкцій (пені, штрафів, 3 % річних та інфляційних витрат) за судовими рішеннями щодо стягнення заборгованості за послуги, що надані оператором системи передачі протягом дії воєнного стану</w:t>
            </w:r>
            <w:hyperlink r:id="rId19" w:tgtFrame="_blank" w:history="1">
              <w:r w:rsidRPr="009D3827">
                <w:rPr>
                  <w:b/>
                  <w:sz w:val="22"/>
                  <w:szCs w:val="22"/>
                </w:rPr>
                <w:t>;</w:t>
              </w:r>
            </w:hyperlink>
          </w:p>
          <w:p w:rsidR="007F4594" w:rsidRPr="009D3827" w:rsidRDefault="007F4594" w:rsidP="007F4594">
            <w:pPr>
              <w:ind w:firstLine="308"/>
              <w:jc w:val="both"/>
              <w:rPr>
                <w:i/>
                <w:sz w:val="22"/>
                <w:szCs w:val="22"/>
                <w:shd w:val="clear" w:color="auto" w:fill="FFFFFF"/>
              </w:rPr>
            </w:pPr>
          </w:p>
          <w:p w:rsidR="007F4594" w:rsidRPr="00E27E3E" w:rsidRDefault="007F4594" w:rsidP="007F4594">
            <w:pPr>
              <w:ind w:firstLine="308"/>
              <w:jc w:val="both"/>
              <w:rPr>
                <w:i/>
                <w:sz w:val="22"/>
                <w:szCs w:val="22"/>
                <w:shd w:val="clear" w:color="auto" w:fill="FFFFFF"/>
              </w:rPr>
            </w:pPr>
            <w:r w:rsidRPr="00E27E3E">
              <w:rPr>
                <w:i/>
                <w:sz w:val="22"/>
                <w:szCs w:val="22"/>
                <w:shd w:val="clear" w:color="auto" w:fill="FFFFFF"/>
              </w:rPr>
              <w:lastRenderedPageBreak/>
              <w:t>ОБҐРУНТУВАННЯ:</w:t>
            </w:r>
          </w:p>
          <w:p w:rsidR="007F4594" w:rsidRPr="00E27E3E" w:rsidRDefault="007F4594" w:rsidP="007F4594">
            <w:pPr>
              <w:ind w:firstLine="308"/>
              <w:jc w:val="both"/>
              <w:rPr>
                <w:i/>
                <w:sz w:val="22"/>
                <w:szCs w:val="22"/>
              </w:rPr>
            </w:pPr>
            <w:r w:rsidRPr="00E27E3E">
              <w:rPr>
                <w:i/>
                <w:sz w:val="22"/>
                <w:szCs w:val="22"/>
              </w:rPr>
              <w:t>На підставі наявних судових рішень за позовами НЕК «УКЕНЕРГО», Товариство, з метою попередження зупинки роботи підприємства критичної енергетичної інфраструктури, було вимушено сплачувати штрафні санкції.</w:t>
            </w:r>
          </w:p>
          <w:p w:rsidR="007F4594" w:rsidRPr="009D3827" w:rsidRDefault="007F4594" w:rsidP="007F4594">
            <w:pPr>
              <w:ind w:firstLine="308"/>
              <w:jc w:val="both"/>
              <w:rPr>
                <w:i/>
                <w:sz w:val="22"/>
                <w:szCs w:val="22"/>
                <w:shd w:val="clear" w:color="auto" w:fill="FFFFFF"/>
              </w:rPr>
            </w:pPr>
            <w:r w:rsidRPr="00E27E3E">
              <w:rPr>
                <w:i/>
                <w:sz w:val="22"/>
                <w:szCs w:val="22"/>
              </w:rPr>
              <w:t xml:space="preserve">Проте наразі вказаний показник лише фіксується в ході проведення перевірок (підпункт 29 пункту 4 Додатку №29), хоча фактично </w:t>
            </w:r>
            <w:r w:rsidRPr="00E27E3E">
              <w:rPr>
                <w:b/>
                <w:i/>
                <w:sz w:val="22"/>
                <w:szCs w:val="22"/>
              </w:rPr>
              <w:t>є обґрунтованим та об’єктивним чинником недофінансування ліцензованої діяльності та необхідним для включення до пункту 6 додатку №29.</w:t>
            </w:r>
          </w:p>
        </w:tc>
        <w:tc>
          <w:tcPr>
            <w:tcW w:w="5066" w:type="dxa"/>
            <w:shd w:val="clear" w:color="auto" w:fill="auto"/>
            <w:vAlign w:val="center"/>
          </w:tcPr>
          <w:p w:rsidR="007F4594" w:rsidRPr="00A77CAB" w:rsidRDefault="007F4594" w:rsidP="007F4594">
            <w:pPr>
              <w:ind w:firstLine="276"/>
              <w:jc w:val="both"/>
              <w:rPr>
                <w:b/>
                <w:sz w:val="22"/>
                <w:szCs w:val="22"/>
              </w:rPr>
            </w:pPr>
            <w:r w:rsidRPr="00A77CAB">
              <w:rPr>
                <w:b/>
                <w:sz w:val="22"/>
                <w:szCs w:val="22"/>
              </w:rPr>
              <w:lastRenderedPageBreak/>
              <w:t xml:space="preserve">Не враховано. </w:t>
            </w:r>
          </w:p>
          <w:p w:rsidR="007F4594" w:rsidRPr="00A77CAB" w:rsidRDefault="007F4594" w:rsidP="007F4594">
            <w:pPr>
              <w:ind w:firstLine="276"/>
              <w:jc w:val="both"/>
              <w:rPr>
                <w:sz w:val="22"/>
                <w:szCs w:val="22"/>
              </w:rPr>
            </w:pPr>
            <w:r w:rsidRPr="00A77CAB">
              <w:rPr>
                <w:sz w:val="22"/>
                <w:szCs w:val="22"/>
              </w:rPr>
              <w:t>Відповідно до частини третьої статті 9 Закону України «Про природні монополії» при регулюванні цін (тарифів) на товари суб'єктів природних монополій не враховуються, зокрема суми визнаних штрафів, пені, неустойки.</w:t>
            </w:r>
          </w:p>
          <w:p w:rsidR="007F4594" w:rsidRPr="00A77CAB" w:rsidRDefault="007F4594" w:rsidP="007F4594">
            <w:pPr>
              <w:jc w:val="both"/>
              <w:rPr>
                <w:b/>
                <w:sz w:val="22"/>
                <w:szCs w:val="22"/>
              </w:rPr>
            </w:pPr>
            <w:r w:rsidRPr="00A77CAB">
              <w:rPr>
                <w:sz w:val="22"/>
                <w:szCs w:val="22"/>
              </w:rPr>
              <w:t>Додатково повідомляємо, що Законом України від 14.01.2025 № 4213-IX «Про внесення змін до деяких законів України у сферах енергетики та теплопостачання щодо удосконалення окремих положень, пов’язаних із веденням господарської діяльності та дією воєнного стану в Україні» були внесені зміни до розділу XIII «Прикінцеві та перехідні положення» Закону України «Про виконавче провадження», шляхом доповнення пунктом 10</w:t>
            </w:r>
            <w:r w:rsidRPr="00A77CAB">
              <w:rPr>
                <w:sz w:val="22"/>
                <w:szCs w:val="22"/>
                <w:vertAlign w:val="superscript"/>
              </w:rPr>
              <w:t>5</w:t>
            </w:r>
            <w:r w:rsidRPr="00A77CAB">
              <w:rPr>
                <w:sz w:val="22"/>
                <w:szCs w:val="22"/>
              </w:rPr>
              <w:t xml:space="preserve">, згідно з яким тимчасово, на час дії </w:t>
            </w:r>
            <w:r w:rsidRPr="00A77CAB">
              <w:rPr>
                <w:sz w:val="22"/>
                <w:szCs w:val="22"/>
              </w:rPr>
              <w:lastRenderedPageBreak/>
              <w:t>воєнного стану в Україні, зупиняється вчинення виконавчих дій та заходів примусового виконання рішень (у тому числі накладення арешту на майно та грошові кошти) у виконавчих провадженнях у частині стягнення сум індексу інфляції за весь час прострочення грошового зобов’язання, 3 процентів річних від простроченої суми грошового зобов’язання чи іншого розміру процентів, встановлених договором або законом, сум неустойки (штрафу, пені) за прострочення виконання грошових зобов’язань, сплата яких передбачена договорами, за грошовими зобов’язаннями суб’єктів господарювання, що виникли у період з 24.02.2022 по 01.09.2024, за якими боржниками є учасники ринку електричної енергії, перелік яких із зазначенням номерів судових справ оприлюднюється НКРЕКП</w:t>
            </w:r>
            <w:r w:rsidRPr="00A77CAB">
              <w:rPr>
                <w:b/>
                <w:sz w:val="22"/>
                <w:szCs w:val="22"/>
              </w:rPr>
              <w:t>.</w:t>
            </w:r>
          </w:p>
          <w:p w:rsidR="007F4594" w:rsidRPr="00A77CAB" w:rsidRDefault="007F4594" w:rsidP="007F4594">
            <w:pPr>
              <w:jc w:val="both"/>
              <w:rPr>
                <w:b/>
                <w:sz w:val="22"/>
                <w:szCs w:val="22"/>
              </w:rPr>
            </w:pPr>
          </w:p>
        </w:tc>
      </w:tr>
      <w:tr w:rsidR="007F4594" w:rsidRPr="009D3827" w:rsidTr="004C0330">
        <w:trPr>
          <w:trHeight w:val="595"/>
        </w:trPr>
        <w:tc>
          <w:tcPr>
            <w:tcW w:w="5065" w:type="dxa"/>
            <w:shd w:val="clear" w:color="auto" w:fill="auto"/>
          </w:tcPr>
          <w:p w:rsidR="007F4594" w:rsidRDefault="007F4594" w:rsidP="007F4594">
            <w:pPr>
              <w:ind w:firstLine="240"/>
              <w:jc w:val="both"/>
              <w:rPr>
                <w:sz w:val="22"/>
                <w:szCs w:val="22"/>
              </w:rPr>
            </w:pPr>
          </w:p>
          <w:p w:rsidR="007F4594" w:rsidRPr="009D3827" w:rsidRDefault="007F4594" w:rsidP="007F4594">
            <w:pPr>
              <w:ind w:firstLine="240"/>
              <w:jc w:val="both"/>
              <w:rPr>
                <w:i/>
                <w:sz w:val="22"/>
                <w:szCs w:val="22"/>
                <w:shd w:val="clear" w:color="auto" w:fill="FFFFFF"/>
              </w:rPr>
            </w:pPr>
            <w:r w:rsidRPr="009D3827">
              <w:rPr>
                <w:sz w:val="22"/>
                <w:szCs w:val="22"/>
              </w:rPr>
              <w:t>ЗМІНИ НЕ ПРОПОНУВАЛИСЬ</w:t>
            </w:r>
          </w:p>
        </w:tc>
        <w:tc>
          <w:tcPr>
            <w:tcW w:w="5066" w:type="dxa"/>
            <w:shd w:val="clear" w:color="auto" w:fill="auto"/>
          </w:tcPr>
          <w:p w:rsidR="007F4594" w:rsidRPr="009D108C" w:rsidRDefault="007F4594" w:rsidP="007F4594">
            <w:pPr>
              <w:ind w:firstLine="308"/>
              <w:jc w:val="both"/>
              <w:rPr>
                <w:sz w:val="22"/>
                <w:szCs w:val="22"/>
              </w:rPr>
            </w:pPr>
            <w:r w:rsidRPr="009D108C">
              <w:rPr>
                <w:i/>
                <w:sz w:val="22"/>
                <w:szCs w:val="22"/>
                <w:shd w:val="clear" w:color="auto" w:fill="FFFFFF"/>
              </w:rPr>
              <w:t>АТ «ЧЕРНІВЦІОБЛЕНЕРГО»</w:t>
            </w:r>
          </w:p>
          <w:p w:rsidR="007F4594" w:rsidRPr="009D108C" w:rsidRDefault="007F4594" w:rsidP="007F4594">
            <w:pPr>
              <w:pStyle w:val="af6"/>
              <w:spacing w:after="0"/>
              <w:ind w:left="0" w:firstLine="709"/>
              <w:jc w:val="both"/>
              <w:rPr>
                <w:rFonts w:ascii="Times New Roman" w:hAnsi="Times New Roman"/>
                <w:b/>
                <w:bCs/>
              </w:rPr>
            </w:pPr>
            <w:r w:rsidRPr="009D108C">
              <w:rPr>
                <w:rFonts w:ascii="Times New Roman" w:hAnsi="Times New Roman"/>
              </w:rPr>
              <w:t xml:space="preserve">9. Від’ємна сума, визначена згідно з пунктом 7 цього додатка, коригується на індекс споживчих цін на товари та послуги з грудня звітного року до грудня попереднього року (використовується інформація, оприлюднена на офіційному вебсайті Державної служби статистики України) та підлягає включенню до структури тарифів ліцензіата, </w:t>
            </w:r>
            <w:r w:rsidRPr="009D108C">
              <w:rPr>
                <w:rFonts w:ascii="Times New Roman" w:hAnsi="Times New Roman"/>
                <w:b/>
                <w:bCs/>
              </w:rPr>
              <w:t>в кварталі, наступному після кварталу в якому було винесено НКРЕКП відповідне рішення.</w:t>
            </w:r>
          </w:p>
          <w:p w:rsidR="007F4594" w:rsidRPr="009D108C" w:rsidRDefault="007F4594" w:rsidP="007F4594">
            <w:pPr>
              <w:ind w:firstLine="308"/>
              <w:jc w:val="both"/>
              <w:rPr>
                <w:i/>
                <w:sz w:val="22"/>
                <w:szCs w:val="22"/>
                <w:shd w:val="clear" w:color="auto" w:fill="FFFFFF"/>
              </w:rPr>
            </w:pPr>
          </w:p>
          <w:p w:rsidR="007F4594" w:rsidRDefault="007F4594" w:rsidP="007F4594">
            <w:pPr>
              <w:ind w:firstLine="308"/>
              <w:jc w:val="both"/>
              <w:rPr>
                <w:i/>
                <w:sz w:val="22"/>
                <w:szCs w:val="22"/>
                <w:shd w:val="clear" w:color="auto" w:fill="FFFFFF"/>
              </w:rPr>
            </w:pPr>
            <w:r w:rsidRPr="009D108C">
              <w:rPr>
                <w:i/>
                <w:sz w:val="22"/>
                <w:szCs w:val="22"/>
                <w:shd w:val="clear" w:color="auto" w:fill="FFFFFF"/>
              </w:rPr>
              <w:t>ОБҐРУНТУВАННЯ:</w:t>
            </w:r>
          </w:p>
          <w:p w:rsidR="007F4594" w:rsidRDefault="007F4594" w:rsidP="007F4594">
            <w:pPr>
              <w:ind w:firstLine="308"/>
              <w:jc w:val="both"/>
            </w:pPr>
            <w:r w:rsidRPr="009D108C">
              <w:t>На сьогоднішній день, за відсутності чіткого терміну повернення Ліцензіатам недоотриманого доходу за результатами їх діяльності в попередніх періодах, такий дохід враховується в структурі тарифів із суттєвим запізненням по 2-3 роки.</w:t>
            </w:r>
          </w:p>
          <w:p w:rsidR="007F4594" w:rsidRPr="00AF69C2" w:rsidRDefault="007F4594" w:rsidP="007F4594">
            <w:pPr>
              <w:ind w:firstLine="308"/>
              <w:jc w:val="both"/>
              <w:rPr>
                <w:i/>
                <w:sz w:val="22"/>
                <w:szCs w:val="22"/>
                <w:shd w:val="clear" w:color="auto" w:fill="FFFFFF"/>
              </w:rPr>
            </w:pPr>
            <w:r w:rsidRPr="009D108C">
              <w:t xml:space="preserve">Враховуючи викладене, АТ «Чернівціобленерго» пропонує встановити чіткий період повернення </w:t>
            </w:r>
            <w:r w:rsidRPr="009D108C">
              <w:lastRenderedPageBreak/>
              <w:t>недоотриманого доходу, що суттєво зменшить дефіцит коштів ОСР.</w:t>
            </w:r>
          </w:p>
        </w:tc>
        <w:tc>
          <w:tcPr>
            <w:tcW w:w="5066" w:type="dxa"/>
            <w:shd w:val="clear" w:color="auto" w:fill="auto"/>
          </w:tcPr>
          <w:p w:rsidR="007F4594" w:rsidRPr="00DA5E65" w:rsidRDefault="007F4594" w:rsidP="007F4594">
            <w:pPr>
              <w:widowControl w:val="0"/>
              <w:suppressAutoHyphens/>
              <w:ind w:firstLine="251"/>
              <w:jc w:val="both"/>
              <w:rPr>
                <w:b/>
                <w:bCs/>
                <w:color w:val="000000"/>
                <w:sz w:val="24"/>
                <w:szCs w:val="24"/>
              </w:rPr>
            </w:pPr>
            <w:r w:rsidRPr="00DA5E65">
              <w:rPr>
                <w:b/>
                <w:bCs/>
                <w:color w:val="000000"/>
                <w:sz w:val="24"/>
                <w:szCs w:val="24"/>
              </w:rPr>
              <w:lastRenderedPageBreak/>
              <w:t>Не враховано</w:t>
            </w:r>
          </w:p>
          <w:p w:rsidR="007F4594" w:rsidRPr="00F85893" w:rsidRDefault="007F4594" w:rsidP="007F4594">
            <w:pPr>
              <w:ind w:left="276"/>
              <w:rPr>
                <w:b/>
                <w:sz w:val="22"/>
                <w:szCs w:val="22"/>
              </w:rPr>
            </w:pPr>
            <w:r w:rsidRPr="00F85893">
              <w:rPr>
                <w:b/>
                <w:sz w:val="22"/>
                <w:szCs w:val="22"/>
              </w:rPr>
              <w:t>Недостатньо обґрунтована позиція</w:t>
            </w:r>
          </w:p>
          <w:p w:rsidR="007F4594" w:rsidRPr="009D3827" w:rsidRDefault="007F4594" w:rsidP="007F4594">
            <w:pPr>
              <w:ind w:left="276"/>
              <w:rPr>
                <w:b/>
                <w:sz w:val="22"/>
                <w:szCs w:val="22"/>
              </w:rPr>
            </w:pPr>
          </w:p>
        </w:tc>
      </w:tr>
      <w:tr w:rsidR="007F4594" w:rsidRPr="009D3827" w:rsidTr="004C0330">
        <w:trPr>
          <w:trHeight w:val="595"/>
        </w:trPr>
        <w:tc>
          <w:tcPr>
            <w:tcW w:w="5065" w:type="dxa"/>
            <w:shd w:val="clear" w:color="auto" w:fill="auto"/>
          </w:tcPr>
          <w:p w:rsidR="007F4594" w:rsidRPr="009D3827" w:rsidRDefault="007F4594" w:rsidP="007F4594">
            <w:pPr>
              <w:ind w:firstLine="240"/>
              <w:jc w:val="both"/>
              <w:rPr>
                <w:i/>
                <w:sz w:val="22"/>
                <w:szCs w:val="22"/>
                <w:shd w:val="clear" w:color="auto" w:fill="FFFFFF"/>
              </w:rPr>
            </w:pPr>
          </w:p>
          <w:p w:rsidR="007F4594" w:rsidRPr="009D3827" w:rsidRDefault="007F4594" w:rsidP="007F4594">
            <w:pPr>
              <w:ind w:firstLine="240"/>
              <w:jc w:val="both"/>
              <w:rPr>
                <w:sz w:val="22"/>
                <w:szCs w:val="22"/>
              </w:rPr>
            </w:pPr>
          </w:p>
          <w:p w:rsidR="007F4594" w:rsidRPr="009D3827" w:rsidRDefault="007F4594" w:rsidP="007F4594">
            <w:pPr>
              <w:ind w:firstLine="308"/>
              <w:jc w:val="both"/>
              <w:rPr>
                <w:sz w:val="22"/>
                <w:szCs w:val="22"/>
                <w:shd w:val="clear" w:color="auto" w:fill="FFFFFF"/>
              </w:rPr>
            </w:pPr>
            <w:r w:rsidRPr="009D3827">
              <w:rPr>
                <w:sz w:val="22"/>
                <w:szCs w:val="22"/>
              </w:rPr>
              <w:t>ЗМІНИ НЕ ПРОПОНУВАЛИСЬ</w:t>
            </w:r>
          </w:p>
        </w:tc>
        <w:tc>
          <w:tcPr>
            <w:tcW w:w="5066" w:type="dxa"/>
            <w:shd w:val="clear" w:color="auto" w:fill="auto"/>
          </w:tcPr>
          <w:p w:rsidR="007F4594" w:rsidRPr="002D0270" w:rsidRDefault="007F4594" w:rsidP="007F4594">
            <w:pPr>
              <w:ind w:firstLine="308"/>
              <w:jc w:val="both"/>
              <w:rPr>
                <w:i/>
                <w:sz w:val="22"/>
                <w:szCs w:val="22"/>
                <w:shd w:val="clear" w:color="auto" w:fill="FFFFFF"/>
              </w:rPr>
            </w:pPr>
            <w:r w:rsidRPr="002D0270">
              <w:rPr>
                <w:i/>
                <w:sz w:val="22"/>
                <w:szCs w:val="22"/>
                <w:shd w:val="clear" w:color="auto" w:fill="FFFFFF"/>
              </w:rPr>
              <w:t>АТ «ДТЕК ДНІПРОВСЬКІ ЕЛЕКТРОМЕРЕЖІ»</w:t>
            </w:r>
          </w:p>
          <w:p w:rsidR="007F4594" w:rsidRPr="002D0270" w:rsidRDefault="007F4594" w:rsidP="007F4594">
            <w:pPr>
              <w:ind w:firstLine="308"/>
              <w:jc w:val="both"/>
              <w:rPr>
                <w:i/>
                <w:sz w:val="22"/>
                <w:szCs w:val="22"/>
                <w:shd w:val="clear" w:color="auto" w:fill="FFFFFF"/>
              </w:rPr>
            </w:pPr>
            <w:r w:rsidRPr="002D0270">
              <w:rPr>
                <w:i/>
                <w:sz w:val="22"/>
                <w:szCs w:val="22"/>
                <w:shd w:val="clear" w:color="auto" w:fill="FFFFFF"/>
              </w:rPr>
              <w:t>АТ «ДТЕК ОДЕСЬКІ ЕЛЕКТРОМЕРЕЖІ»</w:t>
            </w:r>
          </w:p>
          <w:p w:rsidR="007F4594" w:rsidRPr="002D0270" w:rsidRDefault="000252E1" w:rsidP="007F4594">
            <w:pPr>
              <w:ind w:firstLine="308"/>
              <w:jc w:val="both"/>
              <w:rPr>
                <w:sz w:val="22"/>
                <w:szCs w:val="22"/>
                <w:shd w:val="clear" w:color="auto" w:fill="FFFFFF"/>
              </w:rPr>
            </w:pPr>
            <w:hyperlink r:id="rId20" w:tgtFrame="_blank" w:history="1">
              <w:r w:rsidR="007F4594" w:rsidRPr="002D0270">
                <w:rPr>
                  <w:sz w:val="22"/>
                  <w:szCs w:val="22"/>
                  <w:shd w:val="clear" w:color="auto" w:fill="FFFFFF"/>
                </w:rPr>
                <w:t>11.</w:t>
              </w:r>
            </w:hyperlink>
            <w:r w:rsidR="007F4594" w:rsidRPr="002D0270">
              <w:rPr>
                <w:sz w:val="22"/>
                <w:szCs w:val="22"/>
                <w:shd w:val="clear" w:color="auto" w:fill="FFFFFF"/>
              </w:rPr>
              <w:t> Сума необ'єктивного перевищення вартості заходів інвестиційної програми на звітний рік фіксується в акті перевірки та визначається як різниця між фактичною вартістю, що склалась за підсумками виконання інвестиційної програми, та граничним рівнем вартості. Гранична вартість визначається як добуток вартості заходу, передбаченої в інвестиційній програмі, та коефіцієнта 1,10 (10 %).</w:t>
            </w:r>
          </w:p>
          <w:p w:rsidR="007F4594" w:rsidRPr="002D0270" w:rsidRDefault="007F4594" w:rsidP="007F4594">
            <w:pPr>
              <w:ind w:firstLine="308"/>
              <w:jc w:val="both"/>
              <w:rPr>
                <w:sz w:val="22"/>
                <w:szCs w:val="22"/>
                <w:shd w:val="clear" w:color="auto" w:fill="FFFFFF"/>
              </w:rPr>
            </w:pPr>
            <w:r w:rsidRPr="002D0270">
              <w:rPr>
                <w:sz w:val="22"/>
                <w:szCs w:val="22"/>
                <w:shd w:val="clear" w:color="auto" w:fill="FFFFFF"/>
              </w:rPr>
              <w:t xml:space="preserve">Визначена сума необ'єктивного перевищення вартості заходів інвестиційної програми підлягає вилученню зі структури тарифів ліцензіата, починаючи </w:t>
            </w:r>
            <w:r w:rsidRPr="002D0270">
              <w:rPr>
                <w:b/>
                <w:bCs/>
                <w:sz w:val="22"/>
                <w:szCs w:val="22"/>
                <w:shd w:val="clear" w:color="auto" w:fill="FFFFFF"/>
              </w:rPr>
              <w:t>з </w:t>
            </w:r>
            <w:hyperlink r:id="rId21" w:tgtFrame="_blank" w:history="1">
              <w:r w:rsidRPr="002D0270">
                <w:rPr>
                  <w:b/>
                  <w:bCs/>
                  <w:sz w:val="22"/>
                  <w:szCs w:val="22"/>
                  <w:shd w:val="clear" w:color="auto" w:fill="FFFFFF"/>
                </w:rPr>
                <w:t>2026</w:t>
              </w:r>
            </w:hyperlink>
            <w:r w:rsidRPr="002D0270">
              <w:rPr>
                <w:sz w:val="22"/>
                <w:szCs w:val="22"/>
                <w:shd w:val="clear" w:color="auto" w:fill="FFFFFF"/>
              </w:rPr>
              <w:t> року - у п'ятикратному розмірі (за результатами діяльності </w:t>
            </w:r>
            <w:hyperlink r:id="rId22" w:tgtFrame="_blank" w:history="1">
              <w:r w:rsidRPr="002D0270">
                <w:rPr>
                  <w:sz w:val="22"/>
                  <w:szCs w:val="22"/>
                  <w:shd w:val="clear" w:color="auto" w:fill="FFFFFF"/>
                </w:rPr>
                <w:t>2021 -</w:t>
              </w:r>
            </w:hyperlink>
            <w:r w:rsidRPr="002D0270">
              <w:rPr>
                <w:sz w:val="22"/>
                <w:szCs w:val="22"/>
                <w:shd w:val="clear" w:color="auto" w:fill="FFFFFF"/>
              </w:rPr>
              <w:t> </w:t>
            </w:r>
            <w:r w:rsidRPr="002D0270">
              <w:rPr>
                <w:b/>
                <w:bCs/>
                <w:sz w:val="22"/>
                <w:szCs w:val="22"/>
                <w:shd w:val="clear" w:color="auto" w:fill="FFFFFF"/>
              </w:rPr>
              <w:t>2025</w:t>
            </w:r>
            <w:r w:rsidRPr="002D0270">
              <w:rPr>
                <w:sz w:val="22"/>
                <w:szCs w:val="22"/>
                <w:shd w:val="clear" w:color="auto" w:fill="FFFFFF"/>
              </w:rPr>
              <w:t> </w:t>
            </w:r>
            <w:hyperlink r:id="rId23" w:tgtFrame="_blank" w:history="1">
              <w:r w:rsidRPr="002D0270">
                <w:rPr>
                  <w:sz w:val="22"/>
                  <w:szCs w:val="22"/>
                  <w:shd w:val="clear" w:color="auto" w:fill="FFFFFF"/>
                </w:rPr>
                <w:t>років</w:t>
              </w:r>
            </w:hyperlink>
            <w:r w:rsidRPr="002D0270">
              <w:rPr>
                <w:sz w:val="22"/>
                <w:szCs w:val="22"/>
                <w:shd w:val="clear" w:color="auto" w:fill="FFFFFF"/>
              </w:rPr>
              <w:t> </w:t>
            </w:r>
            <w:hyperlink r:id="rId24" w:tgtFrame="_blank" w:history="1">
              <w:r w:rsidRPr="002D0270">
                <w:rPr>
                  <w:sz w:val="22"/>
                  <w:szCs w:val="22"/>
                  <w:shd w:val="clear" w:color="auto" w:fill="FFFFFF"/>
                </w:rPr>
                <w:t>- у двократному розмірі).</w:t>
              </w:r>
            </w:hyperlink>
          </w:p>
          <w:p w:rsidR="007F4594" w:rsidRPr="002D0270" w:rsidRDefault="007F4594" w:rsidP="007F4594">
            <w:pPr>
              <w:ind w:firstLine="308"/>
              <w:jc w:val="both"/>
              <w:rPr>
                <w:i/>
                <w:sz w:val="22"/>
                <w:szCs w:val="22"/>
                <w:shd w:val="clear" w:color="auto" w:fill="FFFFFF"/>
              </w:rPr>
            </w:pPr>
          </w:p>
          <w:p w:rsidR="007F4594" w:rsidRPr="00AF69C2" w:rsidRDefault="007F4594" w:rsidP="007F4594">
            <w:pPr>
              <w:ind w:firstLine="308"/>
              <w:jc w:val="both"/>
              <w:rPr>
                <w:i/>
                <w:sz w:val="22"/>
                <w:szCs w:val="22"/>
                <w:shd w:val="clear" w:color="auto" w:fill="FFFFFF"/>
              </w:rPr>
            </w:pPr>
            <w:r w:rsidRPr="00AF69C2">
              <w:rPr>
                <w:i/>
                <w:sz w:val="22"/>
                <w:szCs w:val="22"/>
                <w:shd w:val="clear" w:color="auto" w:fill="FFFFFF"/>
              </w:rPr>
              <w:t>ОБҐРУНТУВАННЯ:</w:t>
            </w:r>
          </w:p>
          <w:p w:rsidR="007F4594" w:rsidRPr="00AF69C2" w:rsidRDefault="007F4594" w:rsidP="007F4594">
            <w:pPr>
              <w:ind w:firstLine="308"/>
              <w:jc w:val="both"/>
              <w:rPr>
                <w:i/>
                <w:sz w:val="22"/>
                <w:szCs w:val="22"/>
                <w:shd w:val="clear" w:color="auto" w:fill="FFFFFF"/>
              </w:rPr>
            </w:pPr>
            <w:r w:rsidRPr="00AF69C2">
              <w:rPr>
                <w:i/>
                <w:sz w:val="22"/>
                <w:szCs w:val="22"/>
                <w:shd w:val="clear" w:color="auto" w:fill="FFFFFF"/>
              </w:rPr>
              <w:t xml:space="preserve">Враховуючи ведення активних бойових дій, робота підрядних організацій супроводжується ризиками особистій безпеці співробітників організацій, що задіяні в реалізації інвестиційної програми та персоналу ОСР. У зв’язку з цим та інфляційними процесами можуть мати місце підвищення вартості за окремими заходами ІП. Просимо </w:t>
            </w:r>
            <w:proofErr w:type="spellStart"/>
            <w:r w:rsidRPr="00AF69C2">
              <w:rPr>
                <w:i/>
                <w:sz w:val="22"/>
                <w:szCs w:val="22"/>
                <w:shd w:val="clear" w:color="auto" w:fill="FFFFFF"/>
              </w:rPr>
              <w:t>незастосовувати</w:t>
            </w:r>
            <w:proofErr w:type="spellEnd"/>
            <w:r w:rsidRPr="00AF69C2">
              <w:rPr>
                <w:i/>
                <w:sz w:val="22"/>
                <w:szCs w:val="22"/>
                <w:shd w:val="clear" w:color="auto" w:fill="FFFFFF"/>
              </w:rPr>
              <w:t xml:space="preserve"> підхід, який передбачає у разі необ'єктивного перевищення вартості заходів інвестиційної програми 2025 року вилучення зі структури тарифів ліцензіата  п'ятикратного розміру такого перевищення, а перенести вимогу на післявоєнний період.</w:t>
            </w:r>
          </w:p>
          <w:p w:rsidR="007F4594" w:rsidRPr="00AF69C2" w:rsidRDefault="007F4594" w:rsidP="007F4594">
            <w:pPr>
              <w:ind w:firstLine="284"/>
              <w:jc w:val="both"/>
              <w:rPr>
                <w:i/>
                <w:color w:val="000000" w:themeColor="text1"/>
                <w:sz w:val="22"/>
                <w:szCs w:val="22"/>
              </w:rPr>
            </w:pPr>
          </w:p>
          <w:p w:rsidR="007F4594" w:rsidRPr="002D0270" w:rsidRDefault="007F4594" w:rsidP="007F4594">
            <w:pPr>
              <w:ind w:firstLine="308"/>
              <w:jc w:val="both"/>
              <w:rPr>
                <w:i/>
                <w:sz w:val="22"/>
                <w:szCs w:val="22"/>
                <w:shd w:val="clear" w:color="auto" w:fill="FFFFFF"/>
              </w:rPr>
            </w:pPr>
            <w:r w:rsidRPr="002D0270">
              <w:rPr>
                <w:i/>
                <w:sz w:val="22"/>
                <w:szCs w:val="22"/>
                <w:shd w:val="clear" w:color="auto" w:fill="FFFFFF"/>
              </w:rPr>
              <w:t>АТ «ПРИКАРПАТТЯОБЛЕНЕРГО»</w:t>
            </w:r>
          </w:p>
          <w:p w:rsidR="007F4594" w:rsidRPr="002D0270" w:rsidRDefault="007F4594" w:rsidP="007F4594">
            <w:pPr>
              <w:ind w:firstLine="361"/>
              <w:jc w:val="both"/>
              <w:rPr>
                <w:i/>
                <w:sz w:val="22"/>
                <w:szCs w:val="22"/>
                <w:shd w:val="clear" w:color="auto" w:fill="FFFFFF"/>
              </w:rPr>
            </w:pPr>
            <w:r w:rsidRPr="002D0270">
              <w:rPr>
                <w:i/>
                <w:sz w:val="22"/>
                <w:szCs w:val="22"/>
                <w:shd w:val="clear" w:color="auto" w:fill="FFFFFF"/>
              </w:rPr>
              <w:t>ГС «РЕУ»</w:t>
            </w:r>
          </w:p>
          <w:p w:rsidR="007F4594" w:rsidRPr="002D0270" w:rsidRDefault="007F4594" w:rsidP="007F4594">
            <w:pPr>
              <w:ind w:firstLine="308"/>
              <w:jc w:val="both"/>
              <w:rPr>
                <w:sz w:val="22"/>
                <w:szCs w:val="22"/>
                <w:shd w:val="clear" w:color="auto" w:fill="FFFFFF"/>
              </w:rPr>
            </w:pPr>
            <w:r w:rsidRPr="002D0270">
              <w:rPr>
                <w:sz w:val="22"/>
                <w:szCs w:val="22"/>
              </w:rPr>
              <w:t xml:space="preserve">11. </w:t>
            </w:r>
            <w:r w:rsidRPr="002D0270">
              <w:rPr>
                <w:sz w:val="22"/>
                <w:szCs w:val="22"/>
                <w:shd w:val="clear" w:color="auto" w:fill="FFFFFF"/>
              </w:rPr>
              <w:t xml:space="preserve">Сума необ'єктивного перевищення вартості заходів інвестиційної програми на звітний рік </w:t>
            </w:r>
            <w:r w:rsidRPr="002D0270">
              <w:rPr>
                <w:sz w:val="22"/>
                <w:szCs w:val="22"/>
                <w:shd w:val="clear" w:color="auto" w:fill="FFFFFF"/>
              </w:rPr>
              <w:lastRenderedPageBreak/>
              <w:t xml:space="preserve">фіксується в акті перевірки та визначається як різниця між фактичною вартістю, що склалась за підсумками виконання інвестиційної програми, та граничним рівнем вартості. Гранична вартість визначається як добуток вартості заходу, передбаченої в інвестиційній програмі, та коефіцієнта 1,10 (10 %). </w:t>
            </w:r>
          </w:p>
          <w:p w:rsidR="007F4594" w:rsidRPr="002D0270" w:rsidRDefault="007F4594" w:rsidP="007F4594">
            <w:pPr>
              <w:ind w:firstLine="308"/>
              <w:jc w:val="both"/>
              <w:rPr>
                <w:b/>
                <w:sz w:val="22"/>
                <w:szCs w:val="22"/>
              </w:rPr>
            </w:pPr>
            <w:r w:rsidRPr="002D0270">
              <w:rPr>
                <w:b/>
                <w:sz w:val="22"/>
                <w:szCs w:val="22"/>
                <w:shd w:val="clear" w:color="auto" w:fill="FFFFFF"/>
              </w:rPr>
              <w:t>До закінчення воєнного стану визначена сума необ'єктивного</w:t>
            </w:r>
            <w:r w:rsidRPr="002D0270">
              <w:rPr>
                <w:b/>
                <w:sz w:val="22"/>
                <w:szCs w:val="22"/>
              </w:rPr>
              <w:t xml:space="preserve"> перевищення вартості заходів інвестиційної програми підлягає вилученню зі структури тарифів ліцензіата в одинарному розмірі.</w:t>
            </w:r>
          </w:p>
          <w:p w:rsidR="007F4594" w:rsidRPr="002D0270" w:rsidRDefault="007F4594" w:rsidP="007F4594">
            <w:pPr>
              <w:ind w:firstLine="308"/>
              <w:jc w:val="both"/>
              <w:rPr>
                <w:i/>
                <w:sz w:val="22"/>
                <w:szCs w:val="22"/>
                <w:shd w:val="clear" w:color="auto" w:fill="FFFFFF"/>
              </w:rPr>
            </w:pPr>
          </w:p>
          <w:p w:rsidR="007F4594" w:rsidRPr="002D0270" w:rsidRDefault="007F4594" w:rsidP="007F4594">
            <w:pPr>
              <w:ind w:firstLine="308"/>
              <w:jc w:val="both"/>
              <w:rPr>
                <w:i/>
                <w:sz w:val="22"/>
                <w:szCs w:val="22"/>
                <w:shd w:val="clear" w:color="auto" w:fill="FFFFFF"/>
              </w:rPr>
            </w:pPr>
            <w:r>
              <w:rPr>
                <w:i/>
                <w:sz w:val="22"/>
                <w:szCs w:val="22"/>
                <w:shd w:val="clear" w:color="auto" w:fill="FFFFFF"/>
              </w:rPr>
              <w:t>ОБҐРУНТУВАННЯ</w:t>
            </w:r>
            <w:r w:rsidRPr="002D0270">
              <w:rPr>
                <w:i/>
                <w:sz w:val="22"/>
                <w:szCs w:val="22"/>
                <w:shd w:val="clear" w:color="auto" w:fill="FFFFFF"/>
              </w:rPr>
              <w:t xml:space="preserve"> АТ «ПРИКАРПАТТЯОБЛЕНЕРГО»:</w:t>
            </w:r>
          </w:p>
          <w:p w:rsidR="007F4594" w:rsidRPr="002D0270" w:rsidRDefault="007F4594" w:rsidP="007F4594">
            <w:pPr>
              <w:ind w:firstLine="308"/>
              <w:jc w:val="both"/>
              <w:rPr>
                <w:sz w:val="22"/>
                <w:szCs w:val="22"/>
              </w:rPr>
            </w:pPr>
            <w:r w:rsidRPr="002D0270">
              <w:rPr>
                <w:sz w:val="22"/>
                <w:szCs w:val="22"/>
              </w:rPr>
              <w:t>В Україні ситуація не змінилась протягом останніх 4 років - воєнний стан діє і надалі. Жодний ОСР не може вплинути на ситуацію, якщо виникають форс-мажорні обставини, які призводять до перевищення вартості заходів інвестиційної програми більше 10 %.  На сьогодні ОСР балансує в умовах: або не виконувати захід ІП, або необ'єктивне перевищення вартості заходу: і за перше і за друге є санкції. На думку АТ «Прикарпаттяобленерго» доцільно до закінчення воєнного стану вилучати зі структури тарифів ліцензіата тільки визначену суму необ'єктивного перевищення вартості заходів інвестиційної програми, без застосування кратності.</w:t>
            </w:r>
          </w:p>
          <w:p w:rsidR="007F4594" w:rsidRPr="002D0270" w:rsidRDefault="007F4594" w:rsidP="007F4594">
            <w:pPr>
              <w:ind w:firstLine="308"/>
              <w:jc w:val="both"/>
              <w:rPr>
                <w:b/>
                <w:i/>
                <w:sz w:val="22"/>
                <w:szCs w:val="22"/>
                <w:shd w:val="clear" w:color="auto" w:fill="FFFFFF"/>
              </w:rPr>
            </w:pPr>
          </w:p>
          <w:p w:rsidR="007F4594" w:rsidRPr="00AF69C2" w:rsidRDefault="007F4594" w:rsidP="007F4594">
            <w:pPr>
              <w:ind w:firstLine="361"/>
              <w:jc w:val="both"/>
              <w:rPr>
                <w:i/>
                <w:sz w:val="22"/>
                <w:szCs w:val="22"/>
                <w:shd w:val="clear" w:color="auto" w:fill="FFFFFF"/>
              </w:rPr>
            </w:pPr>
            <w:r w:rsidRPr="00AF69C2">
              <w:rPr>
                <w:i/>
                <w:sz w:val="22"/>
                <w:szCs w:val="22"/>
                <w:shd w:val="clear" w:color="auto" w:fill="FFFFFF"/>
              </w:rPr>
              <w:t>ОБҐРУНТУВАННЯ ГС «РЕУ»:</w:t>
            </w:r>
          </w:p>
          <w:p w:rsidR="007F4594" w:rsidRPr="00AF69C2" w:rsidRDefault="007F4594" w:rsidP="007F4594">
            <w:pPr>
              <w:ind w:firstLine="308"/>
              <w:jc w:val="both"/>
              <w:rPr>
                <w:i/>
                <w:sz w:val="22"/>
                <w:szCs w:val="22"/>
              </w:rPr>
            </w:pPr>
            <w:r w:rsidRPr="00AF69C2">
              <w:rPr>
                <w:i/>
                <w:sz w:val="22"/>
                <w:szCs w:val="22"/>
              </w:rPr>
              <w:t>Зміни до цієї норми не пропонувалися Регулятором і є ініціативою членів ГС РЕУ.</w:t>
            </w:r>
          </w:p>
          <w:p w:rsidR="007F4594" w:rsidRPr="00AF69C2" w:rsidRDefault="007F4594" w:rsidP="007F4594">
            <w:pPr>
              <w:ind w:firstLine="308"/>
              <w:jc w:val="both"/>
              <w:rPr>
                <w:i/>
                <w:sz w:val="22"/>
                <w:szCs w:val="22"/>
              </w:rPr>
            </w:pPr>
            <w:r w:rsidRPr="00AF69C2">
              <w:rPr>
                <w:i/>
                <w:sz w:val="22"/>
                <w:szCs w:val="22"/>
              </w:rPr>
              <w:t xml:space="preserve">В Україні протягом останніх чотирьох років ситуація не зазнала змін — воєнний стан продовжує діяти. За таких умов жоден оператор системи розподілу не має можливості впливати на виникнення форс-мажорних обставин, які </w:t>
            </w:r>
            <w:r w:rsidRPr="00AF69C2">
              <w:rPr>
                <w:i/>
                <w:sz w:val="22"/>
                <w:szCs w:val="22"/>
              </w:rPr>
              <w:lastRenderedPageBreak/>
              <w:t>призводять до перевищення вартості заходів інвестиційної програми більш ніж на 10 %.</w:t>
            </w:r>
          </w:p>
          <w:p w:rsidR="007F4594" w:rsidRPr="00AF69C2" w:rsidRDefault="007F4594" w:rsidP="007F4594">
            <w:pPr>
              <w:ind w:firstLine="308"/>
              <w:jc w:val="both"/>
              <w:rPr>
                <w:i/>
                <w:sz w:val="22"/>
                <w:szCs w:val="22"/>
              </w:rPr>
            </w:pPr>
            <w:r w:rsidRPr="00AF69C2">
              <w:rPr>
                <w:i/>
                <w:sz w:val="22"/>
                <w:szCs w:val="22"/>
              </w:rPr>
              <w:t>На практиці ОСР опиняється перед вибором: або не виконувати захід інвестиційної програми, або допустити необ’єктивне перевищення його вартості. І за перше, і за друге передбачені санкції, що створюють для ліцензіатів ситуацію регуляторної пастки.</w:t>
            </w:r>
          </w:p>
          <w:p w:rsidR="007F4594" w:rsidRPr="002D0270" w:rsidRDefault="007F4594" w:rsidP="007F4594">
            <w:pPr>
              <w:ind w:firstLine="308"/>
              <w:jc w:val="both"/>
              <w:rPr>
                <w:b/>
                <w:i/>
                <w:sz w:val="22"/>
                <w:szCs w:val="22"/>
                <w:shd w:val="clear" w:color="auto" w:fill="FFFFFF"/>
              </w:rPr>
            </w:pPr>
            <w:r w:rsidRPr="00AF69C2">
              <w:rPr>
                <w:i/>
                <w:sz w:val="22"/>
                <w:szCs w:val="22"/>
              </w:rPr>
              <w:t>На думку ГС РЕУ, доцільно на період дії воєнного стану вилучати зі структури тарифів ліцензіата лише визначену суму необ’єктивного перевищення вартості заходів інвестиційної програми — без застосування кратності.</w:t>
            </w:r>
          </w:p>
        </w:tc>
        <w:tc>
          <w:tcPr>
            <w:tcW w:w="5066" w:type="dxa"/>
            <w:shd w:val="clear" w:color="auto" w:fill="auto"/>
          </w:tcPr>
          <w:p w:rsidR="007F4594" w:rsidRPr="00A77CAB" w:rsidRDefault="007F4594" w:rsidP="007F4594">
            <w:pPr>
              <w:widowControl w:val="0"/>
              <w:suppressAutoHyphens/>
              <w:ind w:firstLine="251"/>
              <w:jc w:val="both"/>
              <w:rPr>
                <w:b/>
                <w:bCs/>
                <w:sz w:val="24"/>
                <w:szCs w:val="24"/>
              </w:rPr>
            </w:pPr>
            <w:r w:rsidRPr="00A77CAB">
              <w:rPr>
                <w:b/>
                <w:bCs/>
                <w:sz w:val="24"/>
                <w:szCs w:val="24"/>
              </w:rPr>
              <w:lastRenderedPageBreak/>
              <w:t xml:space="preserve">Загальна позиція </w:t>
            </w:r>
          </w:p>
          <w:p w:rsidR="007F4594" w:rsidRPr="00F85893" w:rsidRDefault="007F4594" w:rsidP="007F4594">
            <w:pPr>
              <w:widowControl w:val="0"/>
              <w:suppressAutoHyphens/>
              <w:ind w:firstLine="251"/>
              <w:jc w:val="both"/>
              <w:rPr>
                <w:b/>
                <w:bCs/>
                <w:sz w:val="24"/>
                <w:szCs w:val="24"/>
              </w:rPr>
            </w:pPr>
            <w:r w:rsidRPr="00F85893">
              <w:rPr>
                <w:b/>
                <w:bCs/>
                <w:sz w:val="24"/>
                <w:szCs w:val="24"/>
              </w:rPr>
              <w:t>Не враховано</w:t>
            </w:r>
          </w:p>
          <w:p w:rsidR="007F4594" w:rsidRPr="00F85893" w:rsidRDefault="007F4594" w:rsidP="007F4594">
            <w:pPr>
              <w:ind w:left="276"/>
              <w:rPr>
                <w:b/>
                <w:sz w:val="22"/>
                <w:szCs w:val="22"/>
              </w:rPr>
            </w:pPr>
            <w:r w:rsidRPr="00F85893">
              <w:rPr>
                <w:b/>
                <w:sz w:val="22"/>
                <w:szCs w:val="22"/>
              </w:rPr>
              <w:t>Недостатньо обґрунтована позиція</w:t>
            </w:r>
          </w:p>
          <w:p w:rsidR="007F4594" w:rsidRPr="00A77CAB" w:rsidRDefault="007F4594" w:rsidP="007F4594">
            <w:pPr>
              <w:rPr>
                <w:b/>
                <w:i/>
                <w:sz w:val="22"/>
                <w:szCs w:val="22"/>
              </w:rPr>
            </w:pPr>
          </w:p>
          <w:p w:rsidR="007F4594" w:rsidRPr="009D3827" w:rsidRDefault="007F4594" w:rsidP="007F4594">
            <w:pPr>
              <w:rPr>
                <w:b/>
                <w:sz w:val="22"/>
                <w:szCs w:val="22"/>
              </w:rPr>
            </w:pPr>
          </w:p>
        </w:tc>
      </w:tr>
      <w:tr w:rsidR="007F4594" w:rsidRPr="009D3827" w:rsidTr="004C0330">
        <w:trPr>
          <w:trHeight w:val="595"/>
        </w:trPr>
        <w:tc>
          <w:tcPr>
            <w:tcW w:w="5065" w:type="dxa"/>
            <w:shd w:val="clear" w:color="auto" w:fill="auto"/>
          </w:tcPr>
          <w:p w:rsidR="007F4594" w:rsidRPr="009D3827" w:rsidRDefault="007F4594" w:rsidP="007F4594">
            <w:pPr>
              <w:ind w:firstLine="240"/>
              <w:jc w:val="both"/>
              <w:rPr>
                <w:sz w:val="22"/>
                <w:szCs w:val="22"/>
              </w:rPr>
            </w:pPr>
            <w:r w:rsidRPr="009D3827">
              <w:rPr>
                <w:sz w:val="22"/>
                <w:szCs w:val="22"/>
              </w:rPr>
              <w:lastRenderedPageBreak/>
              <w:t>13. Обсяг фінансування інвестиційної програми на рік, що є наступним за звітним роком, збільшується в такому порядку:</w:t>
            </w:r>
          </w:p>
          <w:p w:rsidR="007F4594" w:rsidRPr="009D3827" w:rsidRDefault="007F4594" w:rsidP="007F4594">
            <w:pPr>
              <w:ind w:firstLine="240"/>
              <w:jc w:val="both"/>
              <w:rPr>
                <w:sz w:val="22"/>
                <w:szCs w:val="22"/>
              </w:rPr>
            </w:pPr>
            <w:r w:rsidRPr="009D3827">
              <w:rPr>
                <w:sz w:val="22"/>
                <w:szCs w:val="22"/>
              </w:rPr>
              <w:t>на 50 % суми додатково отриманого доходу, отриманого у звітному році від надання в оренду/суборенду основних засобів (активів), які належать до основної діяльності ліцензіата</w:t>
            </w:r>
            <w:r w:rsidRPr="009D3827">
              <w:rPr>
                <w:b/>
                <w:sz w:val="22"/>
                <w:szCs w:val="22"/>
              </w:rPr>
              <w:t>, зменшеного на суму фактичних витрат, понесених ліцензіатом у звітному році за рахунок цього доходу, які відповідно до постанови № 386 визнано обґрунтованими</w:t>
            </w:r>
            <w:r w:rsidRPr="009D3827">
              <w:rPr>
                <w:sz w:val="22"/>
                <w:szCs w:val="22"/>
              </w:rPr>
              <w:t>;</w:t>
            </w:r>
          </w:p>
          <w:p w:rsidR="007F4594" w:rsidRPr="009D3827" w:rsidRDefault="007F4594" w:rsidP="007F4594">
            <w:pPr>
              <w:ind w:firstLine="240"/>
              <w:jc w:val="both"/>
              <w:rPr>
                <w:sz w:val="22"/>
                <w:szCs w:val="22"/>
              </w:rPr>
            </w:pPr>
            <w:r w:rsidRPr="009D3827">
              <w:rPr>
                <w:sz w:val="22"/>
                <w:szCs w:val="22"/>
              </w:rPr>
              <w:t>на 50 % суми додатково отриманого доходу, отриманого у звітному році від плати за доступ до елементів інфраструктури об'єктів електроенергетики</w:t>
            </w:r>
            <w:r w:rsidRPr="009D3827">
              <w:rPr>
                <w:b/>
                <w:sz w:val="22"/>
                <w:szCs w:val="22"/>
              </w:rPr>
              <w:t>, зменшеного на суму фактичних витрат, понесених ліцензіатом у звітному році за рахунок цього доходу, які відповідно до постанови № 386 визнано обґрунтованими</w:t>
            </w:r>
            <w:r w:rsidRPr="009D3827">
              <w:rPr>
                <w:sz w:val="22"/>
                <w:szCs w:val="22"/>
              </w:rPr>
              <w:t>;</w:t>
            </w:r>
          </w:p>
          <w:p w:rsidR="007F4594" w:rsidRPr="009D3827" w:rsidRDefault="007F4594" w:rsidP="007F4594">
            <w:pPr>
              <w:ind w:firstLine="240"/>
              <w:jc w:val="both"/>
              <w:rPr>
                <w:sz w:val="22"/>
                <w:szCs w:val="22"/>
              </w:rPr>
            </w:pPr>
            <w:r w:rsidRPr="009D3827">
              <w:rPr>
                <w:sz w:val="22"/>
                <w:szCs w:val="22"/>
              </w:rPr>
              <w:t>на 100 % доходу, отриманого від реалізації товарно-матеріальних цінностей, що були у використанні, у тому числі металобрухту, від діяльності з розподілу електричної енергії</w:t>
            </w:r>
            <w:r w:rsidRPr="009D3827">
              <w:rPr>
                <w:b/>
                <w:sz w:val="22"/>
                <w:szCs w:val="22"/>
              </w:rPr>
              <w:t xml:space="preserve">, зменшеного на суму фактичних витрат, понесених ліцензіатом у звітному році за рахунок </w:t>
            </w:r>
            <w:r w:rsidRPr="009D3827">
              <w:rPr>
                <w:b/>
                <w:sz w:val="22"/>
                <w:szCs w:val="22"/>
              </w:rPr>
              <w:lastRenderedPageBreak/>
              <w:t>цього доходу, які відповідно до постанови № 386 визнано обґрунтованими</w:t>
            </w:r>
            <w:r w:rsidRPr="009D3827">
              <w:rPr>
                <w:sz w:val="22"/>
                <w:szCs w:val="22"/>
              </w:rPr>
              <w:t>;</w:t>
            </w:r>
          </w:p>
          <w:p w:rsidR="007F4594" w:rsidRPr="009D3827" w:rsidRDefault="007F4594" w:rsidP="007F4594">
            <w:pPr>
              <w:ind w:firstLine="308"/>
              <w:jc w:val="both"/>
              <w:rPr>
                <w:sz w:val="22"/>
                <w:szCs w:val="22"/>
              </w:rPr>
            </w:pPr>
            <w:r w:rsidRPr="009D3827">
              <w:rPr>
                <w:sz w:val="22"/>
                <w:szCs w:val="22"/>
              </w:rPr>
              <w:t>на 50 % від негативної (від'ємної) суми дельти за статтею "прибуток на регуляторну базу активів, яка створена на дату переходу до стимулюючого регулювання" (</w:t>
            </w:r>
            <w:proofErr w:type="spellStart"/>
            <w:r w:rsidRPr="009D3827">
              <w:rPr>
                <w:sz w:val="22"/>
                <w:szCs w:val="22"/>
                <w:vertAlign w:val="subscript"/>
              </w:rPr>
              <w:t>D</w:t>
            </w:r>
            <w:r w:rsidRPr="009D3827">
              <w:rPr>
                <w:sz w:val="22"/>
                <w:szCs w:val="22"/>
              </w:rPr>
              <w:t>П</w:t>
            </w:r>
            <w:r w:rsidRPr="009D3827">
              <w:rPr>
                <w:sz w:val="22"/>
                <w:szCs w:val="22"/>
                <w:vertAlign w:val="subscript"/>
              </w:rPr>
              <w:t>ст</w:t>
            </w:r>
            <w:proofErr w:type="spellEnd"/>
            <w:r w:rsidRPr="009D3827">
              <w:rPr>
                <w:sz w:val="22"/>
                <w:szCs w:val="22"/>
              </w:rPr>
              <w:t>).</w:t>
            </w:r>
          </w:p>
          <w:p w:rsidR="007F4594" w:rsidRPr="009D3827" w:rsidRDefault="007F4594" w:rsidP="007F4594">
            <w:pPr>
              <w:ind w:firstLine="308"/>
              <w:jc w:val="both"/>
              <w:rPr>
                <w:sz w:val="22"/>
                <w:szCs w:val="22"/>
                <w:shd w:val="clear" w:color="auto" w:fill="FFFFFF"/>
              </w:rPr>
            </w:pPr>
            <w:r w:rsidRPr="009D3827">
              <w:rPr>
                <w:b/>
                <w:sz w:val="22"/>
                <w:szCs w:val="22"/>
                <w:shd w:val="clear" w:color="auto" w:fill="FFFFFF"/>
              </w:rPr>
              <w:t>на 100 % прибутку від надання послуг комерційного обліку електричної енергії, зменшеного на суму виконання заходів інвестиційної програми на звітній період за рахунок відповідного джерела фінансування та на суму фактичних витрат, понесених ліцензіатом у звітному році за рахунок цього прибутку, які відповідно до постанови № 386 визнано обґрунтованими.</w:t>
            </w:r>
          </w:p>
        </w:tc>
        <w:tc>
          <w:tcPr>
            <w:tcW w:w="5066" w:type="dxa"/>
            <w:shd w:val="clear" w:color="auto" w:fill="auto"/>
          </w:tcPr>
          <w:p w:rsidR="007F4594" w:rsidRPr="009D3827" w:rsidRDefault="007F4594" w:rsidP="007F4594">
            <w:pPr>
              <w:ind w:firstLine="308"/>
              <w:jc w:val="both"/>
              <w:rPr>
                <w:i/>
                <w:sz w:val="22"/>
                <w:szCs w:val="22"/>
                <w:shd w:val="clear" w:color="auto" w:fill="FFFFFF"/>
              </w:rPr>
            </w:pPr>
            <w:r w:rsidRPr="009D3827">
              <w:rPr>
                <w:i/>
                <w:sz w:val="22"/>
                <w:szCs w:val="22"/>
                <w:shd w:val="clear" w:color="auto" w:fill="FFFFFF"/>
              </w:rPr>
              <w:lastRenderedPageBreak/>
              <w:t>АТ «ДТЕК ДНІПРОВСЬКІ ЕЛЕКТРОМЕРЕЖІ»</w:t>
            </w:r>
          </w:p>
          <w:p w:rsidR="007F4594" w:rsidRPr="009D3827" w:rsidRDefault="007F4594" w:rsidP="007F4594">
            <w:pPr>
              <w:ind w:firstLine="308"/>
              <w:jc w:val="both"/>
              <w:rPr>
                <w:i/>
                <w:sz w:val="22"/>
                <w:szCs w:val="22"/>
                <w:shd w:val="clear" w:color="auto" w:fill="FFFFFF"/>
              </w:rPr>
            </w:pPr>
            <w:r w:rsidRPr="009D3827">
              <w:rPr>
                <w:i/>
                <w:sz w:val="22"/>
                <w:szCs w:val="22"/>
                <w:shd w:val="clear" w:color="auto" w:fill="FFFFFF"/>
              </w:rPr>
              <w:t>АТ «ДТЕК ОДЕСЬКІ ЕЛЕКТРОМЕРЕЖІ»</w:t>
            </w: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240"/>
              <w:jc w:val="both"/>
              <w:rPr>
                <w:b/>
                <w:sz w:val="22"/>
                <w:szCs w:val="22"/>
                <w:highlight w:val="magenta"/>
                <w:shd w:val="clear" w:color="auto" w:fill="FFFFFF"/>
              </w:rPr>
            </w:pPr>
            <w:r w:rsidRPr="009D3827">
              <w:rPr>
                <w:b/>
                <w:sz w:val="22"/>
                <w:szCs w:val="22"/>
                <w:shd w:val="clear" w:color="auto" w:fill="FFFFFF"/>
              </w:rPr>
              <w:t xml:space="preserve">на 100 % прибутку від надання послуг комерційного обліку електричної енергії, </w:t>
            </w:r>
            <w:r w:rsidRPr="00AF69C2">
              <w:rPr>
                <w:b/>
                <w:sz w:val="22"/>
                <w:szCs w:val="22"/>
                <w:u w:val="single"/>
                <w:shd w:val="clear" w:color="auto" w:fill="FFFFFF"/>
              </w:rPr>
              <w:t>зменшеного на суму податку на прибуток від надання послуг комерційного обліку електричної енергії</w:t>
            </w:r>
            <w:r w:rsidRPr="009D3827">
              <w:rPr>
                <w:b/>
                <w:sz w:val="22"/>
                <w:szCs w:val="22"/>
                <w:shd w:val="clear" w:color="auto" w:fill="FFFFFF"/>
              </w:rPr>
              <w:t xml:space="preserve"> та на суму виконання заходів інвестиційної програми на звітній період за рахунок відповідного джерела фінансування та на суму фактичних витрат, понесених ліцензіатом у звітному році за рахунок цього прибутку, які відповідно до постанови № 386 визнано обґрунтованими.</w:t>
            </w:r>
          </w:p>
          <w:p w:rsidR="007F4594" w:rsidRPr="009D3827" w:rsidRDefault="007F4594" w:rsidP="007F4594">
            <w:pPr>
              <w:ind w:firstLine="308"/>
              <w:jc w:val="both"/>
              <w:rPr>
                <w:i/>
                <w:sz w:val="22"/>
                <w:szCs w:val="22"/>
                <w:shd w:val="clear" w:color="auto" w:fill="FFFFFF"/>
              </w:rPr>
            </w:pPr>
          </w:p>
          <w:p w:rsidR="007F4594" w:rsidRPr="00AF69C2" w:rsidRDefault="007F4594" w:rsidP="007F4594">
            <w:pPr>
              <w:ind w:firstLine="308"/>
              <w:jc w:val="both"/>
              <w:rPr>
                <w:i/>
                <w:sz w:val="22"/>
                <w:szCs w:val="22"/>
                <w:shd w:val="clear" w:color="auto" w:fill="FFFFFF"/>
              </w:rPr>
            </w:pPr>
            <w:r w:rsidRPr="00AF69C2">
              <w:rPr>
                <w:i/>
                <w:sz w:val="22"/>
                <w:szCs w:val="22"/>
                <w:shd w:val="clear" w:color="auto" w:fill="FFFFFF"/>
              </w:rPr>
              <w:t>ОБҐРУНТУВАННЯ:</w:t>
            </w:r>
          </w:p>
          <w:p w:rsidR="007F4594" w:rsidRPr="00AF69C2" w:rsidRDefault="007F4594" w:rsidP="007F4594">
            <w:pPr>
              <w:ind w:firstLine="308"/>
              <w:jc w:val="both"/>
              <w:rPr>
                <w:i/>
                <w:sz w:val="22"/>
                <w:szCs w:val="22"/>
              </w:rPr>
            </w:pPr>
            <w:r w:rsidRPr="00AF69C2">
              <w:rPr>
                <w:i/>
                <w:sz w:val="22"/>
                <w:szCs w:val="22"/>
              </w:rPr>
              <w:t>Пропонуємо врахувати, що ОСР сплачує податок на прибуток в розмірі 18%. А при розрахунку дельти за статтею "податок на прибуток" враховується сума фактично сплаченого податку на прибуток у звітному році в частині здійснення ліцензованої діяльності з розподілу електричної енергії, який обраховується як добуток між обсягом сплаченого податку на прибуток у звітному році відповідно до платіжних доручень та співвідношенням між фактичними операційними витратами на розподіл електричної енергії та сумарними операційними витратами за даними форми звітності N 2-НКРЕКП-розподіл електричної енергії.</w:t>
            </w: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r w:rsidRPr="009D3827">
              <w:rPr>
                <w:i/>
                <w:sz w:val="22"/>
                <w:szCs w:val="22"/>
                <w:shd w:val="clear" w:color="auto" w:fill="FFFFFF"/>
              </w:rPr>
              <w:t>ПРАТ «ЛЬВІВОБЛЕНЕРГО»</w:t>
            </w:r>
          </w:p>
          <w:p w:rsidR="007F4594" w:rsidRPr="009D3827" w:rsidRDefault="007F4594" w:rsidP="007F4594">
            <w:pPr>
              <w:spacing w:after="75"/>
              <w:ind w:firstLine="240"/>
              <w:jc w:val="both"/>
              <w:rPr>
                <w:color w:val="000000" w:themeColor="text1"/>
                <w:sz w:val="22"/>
                <w:szCs w:val="22"/>
              </w:rPr>
            </w:pPr>
            <w:r w:rsidRPr="009D3827">
              <w:rPr>
                <w:color w:val="000000" w:themeColor="text1"/>
                <w:sz w:val="22"/>
                <w:szCs w:val="22"/>
              </w:rPr>
              <w:t>13. Обсяг фінансування інвестиційної програми на рік, що є наступним за звітним роком, збільшується в такому порядку:</w:t>
            </w:r>
          </w:p>
          <w:p w:rsidR="007F4594" w:rsidRPr="009D3827" w:rsidRDefault="007F4594" w:rsidP="007F4594">
            <w:pPr>
              <w:spacing w:after="75"/>
              <w:ind w:firstLine="240"/>
              <w:jc w:val="both"/>
              <w:rPr>
                <w:color w:val="000000" w:themeColor="text1"/>
                <w:sz w:val="22"/>
                <w:szCs w:val="22"/>
              </w:rPr>
            </w:pPr>
            <w:r w:rsidRPr="009D3827">
              <w:rPr>
                <w:color w:val="000000" w:themeColor="text1"/>
                <w:sz w:val="22"/>
                <w:szCs w:val="22"/>
              </w:rPr>
              <w:lastRenderedPageBreak/>
              <w:t>на 50 % суми додатково отриманого доходу, отриманого у звітному році від надання в оренду/суборенду основних засобів (активів), які належать до основної діяльності ліцензіата</w:t>
            </w:r>
            <w:r w:rsidRPr="009D3827">
              <w:rPr>
                <w:b/>
                <w:color w:val="000000" w:themeColor="text1"/>
                <w:sz w:val="22"/>
                <w:szCs w:val="22"/>
              </w:rPr>
              <w:t xml:space="preserve">, зменшеного на </w:t>
            </w:r>
            <w:r w:rsidRPr="009D3827">
              <w:rPr>
                <w:b/>
                <w:i/>
                <w:color w:val="000000" w:themeColor="text1"/>
                <w:sz w:val="22"/>
                <w:szCs w:val="22"/>
                <w:u w:val="single"/>
              </w:rPr>
              <w:t>суму податку на прибуток та</w:t>
            </w:r>
            <w:r w:rsidRPr="009D3827">
              <w:rPr>
                <w:b/>
                <w:color w:val="000000" w:themeColor="text1"/>
                <w:sz w:val="22"/>
                <w:szCs w:val="22"/>
              </w:rPr>
              <w:t xml:space="preserve"> суму фактичних витрат, понесених ліцензіатом у звітному році за рахунок цього доходу, які відповідно до постанови № 386 визнано обґрунтованими</w:t>
            </w:r>
            <w:r w:rsidRPr="009D3827">
              <w:rPr>
                <w:color w:val="000000" w:themeColor="text1"/>
                <w:sz w:val="22"/>
                <w:szCs w:val="22"/>
              </w:rPr>
              <w:t>;</w:t>
            </w:r>
          </w:p>
          <w:p w:rsidR="007F4594" w:rsidRPr="009D3827" w:rsidRDefault="007F4594" w:rsidP="007F4594">
            <w:pPr>
              <w:spacing w:after="75"/>
              <w:ind w:firstLine="240"/>
              <w:jc w:val="both"/>
              <w:rPr>
                <w:color w:val="000000" w:themeColor="text1"/>
                <w:sz w:val="22"/>
                <w:szCs w:val="22"/>
              </w:rPr>
            </w:pPr>
            <w:r w:rsidRPr="009D3827">
              <w:rPr>
                <w:color w:val="000000" w:themeColor="text1"/>
                <w:sz w:val="22"/>
                <w:szCs w:val="22"/>
              </w:rPr>
              <w:t>на 50 % суми додатково отриманого доходу, отриманого у звітному році від плати за доступ до елементів інфраструктури об'єктів електроенергетики</w:t>
            </w:r>
            <w:r w:rsidRPr="009D3827">
              <w:rPr>
                <w:b/>
                <w:color w:val="000000" w:themeColor="text1"/>
                <w:sz w:val="22"/>
                <w:szCs w:val="22"/>
              </w:rPr>
              <w:t xml:space="preserve">, зменшеного на </w:t>
            </w:r>
            <w:r w:rsidRPr="009D3827">
              <w:rPr>
                <w:b/>
                <w:i/>
                <w:color w:val="000000" w:themeColor="text1"/>
                <w:sz w:val="22"/>
                <w:szCs w:val="22"/>
                <w:u w:val="single"/>
              </w:rPr>
              <w:t>суму податку на прибуток та</w:t>
            </w:r>
            <w:r w:rsidRPr="009D3827">
              <w:rPr>
                <w:b/>
                <w:color w:val="000000" w:themeColor="text1"/>
                <w:sz w:val="22"/>
                <w:szCs w:val="22"/>
              </w:rPr>
              <w:t xml:space="preserve"> суму фактичних витрат, понесених ліцензіатом у звітному році за рахунок цього доходу, які відповідно до постанови № 386 визнано обґрунтованими</w:t>
            </w:r>
            <w:r w:rsidRPr="009D3827">
              <w:rPr>
                <w:color w:val="000000" w:themeColor="text1"/>
                <w:sz w:val="22"/>
                <w:szCs w:val="22"/>
              </w:rPr>
              <w:t>;</w:t>
            </w:r>
          </w:p>
          <w:p w:rsidR="007F4594" w:rsidRPr="009D3827" w:rsidRDefault="007F4594" w:rsidP="007F4594">
            <w:pPr>
              <w:spacing w:after="75"/>
              <w:ind w:firstLine="240"/>
              <w:jc w:val="both"/>
              <w:rPr>
                <w:color w:val="000000" w:themeColor="text1"/>
                <w:sz w:val="22"/>
                <w:szCs w:val="22"/>
              </w:rPr>
            </w:pPr>
            <w:r w:rsidRPr="009D3827">
              <w:rPr>
                <w:color w:val="000000" w:themeColor="text1"/>
                <w:sz w:val="22"/>
                <w:szCs w:val="22"/>
              </w:rPr>
              <w:t>на 100 % доходу, отриманого від реалізації товарно-матеріальних цінностей, що були у використанні, у тому числі металобрухту, від діяльності з розподілу електричної енергії</w:t>
            </w:r>
            <w:r w:rsidRPr="009D3827">
              <w:rPr>
                <w:b/>
                <w:color w:val="000000" w:themeColor="text1"/>
                <w:sz w:val="22"/>
                <w:szCs w:val="22"/>
              </w:rPr>
              <w:t xml:space="preserve">, зменшеного на </w:t>
            </w:r>
            <w:r w:rsidRPr="009D3827">
              <w:rPr>
                <w:b/>
                <w:i/>
                <w:color w:val="000000" w:themeColor="text1"/>
                <w:sz w:val="22"/>
                <w:szCs w:val="22"/>
                <w:u w:val="single"/>
              </w:rPr>
              <w:t>суму податку на прибуток та</w:t>
            </w:r>
            <w:r w:rsidRPr="009D3827">
              <w:rPr>
                <w:b/>
                <w:color w:val="000000" w:themeColor="text1"/>
                <w:sz w:val="22"/>
                <w:szCs w:val="22"/>
              </w:rPr>
              <w:t xml:space="preserve"> суму фактичних витрат, понесених ліцензіатом у звітному році за рахунок цього доходу, які відповідно до постанови № 386 визнано обґрунтованими</w:t>
            </w:r>
            <w:r w:rsidRPr="009D3827">
              <w:rPr>
                <w:color w:val="000000" w:themeColor="text1"/>
                <w:sz w:val="22"/>
                <w:szCs w:val="22"/>
              </w:rPr>
              <w:t>;</w:t>
            </w:r>
          </w:p>
          <w:p w:rsidR="007F4594" w:rsidRPr="009D3827" w:rsidRDefault="007F4594" w:rsidP="007F4594">
            <w:pPr>
              <w:ind w:firstLine="308"/>
              <w:jc w:val="both"/>
              <w:rPr>
                <w:color w:val="000000" w:themeColor="text1"/>
                <w:sz w:val="22"/>
                <w:szCs w:val="22"/>
              </w:rPr>
            </w:pPr>
            <w:r w:rsidRPr="009D3827">
              <w:rPr>
                <w:color w:val="000000" w:themeColor="text1"/>
                <w:sz w:val="22"/>
                <w:szCs w:val="22"/>
              </w:rPr>
              <w:t>на 50 % від негативної (від'ємної) суми дельти за статтею "прибуток на регуляторну базу активів, яка створена на дату переходу до стимулюючого регулювання" (</w:t>
            </w:r>
            <w:proofErr w:type="spellStart"/>
            <w:r w:rsidRPr="009D3827">
              <w:rPr>
                <w:color w:val="000000" w:themeColor="text1"/>
                <w:sz w:val="22"/>
                <w:szCs w:val="22"/>
                <w:vertAlign w:val="subscript"/>
              </w:rPr>
              <w:t>D</w:t>
            </w:r>
            <w:r w:rsidRPr="009D3827">
              <w:rPr>
                <w:color w:val="000000" w:themeColor="text1"/>
                <w:sz w:val="22"/>
                <w:szCs w:val="22"/>
              </w:rPr>
              <w:t>П</w:t>
            </w:r>
            <w:r w:rsidRPr="009D3827">
              <w:rPr>
                <w:color w:val="000000" w:themeColor="text1"/>
                <w:sz w:val="22"/>
                <w:szCs w:val="22"/>
                <w:vertAlign w:val="subscript"/>
              </w:rPr>
              <w:t>ст</w:t>
            </w:r>
            <w:proofErr w:type="spellEnd"/>
            <w:r w:rsidRPr="009D3827">
              <w:rPr>
                <w:color w:val="000000" w:themeColor="text1"/>
                <w:sz w:val="22"/>
                <w:szCs w:val="22"/>
              </w:rPr>
              <w:t>).</w:t>
            </w:r>
          </w:p>
          <w:p w:rsidR="007F4594" w:rsidRPr="009D3827" w:rsidRDefault="007F4594" w:rsidP="007F4594">
            <w:pPr>
              <w:ind w:firstLine="308"/>
              <w:jc w:val="both"/>
              <w:rPr>
                <w:b/>
                <w:color w:val="000000" w:themeColor="text1"/>
                <w:sz w:val="22"/>
                <w:szCs w:val="22"/>
                <w:shd w:val="clear" w:color="auto" w:fill="FFFFFF"/>
              </w:rPr>
            </w:pPr>
            <w:r w:rsidRPr="009D3827">
              <w:rPr>
                <w:b/>
                <w:color w:val="000000" w:themeColor="text1"/>
                <w:sz w:val="22"/>
                <w:szCs w:val="22"/>
                <w:shd w:val="clear" w:color="auto" w:fill="FFFFFF"/>
              </w:rPr>
              <w:t xml:space="preserve">на 100% прибутку від надання послуг комерційного обліку електричної енергії, зменшеного </w:t>
            </w:r>
            <w:r w:rsidRPr="009D3827">
              <w:rPr>
                <w:b/>
                <w:color w:val="000000" w:themeColor="text1"/>
                <w:sz w:val="22"/>
                <w:szCs w:val="22"/>
              </w:rPr>
              <w:t xml:space="preserve">на </w:t>
            </w:r>
            <w:r w:rsidRPr="009D3827">
              <w:rPr>
                <w:b/>
                <w:i/>
                <w:color w:val="000000" w:themeColor="text1"/>
                <w:sz w:val="22"/>
                <w:szCs w:val="22"/>
                <w:u w:val="single"/>
              </w:rPr>
              <w:t>суму податку на прибуток,</w:t>
            </w:r>
            <w:r w:rsidRPr="009D3827">
              <w:rPr>
                <w:b/>
                <w:color w:val="000000" w:themeColor="text1"/>
                <w:sz w:val="22"/>
                <w:szCs w:val="22"/>
              </w:rPr>
              <w:t xml:space="preserve">  </w:t>
            </w:r>
            <w:r w:rsidRPr="009D3827">
              <w:rPr>
                <w:b/>
                <w:color w:val="000000" w:themeColor="text1"/>
                <w:sz w:val="22"/>
                <w:szCs w:val="22"/>
                <w:shd w:val="clear" w:color="auto" w:fill="FFFFFF"/>
              </w:rPr>
              <w:t xml:space="preserve">суму виконання заходів інвестиційної програми на звітній період за рахунок відповідного джерела фінансування та на суму фактичних витрат, понесених ліцензіатом у звітному році за рахунок </w:t>
            </w:r>
            <w:r w:rsidRPr="009D3827">
              <w:rPr>
                <w:b/>
                <w:color w:val="000000" w:themeColor="text1"/>
                <w:sz w:val="22"/>
                <w:szCs w:val="22"/>
                <w:shd w:val="clear" w:color="auto" w:fill="FFFFFF"/>
              </w:rPr>
              <w:lastRenderedPageBreak/>
              <w:t>цього прибутку, які відповідно до постанови № 386 визнано обґрунтованими.</w:t>
            </w:r>
          </w:p>
          <w:p w:rsidR="007F4594" w:rsidRPr="00B921C1" w:rsidRDefault="007F4594" w:rsidP="007F4594">
            <w:pPr>
              <w:ind w:firstLine="308"/>
              <w:jc w:val="both"/>
              <w:rPr>
                <w:i/>
                <w:sz w:val="22"/>
                <w:szCs w:val="22"/>
                <w:shd w:val="clear" w:color="auto" w:fill="FFFFFF"/>
              </w:rPr>
            </w:pPr>
          </w:p>
          <w:p w:rsidR="007F4594" w:rsidRPr="00B921C1" w:rsidRDefault="007F4594" w:rsidP="007F4594">
            <w:pPr>
              <w:ind w:firstLine="308"/>
              <w:jc w:val="both"/>
              <w:rPr>
                <w:i/>
                <w:sz w:val="22"/>
                <w:szCs w:val="22"/>
                <w:shd w:val="clear" w:color="auto" w:fill="FFFFFF"/>
              </w:rPr>
            </w:pPr>
            <w:r w:rsidRPr="00B921C1">
              <w:rPr>
                <w:i/>
                <w:sz w:val="22"/>
                <w:szCs w:val="22"/>
                <w:shd w:val="clear" w:color="auto" w:fill="FFFFFF"/>
              </w:rPr>
              <w:t>ОБҐРУНТУВАННЯ:</w:t>
            </w:r>
          </w:p>
          <w:p w:rsidR="007F4594" w:rsidRPr="00B921C1" w:rsidRDefault="007F4594" w:rsidP="007F4594">
            <w:pPr>
              <w:ind w:firstLine="426"/>
              <w:jc w:val="both"/>
              <w:textAlignment w:val="baseline"/>
              <w:rPr>
                <w:i/>
                <w:color w:val="000000" w:themeColor="text1"/>
                <w:sz w:val="22"/>
                <w:szCs w:val="22"/>
                <w:bdr w:val="none" w:sz="0" w:space="0" w:color="auto" w:frame="1"/>
                <w:lang w:eastAsia="uk-UA"/>
              </w:rPr>
            </w:pPr>
            <w:r w:rsidRPr="00B921C1">
              <w:rPr>
                <w:i/>
                <w:color w:val="000000" w:themeColor="text1"/>
                <w:sz w:val="22"/>
                <w:szCs w:val="22"/>
                <w:bdr w:val="none" w:sz="0" w:space="0" w:color="auto" w:frame="1"/>
                <w:lang w:eastAsia="uk-UA"/>
              </w:rPr>
              <w:t xml:space="preserve">Для включення додаткових доходів, зазначених в п.13, до джерел фінансування інвестиційної програми Товариство пропонує аналогічно до підходу формування джерела фінансування «Реактивна енергія» враховувати суми зазначених додаткових доходів, зменшені на відповідні суми податку на прибуток. </w:t>
            </w:r>
          </w:p>
          <w:p w:rsidR="007F4594" w:rsidRPr="00B921C1" w:rsidRDefault="007F4594" w:rsidP="007F4594">
            <w:pPr>
              <w:ind w:firstLine="426"/>
              <w:jc w:val="both"/>
              <w:textAlignment w:val="baseline"/>
              <w:rPr>
                <w:i/>
                <w:color w:val="000000" w:themeColor="text1"/>
                <w:sz w:val="22"/>
                <w:szCs w:val="22"/>
                <w:bdr w:val="none" w:sz="0" w:space="0" w:color="auto" w:frame="1"/>
                <w:lang w:eastAsia="uk-UA"/>
              </w:rPr>
            </w:pPr>
          </w:p>
          <w:p w:rsidR="007F4594" w:rsidRPr="00B921C1" w:rsidRDefault="007F4594" w:rsidP="007F4594">
            <w:pPr>
              <w:ind w:firstLine="308"/>
              <w:jc w:val="both"/>
              <w:rPr>
                <w:i/>
                <w:color w:val="000000" w:themeColor="text1"/>
                <w:sz w:val="22"/>
                <w:szCs w:val="22"/>
              </w:rPr>
            </w:pPr>
            <w:r w:rsidRPr="00B921C1">
              <w:rPr>
                <w:i/>
                <w:color w:val="000000" w:themeColor="text1"/>
                <w:sz w:val="22"/>
                <w:szCs w:val="22"/>
                <w:bdr w:val="none" w:sz="0" w:space="0" w:color="auto" w:frame="1"/>
                <w:lang w:eastAsia="uk-UA"/>
              </w:rPr>
              <w:t>Для абзацу 5 пункту 13 зауваження не застосовувати.</w:t>
            </w:r>
          </w:p>
          <w:p w:rsidR="007F4594" w:rsidRDefault="007F4594" w:rsidP="007F4594">
            <w:pPr>
              <w:ind w:firstLine="284"/>
              <w:jc w:val="both"/>
              <w:rPr>
                <w:color w:val="000000" w:themeColor="text1"/>
                <w:sz w:val="22"/>
                <w:szCs w:val="22"/>
              </w:rPr>
            </w:pPr>
          </w:p>
          <w:p w:rsidR="007F4594" w:rsidRDefault="007F4594" w:rsidP="007F4594">
            <w:pPr>
              <w:ind w:firstLine="284"/>
              <w:jc w:val="both"/>
              <w:rPr>
                <w:color w:val="000000" w:themeColor="text1"/>
                <w:sz w:val="22"/>
                <w:szCs w:val="22"/>
              </w:rPr>
            </w:pPr>
          </w:p>
          <w:p w:rsidR="007F4594" w:rsidRPr="007C7AED" w:rsidRDefault="007F4594" w:rsidP="007F4594">
            <w:pPr>
              <w:ind w:firstLine="308"/>
              <w:jc w:val="both"/>
              <w:rPr>
                <w:i/>
                <w:sz w:val="22"/>
                <w:szCs w:val="22"/>
                <w:shd w:val="clear" w:color="auto" w:fill="FFFFFF"/>
              </w:rPr>
            </w:pPr>
            <w:r w:rsidRPr="007C7AED">
              <w:rPr>
                <w:i/>
                <w:sz w:val="22"/>
                <w:szCs w:val="22"/>
                <w:shd w:val="clear" w:color="auto" w:fill="FFFFFF"/>
              </w:rPr>
              <w:t>АТ «ПРИКАРПАТТЯОБЛЕНЕРГО»</w:t>
            </w:r>
          </w:p>
          <w:p w:rsidR="007F4594" w:rsidRPr="00682AFD" w:rsidRDefault="007F4594" w:rsidP="007F4594">
            <w:pPr>
              <w:ind w:firstLine="308"/>
              <w:jc w:val="both"/>
              <w:rPr>
                <w:sz w:val="22"/>
                <w:szCs w:val="22"/>
                <w:shd w:val="clear" w:color="auto" w:fill="FFFFFF"/>
              </w:rPr>
            </w:pPr>
            <w:r w:rsidRPr="00682AFD">
              <w:rPr>
                <w:sz w:val="22"/>
                <w:szCs w:val="22"/>
                <w:shd w:val="clear" w:color="auto" w:fill="FFFFFF"/>
              </w:rPr>
              <w:t>&lt;…&gt;</w:t>
            </w:r>
          </w:p>
          <w:p w:rsidR="007F4594" w:rsidRPr="00682AFD" w:rsidRDefault="007F4594" w:rsidP="007F4594">
            <w:pPr>
              <w:ind w:firstLine="308"/>
              <w:jc w:val="both"/>
              <w:rPr>
                <w:b/>
                <w:sz w:val="22"/>
                <w:szCs w:val="22"/>
                <w:shd w:val="clear" w:color="auto" w:fill="FFFFFF"/>
              </w:rPr>
            </w:pPr>
            <w:r w:rsidRPr="00682AFD">
              <w:rPr>
                <w:b/>
                <w:sz w:val="22"/>
                <w:szCs w:val="22"/>
                <w:shd w:val="clear" w:color="auto" w:fill="FFFFFF"/>
              </w:rPr>
              <w:t xml:space="preserve">на 100 % прибутку від надання послуг комерційного обліку електричної енергії, зменшеного </w:t>
            </w:r>
            <w:r w:rsidRPr="00F85893">
              <w:rPr>
                <w:b/>
                <w:sz w:val="22"/>
                <w:szCs w:val="22"/>
                <w:u w:val="single"/>
                <w:shd w:val="clear" w:color="auto" w:fill="FFFFFF"/>
              </w:rPr>
              <w:t>на суму податку на прибуток від надання послуг комерційного обліку електричної енергії,</w:t>
            </w:r>
            <w:r w:rsidRPr="00F85893">
              <w:rPr>
                <w:b/>
                <w:color w:val="FF0000"/>
                <w:sz w:val="22"/>
                <w:szCs w:val="22"/>
                <w:u w:val="single"/>
                <w:shd w:val="clear" w:color="auto" w:fill="FFFFFF"/>
              </w:rPr>
              <w:t xml:space="preserve"> </w:t>
            </w:r>
            <w:r w:rsidRPr="00F85893">
              <w:rPr>
                <w:b/>
                <w:sz w:val="22"/>
                <w:szCs w:val="22"/>
                <w:u w:val="single"/>
                <w:shd w:val="clear" w:color="auto" w:fill="FFFFFF"/>
              </w:rPr>
              <w:t>на</w:t>
            </w:r>
            <w:r w:rsidRPr="00682AFD">
              <w:rPr>
                <w:b/>
                <w:sz w:val="22"/>
                <w:szCs w:val="22"/>
                <w:shd w:val="clear" w:color="auto" w:fill="FFFFFF"/>
              </w:rPr>
              <w:t xml:space="preserve"> суму виконання заходів інвестиційної програми на звітній період за рахунок відповідного джерела фінансування та на суму фактичних витрат, понесених ліцензіатом у звітному році за рахунок цього прибутку, які відповідно до постанови № 386 визнано обґрунтованими.</w:t>
            </w:r>
          </w:p>
          <w:p w:rsidR="007F4594" w:rsidRPr="00682AFD" w:rsidRDefault="007F4594" w:rsidP="007F4594">
            <w:pPr>
              <w:ind w:firstLine="308"/>
              <w:jc w:val="both"/>
              <w:rPr>
                <w:i/>
                <w:sz w:val="22"/>
                <w:szCs w:val="22"/>
                <w:shd w:val="clear" w:color="auto" w:fill="FFFFFF"/>
              </w:rPr>
            </w:pPr>
          </w:p>
          <w:p w:rsidR="007F4594" w:rsidRPr="000A4F89" w:rsidRDefault="007F4594" w:rsidP="007F4594">
            <w:pPr>
              <w:ind w:firstLine="308"/>
              <w:jc w:val="both"/>
              <w:rPr>
                <w:i/>
                <w:sz w:val="22"/>
                <w:szCs w:val="22"/>
                <w:shd w:val="clear" w:color="auto" w:fill="FFFFFF"/>
              </w:rPr>
            </w:pPr>
            <w:r w:rsidRPr="000A4F89">
              <w:rPr>
                <w:i/>
                <w:sz w:val="22"/>
                <w:szCs w:val="22"/>
                <w:shd w:val="clear" w:color="auto" w:fill="FFFFFF"/>
              </w:rPr>
              <w:t>ОБҐРУНТУВАННЯ:</w:t>
            </w:r>
          </w:p>
          <w:p w:rsidR="007F4594" w:rsidRPr="000A4F89" w:rsidRDefault="007F4594" w:rsidP="007F4594">
            <w:pPr>
              <w:ind w:firstLine="308"/>
              <w:jc w:val="both"/>
              <w:rPr>
                <w:i/>
                <w:sz w:val="22"/>
                <w:szCs w:val="22"/>
              </w:rPr>
            </w:pPr>
            <w:r w:rsidRPr="000A4F89">
              <w:rPr>
                <w:i/>
                <w:sz w:val="22"/>
                <w:szCs w:val="22"/>
              </w:rPr>
              <w:t xml:space="preserve">Пропонуємо врахувати, що АТ сплачує податок на прибуток в розмірі 18%. А при розрахунку дельти за статтею "податок на прибуток" враховується сума фактично сплаченого податку на прибуток у звітному році </w:t>
            </w:r>
            <w:r w:rsidRPr="000A4F89">
              <w:rPr>
                <w:i/>
                <w:sz w:val="22"/>
                <w:szCs w:val="22"/>
                <w:u w:val="single"/>
              </w:rPr>
              <w:t>в частині здійснення ліцензованої діяльності з розподілу електричної енергії</w:t>
            </w:r>
            <w:r w:rsidRPr="000A4F89">
              <w:rPr>
                <w:i/>
                <w:sz w:val="22"/>
                <w:szCs w:val="22"/>
              </w:rPr>
              <w:t xml:space="preserve">, який обраховується як добуток між обсягом сплаченого податку на прибуток у </w:t>
            </w:r>
            <w:r w:rsidRPr="000A4F89">
              <w:rPr>
                <w:i/>
                <w:sz w:val="22"/>
                <w:szCs w:val="22"/>
              </w:rPr>
              <w:lastRenderedPageBreak/>
              <w:t>звітному році відповідно до платіжних доручень та співвідношенням між фактичними операційними витратами на розподіл електричної енергії та сумарними операційними витратами за даними форми звітності N 2-НКРЕКП-розподіл електричної енергії.</w:t>
            </w:r>
          </w:p>
          <w:p w:rsidR="007F4594" w:rsidRDefault="007F4594" w:rsidP="007F4594">
            <w:pPr>
              <w:ind w:firstLine="308"/>
              <w:jc w:val="both"/>
              <w:rPr>
                <w:i/>
                <w:sz w:val="22"/>
                <w:szCs w:val="22"/>
                <w:shd w:val="clear" w:color="auto" w:fill="FFFFFF"/>
              </w:rPr>
            </w:pPr>
          </w:p>
          <w:p w:rsidR="007F4594" w:rsidRPr="004932FC" w:rsidRDefault="007F4594" w:rsidP="007F4594">
            <w:pPr>
              <w:ind w:firstLine="308"/>
              <w:jc w:val="both"/>
              <w:rPr>
                <w:i/>
                <w:sz w:val="22"/>
                <w:szCs w:val="22"/>
                <w:shd w:val="clear" w:color="auto" w:fill="FFFFFF"/>
              </w:rPr>
            </w:pPr>
          </w:p>
          <w:p w:rsidR="007F4594" w:rsidRPr="004932FC" w:rsidRDefault="007F4594" w:rsidP="007F4594">
            <w:pPr>
              <w:ind w:firstLine="308"/>
              <w:jc w:val="both"/>
              <w:rPr>
                <w:i/>
                <w:sz w:val="22"/>
                <w:szCs w:val="22"/>
                <w:shd w:val="clear" w:color="auto" w:fill="FFFFFF"/>
              </w:rPr>
            </w:pPr>
            <w:r w:rsidRPr="004932FC">
              <w:rPr>
                <w:i/>
                <w:sz w:val="22"/>
                <w:szCs w:val="22"/>
                <w:shd w:val="clear" w:color="auto" w:fill="FFFFFF"/>
              </w:rPr>
              <w:t>ГС «РЕУ»</w:t>
            </w:r>
          </w:p>
          <w:p w:rsidR="007F4594" w:rsidRPr="004932FC" w:rsidRDefault="007F4594" w:rsidP="007F4594">
            <w:pPr>
              <w:spacing w:after="75"/>
              <w:ind w:firstLine="240"/>
              <w:jc w:val="both"/>
              <w:rPr>
                <w:b/>
                <w:sz w:val="22"/>
                <w:szCs w:val="22"/>
                <w:shd w:val="clear" w:color="auto" w:fill="FFFFFF"/>
              </w:rPr>
            </w:pPr>
            <w:r w:rsidRPr="004932FC">
              <w:rPr>
                <w:b/>
                <w:sz w:val="22"/>
                <w:szCs w:val="22"/>
                <w:shd w:val="clear" w:color="auto" w:fill="FFFFFF"/>
              </w:rPr>
              <w:t>на 100 % прибутку від надання послуг комерційного обліку електричної енергії, зменшеного на суму податку на прибуток від надання послуг комерційного обліку електричної енергії та на суму виконання заходів інвестиційної програми на звітній період за рахунок відповідного джерела фінансування та на суму фактичних витрат, понесених ліцензіатом у звітному році за рахунок цього прибутку, які відповідно до постанови № 386 визнано обґрунтованими.</w:t>
            </w:r>
          </w:p>
          <w:p w:rsidR="007F4594" w:rsidRPr="004932FC" w:rsidRDefault="007F4594" w:rsidP="007F4594">
            <w:pPr>
              <w:spacing w:after="75"/>
              <w:ind w:firstLine="240"/>
              <w:jc w:val="both"/>
              <w:rPr>
                <w:b/>
                <w:sz w:val="22"/>
                <w:szCs w:val="22"/>
                <w:shd w:val="clear" w:color="auto" w:fill="FFFFFF"/>
              </w:rPr>
            </w:pPr>
          </w:p>
          <w:p w:rsidR="007F4594" w:rsidRPr="004932FC" w:rsidRDefault="007F4594" w:rsidP="007F4594">
            <w:pPr>
              <w:ind w:firstLine="308"/>
              <w:jc w:val="both"/>
              <w:rPr>
                <w:b/>
                <w:bCs/>
                <w:sz w:val="22"/>
                <w:szCs w:val="22"/>
                <w:shd w:val="clear" w:color="auto" w:fill="FFFFFF"/>
              </w:rPr>
            </w:pPr>
            <w:r w:rsidRPr="004932FC">
              <w:rPr>
                <w:b/>
                <w:sz w:val="22"/>
                <w:szCs w:val="22"/>
                <w:shd w:val="clear" w:color="auto" w:fill="FFFFFF"/>
              </w:rPr>
              <w:t>на 100 % доходу, отриманого від реалізації товарно-матеріальних цінностей, що були у використанні, у тому числі металобрухту, від діяльності з розподілу електричної енергії</w:t>
            </w:r>
            <w:r w:rsidRPr="004932FC">
              <w:rPr>
                <w:b/>
                <w:bCs/>
                <w:sz w:val="22"/>
                <w:szCs w:val="22"/>
                <w:shd w:val="clear" w:color="auto" w:fill="FFFFFF"/>
              </w:rPr>
              <w:t xml:space="preserve">, зменшеного на </w:t>
            </w:r>
            <w:r w:rsidRPr="004932FC">
              <w:rPr>
                <w:b/>
                <w:bCs/>
                <w:i/>
                <w:iCs/>
                <w:sz w:val="22"/>
                <w:szCs w:val="22"/>
                <w:u w:val="single"/>
                <w:shd w:val="clear" w:color="auto" w:fill="FFFFFF"/>
              </w:rPr>
              <w:t>суму податку на прибуток та</w:t>
            </w:r>
            <w:r w:rsidRPr="004932FC">
              <w:rPr>
                <w:b/>
                <w:bCs/>
                <w:sz w:val="22"/>
                <w:szCs w:val="22"/>
                <w:shd w:val="clear" w:color="auto" w:fill="FFFFFF"/>
              </w:rPr>
              <w:t xml:space="preserve"> суму фактичних витрат, понесених ліцензіатом у звітному році за рахунок цього доходу, які відповідно до постанови № 386 визнано обґрунтованими.</w:t>
            </w:r>
          </w:p>
          <w:p w:rsidR="007F4594" w:rsidRPr="004932FC" w:rsidRDefault="007F4594" w:rsidP="007F4594">
            <w:pPr>
              <w:ind w:firstLine="308"/>
              <w:jc w:val="both"/>
              <w:rPr>
                <w:i/>
                <w:sz w:val="22"/>
                <w:szCs w:val="22"/>
                <w:shd w:val="clear" w:color="auto" w:fill="FFFFFF"/>
              </w:rPr>
            </w:pPr>
          </w:p>
          <w:p w:rsidR="007F4594" w:rsidRPr="000A4F89" w:rsidRDefault="007F4594" w:rsidP="007F4594">
            <w:pPr>
              <w:ind w:firstLine="308"/>
              <w:jc w:val="both"/>
              <w:rPr>
                <w:i/>
                <w:sz w:val="22"/>
                <w:szCs w:val="22"/>
                <w:shd w:val="clear" w:color="auto" w:fill="FFFFFF"/>
              </w:rPr>
            </w:pPr>
            <w:r w:rsidRPr="000A4F89">
              <w:rPr>
                <w:i/>
                <w:sz w:val="22"/>
                <w:szCs w:val="22"/>
                <w:shd w:val="clear" w:color="auto" w:fill="FFFFFF"/>
              </w:rPr>
              <w:t>ОБҐРУНТУВАННЯ:</w:t>
            </w:r>
          </w:p>
          <w:p w:rsidR="007F4594" w:rsidRPr="000A4F89" w:rsidRDefault="007F4594" w:rsidP="007F4594">
            <w:pPr>
              <w:ind w:firstLine="308"/>
              <w:jc w:val="both"/>
              <w:rPr>
                <w:i/>
                <w:sz w:val="22"/>
                <w:szCs w:val="22"/>
              </w:rPr>
            </w:pPr>
            <w:r w:rsidRPr="000A4F89">
              <w:rPr>
                <w:i/>
                <w:sz w:val="22"/>
                <w:szCs w:val="22"/>
              </w:rPr>
              <w:t xml:space="preserve">Пропонуємо врахувати, що ОСР сплачує податок на прибуток за ставкою 18%. При цьому під час розрахунку дельти за статтею «податок на прибуток» використовується фактично сплачена сума податку у звітному році, що стосується ліцензованої діяльності з розподілу </w:t>
            </w:r>
            <w:r w:rsidRPr="000A4F89">
              <w:rPr>
                <w:i/>
                <w:sz w:val="22"/>
                <w:szCs w:val="22"/>
              </w:rPr>
              <w:lastRenderedPageBreak/>
              <w:t>електричної енергії. Така сума визначається як добуток фактично сплаченого податку (за платіжними дорученнями) та частки, яка відповідає співвідношенню між фактичними операційними витратами на розподіл і загальними операційними витратами за формою № 2-НКРЕКП «Розподіл електричної енергії».</w:t>
            </w:r>
          </w:p>
          <w:p w:rsidR="007F4594" w:rsidRDefault="007F4594" w:rsidP="007F4594">
            <w:pPr>
              <w:ind w:firstLine="308"/>
              <w:jc w:val="both"/>
              <w:rPr>
                <w:i/>
                <w:sz w:val="22"/>
                <w:szCs w:val="22"/>
              </w:rPr>
            </w:pPr>
            <w:r w:rsidRPr="000A4F89">
              <w:rPr>
                <w:i/>
                <w:sz w:val="22"/>
                <w:szCs w:val="22"/>
              </w:rPr>
              <w:t>Аналогічна пропозиція стосується і реалізації металобрухту.</w:t>
            </w:r>
          </w:p>
          <w:p w:rsidR="007F4594"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tc>
        <w:tc>
          <w:tcPr>
            <w:tcW w:w="5066" w:type="dxa"/>
            <w:shd w:val="clear" w:color="auto" w:fill="auto"/>
          </w:tcPr>
          <w:p w:rsidR="007F4594" w:rsidRPr="00A77CAB" w:rsidRDefault="007F4594" w:rsidP="007F4594">
            <w:pPr>
              <w:rPr>
                <w:b/>
                <w:sz w:val="22"/>
                <w:szCs w:val="22"/>
              </w:rPr>
            </w:pPr>
          </w:p>
          <w:p w:rsidR="007F4594" w:rsidRPr="00A77CAB"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Pr="00F85893" w:rsidRDefault="007F4594" w:rsidP="007F4594">
            <w:pPr>
              <w:ind w:firstLine="276"/>
              <w:rPr>
                <w:b/>
                <w:sz w:val="22"/>
                <w:szCs w:val="22"/>
              </w:rPr>
            </w:pPr>
            <w:r w:rsidRPr="00F85893">
              <w:rPr>
                <w:b/>
                <w:sz w:val="22"/>
                <w:szCs w:val="22"/>
              </w:rPr>
              <w:t>Враховано</w:t>
            </w: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Pr="00F85893" w:rsidRDefault="007F4594" w:rsidP="007F4594">
            <w:pPr>
              <w:ind w:firstLine="276"/>
              <w:rPr>
                <w:b/>
                <w:sz w:val="22"/>
                <w:szCs w:val="22"/>
              </w:rPr>
            </w:pPr>
            <w:r w:rsidRPr="00F85893">
              <w:rPr>
                <w:b/>
                <w:sz w:val="22"/>
                <w:szCs w:val="22"/>
              </w:rPr>
              <w:t>Не враховано</w:t>
            </w: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Pr="00F85893" w:rsidRDefault="007F4594" w:rsidP="007F4594">
            <w:pPr>
              <w:ind w:firstLine="276"/>
              <w:rPr>
                <w:b/>
                <w:sz w:val="22"/>
                <w:szCs w:val="22"/>
              </w:rPr>
            </w:pPr>
            <w:r w:rsidRPr="00F85893">
              <w:rPr>
                <w:b/>
                <w:sz w:val="22"/>
                <w:szCs w:val="22"/>
              </w:rPr>
              <w:t>Не враховано</w:t>
            </w: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Pr="00F85893" w:rsidRDefault="007F4594" w:rsidP="007F4594">
            <w:pPr>
              <w:ind w:firstLine="276"/>
              <w:rPr>
                <w:b/>
                <w:sz w:val="22"/>
                <w:szCs w:val="22"/>
              </w:rPr>
            </w:pPr>
            <w:r w:rsidRPr="00F85893">
              <w:rPr>
                <w:b/>
                <w:sz w:val="22"/>
                <w:szCs w:val="22"/>
              </w:rPr>
              <w:t>Враховано</w:t>
            </w:r>
          </w:p>
          <w:p w:rsidR="007F4594" w:rsidRPr="00F85893"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Pr="00F85893" w:rsidRDefault="007F4594" w:rsidP="007F4594">
            <w:pPr>
              <w:ind w:firstLine="276"/>
              <w:rPr>
                <w:b/>
                <w:sz w:val="22"/>
                <w:szCs w:val="22"/>
              </w:rPr>
            </w:pPr>
            <w:r w:rsidRPr="00F85893">
              <w:rPr>
                <w:b/>
                <w:sz w:val="22"/>
                <w:szCs w:val="22"/>
              </w:rPr>
              <w:t>Враховано вище</w:t>
            </w:r>
          </w:p>
          <w:p w:rsidR="007F4594" w:rsidRPr="00A77CAB" w:rsidRDefault="007F4594" w:rsidP="007F4594">
            <w:pPr>
              <w:rPr>
                <w:b/>
                <w:sz w:val="22"/>
                <w:szCs w:val="22"/>
              </w:rPr>
            </w:pPr>
          </w:p>
          <w:p w:rsidR="007F4594" w:rsidRDefault="007F4594" w:rsidP="007F4594">
            <w:pPr>
              <w:rPr>
                <w:b/>
                <w:i/>
                <w:sz w:val="22"/>
                <w:szCs w:val="22"/>
              </w:rPr>
            </w:pPr>
          </w:p>
          <w:p w:rsidR="007F4594" w:rsidRPr="006F20A1" w:rsidRDefault="007F4594" w:rsidP="007F4594">
            <w:pPr>
              <w:rPr>
                <w:sz w:val="22"/>
                <w:szCs w:val="22"/>
              </w:rPr>
            </w:pPr>
          </w:p>
          <w:p w:rsidR="007F4594" w:rsidRPr="006F20A1" w:rsidRDefault="007F4594" w:rsidP="007F4594">
            <w:pPr>
              <w:rPr>
                <w:sz w:val="22"/>
                <w:szCs w:val="22"/>
              </w:rPr>
            </w:pPr>
          </w:p>
          <w:p w:rsidR="007F4594" w:rsidRPr="006F20A1" w:rsidRDefault="007F4594" w:rsidP="007F4594">
            <w:pPr>
              <w:rPr>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Pr="00F85893" w:rsidRDefault="007F4594" w:rsidP="007F4594">
            <w:pPr>
              <w:ind w:firstLine="276"/>
              <w:rPr>
                <w:b/>
                <w:sz w:val="22"/>
                <w:szCs w:val="22"/>
              </w:rPr>
            </w:pPr>
            <w:r w:rsidRPr="00F85893">
              <w:rPr>
                <w:b/>
                <w:sz w:val="22"/>
                <w:szCs w:val="22"/>
              </w:rPr>
              <w:t>Враховано вище</w:t>
            </w: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Pr="00F85893" w:rsidRDefault="007F4594" w:rsidP="007F4594">
            <w:pPr>
              <w:ind w:firstLine="276"/>
              <w:rPr>
                <w:b/>
                <w:sz w:val="22"/>
                <w:szCs w:val="22"/>
              </w:rPr>
            </w:pPr>
            <w:r w:rsidRPr="00F85893">
              <w:rPr>
                <w:b/>
                <w:sz w:val="22"/>
                <w:szCs w:val="22"/>
              </w:rPr>
              <w:t>Враховано вище</w:t>
            </w:r>
          </w:p>
          <w:p w:rsidR="007F4594" w:rsidRPr="00F85893" w:rsidRDefault="007F4594" w:rsidP="007F4594">
            <w:pPr>
              <w:rPr>
                <w:b/>
                <w:sz w:val="22"/>
                <w:szCs w:val="22"/>
              </w:rPr>
            </w:pPr>
          </w:p>
          <w:p w:rsidR="007F4594" w:rsidRPr="00F85893" w:rsidRDefault="007F4594" w:rsidP="007F4594">
            <w:pPr>
              <w:rPr>
                <w:b/>
                <w:sz w:val="22"/>
                <w:szCs w:val="22"/>
              </w:rPr>
            </w:pPr>
          </w:p>
          <w:p w:rsidR="007F4594" w:rsidRPr="00F85893" w:rsidRDefault="007F4594" w:rsidP="007F4594">
            <w:pPr>
              <w:rPr>
                <w:b/>
                <w:sz w:val="22"/>
                <w:szCs w:val="22"/>
              </w:rPr>
            </w:pPr>
          </w:p>
          <w:p w:rsidR="007F4594" w:rsidRPr="00F85893" w:rsidRDefault="007F4594" w:rsidP="007F4594">
            <w:pPr>
              <w:rPr>
                <w:b/>
                <w:sz w:val="22"/>
                <w:szCs w:val="22"/>
              </w:rPr>
            </w:pPr>
          </w:p>
          <w:p w:rsidR="007F4594" w:rsidRPr="00F85893" w:rsidRDefault="007F4594" w:rsidP="007F4594">
            <w:pPr>
              <w:rPr>
                <w:b/>
                <w:sz w:val="22"/>
                <w:szCs w:val="22"/>
              </w:rPr>
            </w:pPr>
          </w:p>
          <w:p w:rsidR="007F4594" w:rsidRPr="00F85893" w:rsidRDefault="007F4594" w:rsidP="007F4594">
            <w:pPr>
              <w:rPr>
                <w:b/>
                <w:sz w:val="22"/>
                <w:szCs w:val="22"/>
              </w:rPr>
            </w:pPr>
          </w:p>
          <w:p w:rsidR="007F4594" w:rsidRPr="00F85893" w:rsidRDefault="007F4594" w:rsidP="007F4594">
            <w:pPr>
              <w:rPr>
                <w:b/>
                <w:sz w:val="22"/>
                <w:szCs w:val="22"/>
              </w:rPr>
            </w:pPr>
          </w:p>
          <w:p w:rsidR="007F4594" w:rsidRPr="00F85893" w:rsidRDefault="007F4594" w:rsidP="007F4594">
            <w:pPr>
              <w:rPr>
                <w:b/>
                <w:sz w:val="22"/>
                <w:szCs w:val="22"/>
              </w:rPr>
            </w:pPr>
          </w:p>
          <w:p w:rsidR="007F4594" w:rsidRPr="00F85893" w:rsidRDefault="007F4594" w:rsidP="007F4594">
            <w:pPr>
              <w:rPr>
                <w:b/>
                <w:sz w:val="22"/>
                <w:szCs w:val="22"/>
              </w:rPr>
            </w:pPr>
          </w:p>
          <w:p w:rsidR="007F4594" w:rsidRPr="00F85893" w:rsidRDefault="007F4594" w:rsidP="007F4594">
            <w:pPr>
              <w:rPr>
                <w:b/>
                <w:sz w:val="22"/>
                <w:szCs w:val="22"/>
              </w:rPr>
            </w:pPr>
          </w:p>
          <w:p w:rsidR="007F4594" w:rsidRPr="00F85893" w:rsidRDefault="007F4594" w:rsidP="007F4594">
            <w:pPr>
              <w:rPr>
                <w:b/>
                <w:sz w:val="22"/>
                <w:szCs w:val="22"/>
              </w:rPr>
            </w:pPr>
          </w:p>
          <w:p w:rsidR="007F4594" w:rsidRPr="00F85893" w:rsidRDefault="007F4594" w:rsidP="007F4594">
            <w:pPr>
              <w:rPr>
                <w:b/>
                <w:sz w:val="22"/>
                <w:szCs w:val="22"/>
              </w:rPr>
            </w:pPr>
          </w:p>
          <w:p w:rsidR="007F4594" w:rsidRPr="00F85893" w:rsidRDefault="007F4594" w:rsidP="007F4594">
            <w:pPr>
              <w:ind w:firstLine="276"/>
              <w:rPr>
                <w:b/>
                <w:sz w:val="22"/>
                <w:szCs w:val="22"/>
              </w:rPr>
            </w:pPr>
            <w:r w:rsidRPr="00F85893">
              <w:rPr>
                <w:b/>
                <w:sz w:val="22"/>
                <w:szCs w:val="22"/>
              </w:rPr>
              <w:t>Враховано вище</w:t>
            </w:r>
          </w:p>
          <w:p w:rsidR="007F4594" w:rsidRPr="00F85893" w:rsidRDefault="007F4594" w:rsidP="007F4594">
            <w:pPr>
              <w:rPr>
                <w:b/>
                <w:sz w:val="22"/>
                <w:szCs w:val="22"/>
              </w:rPr>
            </w:pPr>
          </w:p>
          <w:p w:rsidR="007F4594" w:rsidRDefault="007F4594" w:rsidP="007F4594">
            <w:pPr>
              <w:rPr>
                <w:b/>
                <w:sz w:val="22"/>
                <w:szCs w:val="22"/>
              </w:rPr>
            </w:pPr>
          </w:p>
          <w:p w:rsidR="007F4594" w:rsidRPr="009D3827" w:rsidRDefault="007F4594" w:rsidP="007F4594">
            <w:pPr>
              <w:rPr>
                <w:b/>
                <w:sz w:val="22"/>
                <w:szCs w:val="22"/>
              </w:rPr>
            </w:pPr>
          </w:p>
        </w:tc>
      </w:tr>
      <w:tr w:rsidR="007F4594" w:rsidRPr="009D3827" w:rsidTr="009F5D69">
        <w:trPr>
          <w:trHeight w:val="595"/>
        </w:trPr>
        <w:tc>
          <w:tcPr>
            <w:tcW w:w="15197" w:type="dxa"/>
            <w:gridSpan w:val="3"/>
            <w:shd w:val="clear" w:color="auto" w:fill="FFD966" w:themeFill="accent4" w:themeFillTint="99"/>
            <w:vAlign w:val="center"/>
          </w:tcPr>
          <w:p w:rsidR="007F4594" w:rsidRPr="009D3827" w:rsidRDefault="007F4594" w:rsidP="007F4594">
            <w:pPr>
              <w:jc w:val="center"/>
              <w:rPr>
                <w:b/>
                <w:sz w:val="22"/>
                <w:szCs w:val="22"/>
              </w:rPr>
            </w:pPr>
            <w:r w:rsidRPr="009D3827">
              <w:rPr>
                <w:b/>
                <w:sz w:val="22"/>
                <w:szCs w:val="22"/>
              </w:rPr>
              <w:lastRenderedPageBreak/>
              <w:t>Додаток до Методики визначення сум надлишково отриманого або недоотриманого доходу від здійснення ліцензованої діяльності з розподілу електричної енергії для операторів систем розподілу, які перейшли на стимулююче регулювання</w:t>
            </w:r>
          </w:p>
          <w:p w:rsidR="007F4594" w:rsidRPr="009D3827" w:rsidRDefault="007F4594" w:rsidP="007F4594">
            <w:pPr>
              <w:jc w:val="center"/>
              <w:rPr>
                <w:b/>
                <w:sz w:val="22"/>
                <w:szCs w:val="22"/>
              </w:rPr>
            </w:pPr>
          </w:p>
          <w:p w:rsidR="007F4594" w:rsidRPr="009D3827" w:rsidRDefault="007F4594" w:rsidP="007F4594">
            <w:pPr>
              <w:jc w:val="center"/>
              <w:rPr>
                <w:b/>
                <w:sz w:val="22"/>
                <w:szCs w:val="22"/>
              </w:rPr>
            </w:pPr>
            <w:r w:rsidRPr="009D3827">
              <w:rPr>
                <w:b/>
                <w:sz w:val="22"/>
                <w:szCs w:val="22"/>
              </w:rPr>
              <w:t>Порядок визначення стану забезпечення ліцензіатами умов першого регуляторного періоду</w:t>
            </w:r>
          </w:p>
        </w:tc>
      </w:tr>
      <w:tr w:rsidR="007F4594" w:rsidRPr="009D3827" w:rsidTr="00BF5C81">
        <w:trPr>
          <w:trHeight w:val="595"/>
        </w:trPr>
        <w:tc>
          <w:tcPr>
            <w:tcW w:w="5065" w:type="dxa"/>
            <w:shd w:val="clear" w:color="auto" w:fill="auto"/>
          </w:tcPr>
          <w:p w:rsidR="007F4594" w:rsidRPr="009D3827" w:rsidRDefault="007F4594" w:rsidP="007F4594">
            <w:pPr>
              <w:ind w:firstLine="308"/>
              <w:jc w:val="both"/>
              <w:rPr>
                <w:sz w:val="22"/>
                <w:szCs w:val="22"/>
                <w:shd w:val="clear" w:color="auto" w:fill="FFFFFF"/>
              </w:rPr>
            </w:pPr>
            <w:r w:rsidRPr="009D3827">
              <w:rPr>
                <w:sz w:val="22"/>
                <w:szCs w:val="22"/>
              </w:rPr>
              <w:t>ЗМІНИ НЕ ПРОПОНУВАЛИСЬ</w:t>
            </w:r>
          </w:p>
        </w:tc>
        <w:tc>
          <w:tcPr>
            <w:tcW w:w="5066" w:type="dxa"/>
            <w:shd w:val="clear" w:color="auto" w:fill="auto"/>
          </w:tcPr>
          <w:p w:rsidR="007F4594" w:rsidRPr="009D3827" w:rsidRDefault="007F4594" w:rsidP="007F4594">
            <w:pPr>
              <w:ind w:firstLine="308"/>
              <w:jc w:val="both"/>
              <w:rPr>
                <w:i/>
                <w:sz w:val="22"/>
                <w:szCs w:val="22"/>
                <w:shd w:val="clear" w:color="auto" w:fill="FFFFFF"/>
              </w:rPr>
            </w:pPr>
            <w:r w:rsidRPr="009D3827">
              <w:rPr>
                <w:i/>
                <w:sz w:val="22"/>
                <w:szCs w:val="22"/>
                <w:shd w:val="clear" w:color="auto" w:fill="FFFFFF"/>
              </w:rPr>
              <w:t>АТ «ЖИТОМИРОБЛЕНЕРГО»</w:t>
            </w:r>
          </w:p>
          <w:p w:rsidR="007F4594" w:rsidRPr="009D3827" w:rsidRDefault="007F4594" w:rsidP="007F4594">
            <w:pPr>
              <w:ind w:firstLine="308"/>
              <w:jc w:val="both"/>
              <w:rPr>
                <w:sz w:val="22"/>
                <w:szCs w:val="22"/>
                <w:shd w:val="clear" w:color="auto" w:fill="FFFFFF"/>
              </w:rPr>
            </w:pPr>
          </w:p>
          <w:p w:rsidR="007F4594" w:rsidRPr="009D3827" w:rsidRDefault="007F4594" w:rsidP="007F4594">
            <w:pPr>
              <w:ind w:firstLine="240"/>
              <w:jc w:val="both"/>
              <w:rPr>
                <w:rFonts w:eastAsia="Calibri"/>
                <w:b/>
                <w:bCs/>
                <w:sz w:val="22"/>
                <w:szCs w:val="22"/>
                <w:lang w:eastAsia="en-US"/>
              </w:rPr>
            </w:pPr>
            <w:r w:rsidRPr="009D3827">
              <w:rPr>
                <w:b/>
                <w:sz w:val="22"/>
                <w:szCs w:val="22"/>
              </w:rPr>
              <w:t xml:space="preserve">1.4. </w:t>
            </w:r>
            <w:r w:rsidRPr="009D3827">
              <w:rPr>
                <w:b/>
                <w:sz w:val="22"/>
                <w:szCs w:val="22"/>
                <w:shd w:val="clear" w:color="auto" w:fill="FFFFFF"/>
              </w:rPr>
              <w:t>Для</w:t>
            </w:r>
            <w:r w:rsidRPr="009D3827">
              <w:rPr>
                <w:rFonts w:eastAsia="Calibri"/>
                <w:b/>
                <w:bCs/>
                <w:sz w:val="22"/>
                <w:szCs w:val="22"/>
                <w:lang w:eastAsia="en-US"/>
              </w:rPr>
              <w:t xml:space="preserve"> </w:t>
            </w:r>
            <w:r w:rsidRPr="009D3827">
              <w:rPr>
                <w:b/>
                <w:sz w:val="22"/>
                <w:szCs w:val="22"/>
                <w:shd w:val="clear" w:color="auto" w:fill="FFFFFF"/>
              </w:rPr>
              <w:t xml:space="preserve">ПРАТ "КІРОВОГРАДОБЛЕНЕРГО", АТ "ЖИТОМИРОБЛЕНЕРГО", АТ "ЧЕРНІВЦІОБЛЕНЕРГО" та ПРАТ "РІВНЕОБЛЕНЕРГО" при оцінці результатів досягнення фактичних показників першого регуляторного періоду та при </w:t>
            </w:r>
            <w:r w:rsidRPr="009D3827">
              <w:rPr>
                <w:rFonts w:eastAsia="Calibri"/>
                <w:b/>
                <w:bCs/>
                <w:sz w:val="22"/>
                <w:szCs w:val="22"/>
                <w:lang w:eastAsia="en-US"/>
              </w:rPr>
              <w:t>встановленні показників ефективності на другий регуляторний період враховувати вплив особливих умов формування тарифної політики протягом першого регуляторного періоду.</w:t>
            </w:r>
          </w:p>
          <w:p w:rsidR="007F4594" w:rsidRPr="009D3827" w:rsidRDefault="007F4594" w:rsidP="007F4594">
            <w:pPr>
              <w:ind w:firstLine="308"/>
              <w:jc w:val="both"/>
              <w:rPr>
                <w:i/>
                <w:sz w:val="22"/>
                <w:szCs w:val="22"/>
                <w:shd w:val="clear" w:color="auto" w:fill="FFFFFF"/>
              </w:rPr>
            </w:pPr>
          </w:p>
          <w:p w:rsidR="007F4594" w:rsidRPr="009D6884" w:rsidRDefault="007F4594" w:rsidP="007F4594">
            <w:pPr>
              <w:ind w:firstLine="308"/>
              <w:jc w:val="both"/>
              <w:rPr>
                <w:i/>
                <w:sz w:val="22"/>
                <w:szCs w:val="22"/>
                <w:shd w:val="clear" w:color="auto" w:fill="FFFFFF"/>
              </w:rPr>
            </w:pPr>
            <w:r w:rsidRPr="009D6884">
              <w:rPr>
                <w:i/>
                <w:sz w:val="22"/>
                <w:szCs w:val="22"/>
                <w:shd w:val="clear" w:color="auto" w:fill="FFFFFF"/>
              </w:rPr>
              <w:t>ОБҐРУНТУВАННЯ:</w:t>
            </w:r>
          </w:p>
          <w:p w:rsidR="007F4594" w:rsidRPr="009D3827" w:rsidRDefault="007F4594" w:rsidP="007F4594">
            <w:pPr>
              <w:ind w:firstLine="308"/>
              <w:jc w:val="both"/>
              <w:rPr>
                <w:i/>
                <w:sz w:val="22"/>
                <w:szCs w:val="22"/>
                <w:shd w:val="clear" w:color="auto" w:fill="FFFFFF"/>
              </w:rPr>
            </w:pPr>
            <w:r w:rsidRPr="009D6884">
              <w:rPr>
                <w:i/>
                <w:sz w:val="22"/>
                <w:szCs w:val="22"/>
              </w:rPr>
              <w:t xml:space="preserve">Протягом дії першого регуляторного періоду, починаючи з 2023 року, до </w:t>
            </w:r>
            <w:r w:rsidRPr="009D6884">
              <w:rPr>
                <w:i/>
                <w:sz w:val="22"/>
                <w:szCs w:val="22"/>
                <w:shd w:val="clear" w:color="auto" w:fill="FFFFFF"/>
              </w:rPr>
              <w:t xml:space="preserve">ПРАТ "КІРОВОГРАДОБЛЕНЕРГО", АТ "ЖИТОМИРОБЛЕНЕРГО", АТ "ЧЕРНІВЦІОБЛЕНЕРГО" та ПРАТ "РІВНЕОБЛЕНЕРГО" було застосовано особливі регуляторні умови, які полягали у застосуванні дефіцитного тарифу, який не забезпечував відшкодування ліцензіатам річної структури витрат, а з 2024 року ще й визначенні тарифного </w:t>
            </w:r>
            <w:r w:rsidRPr="009D6884">
              <w:rPr>
                <w:i/>
                <w:sz w:val="22"/>
                <w:szCs w:val="22"/>
                <w:shd w:val="clear" w:color="auto" w:fill="FFFFFF"/>
              </w:rPr>
              <w:lastRenderedPageBreak/>
              <w:t>прибутку на нульовому рівні, що призводило до недоотримання коштів від здійснення ліцензованої діяльності з розподілу електричної енергії та, як наслідок, значного дефіциту фінансових ресурсів Товариства. Внаслідок дії зазначеної тарифної політики, відбулося недофінансування</w:t>
            </w:r>
            <w:r w:rsidRPr="009D3827">
              <w:rPr>
                <w:sz w:val="22"/>
                <w:szCs w:val="22"/>
                <w:shd w:val="clear" w:color="auto" w:fill="FFFFFF"/>
              </w:rPr>
              <w:t xml:space="preserve"> </w:t>
            </w:r>
            <w:r w:rsidRPr="009D6884">
              <w:rPr>
                <w:i/>
                <w:sz w:val="22"/>
                <w:szCs w:val="22"/>
                <w:shd w:val="clear" w:color="auto" w:fill="FFFFFF"/>
              </w:rPr>
              <w:t xml:space="preserve">статей витрат операційної діяльності та джерел інвестиційних програм. Під час здійснення заходів з перевірок, джерела інвестиційної програми були зменшені на суму її недовиконання, внаслідок чого Товариство не мало можливості  здійснити довиконання відповідних заходів ІП у наступних періодах. Все вищезазначене призвело до значного «відставання» вказаних ОСР від ОСР, до яких такі особливі умови не застосовувались, що унеможливлює застосування однакових умов оцінювання першого регуляторного періоду та однакових умов визначення відповідних  показників на другий регуляторний період. Відповідно до вказаного, при дослідженні та оцінці стану виконання зобов’язань, визначених пунктом 2 постанови НКРЕКП №1029 та досягнення фактичних показників першого регуляторного періоду </w:t>
            </w:r>
            <w:proofErr w:type="spellStart"/>
            <w:r w:rsidRPr="009D6884">
              <w:rPr>
                <w:i/>
                <w:sz w:val="22"/>
                <w:szCs w:val="22"/>
                <w:shd w:val="clear" w:color="auto" w:fill="FFFFFF"/>
              </w:rPr>
              <w:t>вцілому</w:t>
            </w:r>
            <w:proofErr w:type="spellEnd"/>
            <w:r w:rsidRPr="009D6884">
              <w:rPr>
                <w:i/>
                <w:sz w:val="22"/>
                <w:szCs w:val="22"/>
                <w:shd w:val="clear" w:color="auto" w:fill="FFFFFF"/>
              </w:rPr>
              <w:t>, необхідно враховувати вплив особливих умов формування тарифної політики зазначених ОСР протягом першого регуляторного періоду.</w:t>
            </w:r>
          </w:p>
        </w:tc>
        <w:tc>
          <w:tcPr>
            <w:tcW w:w="5066" w:type="dxa"/>
            <w:shd w:val="clear" w:color="auto" w:fill="auto"/>
          </w:tcPr>
          <w:p w:rsidR="007F4594" w:rsidRDefault="007F4594" w:rsidP="007F4594">
            <w:pPr>
              <w:widowControl w:val="0"/>
              <w:suppressAutoHyphens/>
              <w:ind w:firstLine="251"/>
              <w:jc w:val="both"/>
              <w:rPr>
                <w:b/>
                <w:bCs/>
                <w:color w:val="000000"/>
                <w:sz w:val="24"/>
                <w:szCs w:val="24"/>
              </w:rPr>
            </w:pPr>
          </w:p>
          <w:p w:rsidR="007F4594" w:rsidRPr="00581A4E" w:rsidRDefault="007F4594" w:rsidP="007F4594">
            <w:pPr>
              <w:widowControl w:val="0"/>
              <w:suppressAutoHyphens/>
              <w:ind w:firstLine="251"/>
              <w:jc w:val="both"/>
              <w:rPr>
                <w:b/>
                <w:bCs/>
                <w:color w:val="000000" w:themeColor="text1"/>
                <w:sz w:val="24"/>
                <w:szCs w:val="24"/>
              </w:rPr>
            </w:pPr>
            <w:r w:rsidRPr="00581A4E">
              <w:rPr>
                <w:b/>
                <w:bCs/>
                <w:color w:val="000000" w:themeColor="text1"/>
                <w:sz w:val="24"/>
                <w:szCs w:val="24"/>
              </w:rPr>
              <w:t>Не враховано</w:t>
            </w:r>
          </w:p>
          <w:p w:rsidR="007F4594" w:rsidRPr="00A77CAB" w:rsidRDefault="007F4594" w:rsidP="007F4594">
            <w:pPr>
              <w:widowControl w:val="0"/>
              <w:suppressAutoHyphens/>
              <w:ind w:firstLine="251"/>
              <w:jc w:val="both"/>
              <w:rPr>
                <w:bCs/>
                <w:sz w:val="24"/>
                <w:szCs w:val="24"/>
              </w:rPr>
            </w:pPr>
            <w:r w:rsidRPr="00A77CAB">
              <w:rPr>
                <w:bCs/>
                <w:sz w:val="24"/>
                <w:szCs w:val="24"/>
              </w:rPr>
              <w:t>Запропоноване уточнення не потребує нормативного врегулювання.</w:t>
            </w:r>
          </w:p>
          <w:p w:rsidR="007F4594" w:rsidRPr="00A77CAB" w:rsidRDefault="007F4594" w:rsidP="007F4594">
            <w:pPr>
              <w:widowControl w:val="0"/>
              <w:suppressAutoHyphens/>
              <w:ind w:firstLine="251"/>
              <w:jc w:val="both"/>
              <w:rPr>
                <w:bCs/>
                <w:sz w:val="24"/>
                <w:szCs w:val="24"/>
              </w:rPr>
            </w:pPr>
            <w:r w:rsidRPr="00A77CAB">
              <w:rPr>
                <w:rFonts w:eastAsiaTheme="minorHAnsi"/>
                <w:bCs/>
                <w:sz w:val="24"/>
                <w:szCs w:val="24"/>
                <w:lang w:eastAsia="en-US"/>
              </w:rPr>
              <w:t>Оцінка результатів досягнення фактичних показників першого регуляторного періоду та встановлення показників ефективності на другий регуляторний період здійснюватиметься з урахуванням вимог</w:t>
            </w:r>
            <w:r w:rsidRPr="00A77CAB">
              <w:rPr>
                <w:rFonts w:eastAsiaTheme="minorHAnsi"/>
                <w:bCs/>
                <w:strike/>
                <w:sz w:val="24"/>
                <w:szCs w:val="24"/>
                <w:lang w:eastAsia="en-US"/>
              </w:rPr>
              <w:t xml:space="preserve"> </w:t>
            </w:r>
            <w:r w:rsidRPr="00A77CAB">
              <w:rPr>
                <w:rFonts w:eastAsiaTheme="minorHAnsi"/>
                <w:bCs/>
                <w:sz w:val="24"/>
                <w:szCs w:val="24"/>
                <w:lang w:eastAsia="en-US"/>
              </w:rPr>
              <w:t>нормативно-правової бази Регулятора щодо тарифоутворення.</w:t>
            </w:r>
          </w:p>
          <w:p w:rsidR="007F4594" w:rsidRPr="00A77CAB" w:rsidRDefault="007F4594" w:rsidP="007F4594">
            <w:pPr>
              <w:widowControl w:val="0"/>
              <w:suppressAutoHyphens/>
              <w:ind w:firstLine="251"/>
              <w:jc w:val="both"/>
              <w:rPr>
                <w:rFonts w:eastAsiaTheme="minorHAnsi"/>
                <w:sz w:val="24"/>
                <w:szCs w:val="24"/>
                <w:lang w:eastAsia="en-US"/>
              </w:rPr>
            </w:pPr>
          </w:p>
          <w:p w:rsidR="007F4594" w:rsidRPr="009D3827" w:rsidRDefault="007F4594" w:rsidP="007F4594">
            <w:pPr>
              <w:rPr>
                <w:b/>
                <w:sz w:val="22"/>
                <w:szCs w:val="22"/>
              </w:rPr>
            </w:pPr>
          </w:p>
        </w:tc>
      </w:tr>
      <w:tr w:rsidR="007F4594" w:rsidRPr="009D3827" w:rsidTr="00BF5C81">
        <w:trPr>
          <w:trHeight w:val="595"/>
        </w:trPr>
        <w:tc>
          <w:tcPr>
            <w:tcW w:w="5065" w:type="dxa"/>
            <w:shd w:val="clear" w:color="auto" w:fill="auto"/>
          </w:tcPr>
          <w:p w:rsidR="007F4594" w:rsidRPr="009D3827" w:rsidRDefault="007F4594" w:rsidP="007F4594">
            <w:pPr>
              <w:ind w:firstLine="308"/>
              <w:jc w:val="both"/>
              <w:rPr>
                <w:sz w:val="22"/>
                <w:szCs w:val="22"/>
                <w:shd w:val="clear" w:color="auto" w:fill="FFFFFF"/>
              </w:rPr>
            </w:pPr>
            <w:r w:rsidRPr="009D3827">
              <w:rPr>
                <w:sz w:val="22"/>
                <w:szCs w:val="22"/>
                <w:shd w:val="clear" w:color="auto" w:fill="FFFFFF"/>
              </w:rPr>
              <w:t xml:space="preserve">4.1.2. Стан виконання ліцензіатом зобов'язань щодо плану заходів із забезпечення достовірності даних для здійснення моніторингу якості послуг у частині створення систем реєстрації відключень в електричних мережах </w:t>
            </w:r>
          </w:p>
          <w:p w:rsidR="007F4594" w:rsidRPr="009D3827" w:rsidRDefault="007F4594" w:rsidP="007F4594">
            <w:pPr>
              <w:ind w:firstLine="308"/>
              <w:jc w:val="both"/>
              <w:rPr>
                <w:sz w:val="22"/>
                <w:szCs w:val="22"/>
                <w:shd w:val="clear" w:color="auto" w:fill="FFFFFF"/>
              </w:rPr>
            </w:pPr>
            <w:r w:rsidRPr="009D3827">
              <w:rPr>
                <w:sz w:val="22"/>
                <w:szCs w:val="22"/>
                <w:shd w:val="clear" w:color="auto" w:fill="FFFFFF"/>
              </w:rPr>
              <w:t>6 – 150 кВ відображається відповідно до таблиці 3 разом із поясненнями ліцензіата щодо шляхів досягнення та стану виконання кожного критерію.</w:t>
            </w:r>
          </w:p>
          <w:p w:rsidR="007F4594" w:rsidRPr="009D3827" w:rsidRDefault="007F4594" w:rsidP="007F4594">
            <w:pPr>
              <w:ind w:firstLine="308"/>
              <w:jc w:val="both"/>
              <w:rPr>
                <w:sz w:val="22"/>
                <w:szCs w:val="22"/>
                <w:shd w:val="clear" w:color="auto" w:fill="FFFFFF"/>
              </w:rPr>
            </w:pPr>
          </w:p>
          <w:p w:rsidR="007F4594" w:rsidRPr="009D3827" w:rsidRDefault="007F4594" w:rsidP="007F4594">
            <w:pPr>
              <w:ind w:firstLine="308"/>
              <w:jc w:val="both"/>
              <w:rPr>
                <w:sz w:val="22"/>
                <w:szCs w:val="22"/>
                <w:shd w:val="clear" w:color="auto" w:fill="FFFFFF"/>
              </w:rPr>
            </w:pPr>
            <w:r w:rsidRPr="009D3827">
              <w:rPr>
                <w:sz w:val="22"/>
                <w:szCs w:val="22"/>
                <w:shd w:val="clear" w:color="auto" w:fill="FFFFFF"/>
              </w:rPr>
              <w:t>&lt;…&gt;</w:t>
            </w:r>
          </w:p>
          <w:p w:rsidR="007F4594" w:rsidRPr="009D3827" w:rsidRDefault="007F4594" w:rsidP="007F4594">
            <w:pPr>
              <w:ind w:firstLine="308"/>
              <w:jc w:val="both"/>
              <w:rPr>
                <w:sz w:val="22"/>
                <w:szCs w:val="22"/>
                <w:shd w:val="clear" w:color="auto" w:fill="FFFFFF"/>
              </w:rPr>
            </w:pPr>
          </w:p>
          <w:p w:rsidR="007F4594" w:rsidRPr="009D3827" w:rsidRDefault="007F4594" w:rsidP="007F4594">
            <w:pPr>
              <w:ind w:firstLine="426"/>
              <w:jc w:val="both"/>
              <w:outlineLvl w:val="1"/>
              <w:rPr>
                <w:bCs/>
                <w:sz w:val="24"/>
                <w:szCs w:val="28"/>
                <w:lang w:eastAsia="uk-UA"/>
              </w:rPr>
            </w:pPr>
            <w:r w:rsidRPr="009D3827">
              <w:rPr>
                <w:bCs/>
                <w:sz w:val="24"/>
                <w:szCs w:val="28"/>
                <w:lang w:eastAsia="uk-UA"/>
              </w:rPr>
              <w:lastRenderedPageBreak/>
              <w:t>11* Досліджується: чи формує система звітність відповідно до стандартних форм звітності та чи має можливість формувати звіти за різні періоди.</w:t>
            </w:r>
          </w:p>
          <w:p w:rsidR="007F4594" w:rsidRPr="009D3827" w:rsidRDefault="007F4594" w:rsidP="007F4594">
            <w:pPr>
              <w:ind w:firstLine="308"/>
              <w:jc w:val="both"/>
              <w:rPr>
                <w:sz w:val="22"/>
                <w:szCs w:val="22"/>
                <w:shd w:val="clear" w:color="auto" w:fill="FFFFFF"/>
              </w:rPr>
            </w:pPr>
          </w:p>
        </w:tc>
        <w:tc>
          <w:tcPr>
            <w:tcW w:w="5066" w:type="dxa"/>
            <w:shd w:val="clear" w:color="auto" w:fill="auto"/>
          </w:tcPr>
          <w:p w:rsidR="007F4594" w:rsidRPr="009D3827" w:rsidRDefault="007F4594" w:rsidP="007F4594">
            <w:pPr>
              <w:ind w:firstLine="308"/>
              <w:jc w:val="both"/>
              <w:rPr>
                <w:i/>
                <w:sz w:val="22"/>
                <w:szCs w:val="22"/>
                <w:shd w:val="clear" w:color="auto" w:fill="FFFFFF"/>
              </w:rPr>
            </w:pPr>
            <w:r w:rsidRPr="009D3827">
              <w:rPr>
                <w:i/>
                <w:sz w:val="22"/>
                <w:szCs w:val="22"/>
                <w:shd w:val="clear" w:color="auto" w:fill="FFFFFF"/>
              </w:rPr>
              <w:lastRenderedPageBreak/>
              <w:t>АТ «ЖИТОМИРОБЛЕНЕРГО»</w:t>
            </w:r>
          </w:p>
          <w:p w:rsidR="007F4594" w:rsidRPr="009D3827" w:rsidRDefault="007F4594" w:rsidP="007F4594">
            <w:pPr>
              <w:ind w:firstLine="308"/>
              <w:jc w:val="both"/>
              <w:rPr>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426"/>
              <w:jc w:val="both"/>
              <w:outlineLvl w:val="1"/>
              <w:rPr>
                <w:bCs/>
                <w:sz w:val="22"/>
                <w:szCs w:val="22"/>
                <w:lang w:eastAsia="uk-UA"/>
              </w:rPr>
            </w:pPr>
            <w:r w:rsidRPr="009D3827">
              <w:rPr>
                <w:bCs/>
                <w:sz w:val="22"/>
                <w:szCs w:val="22"/>
                <w:lang w:eastAsia="uk-UA"/>
              </w:rPr>
              <w:lastRenderedPageBreak/>
              <w:t xml:space="preserve">11* Досліджується: чи формує система </w:t>
            </w:r>
            <w:r w:rsidRPr="009D3827">
              <w:rPr>
                <w:b/>
                <w:bCs/>
                <w:sz w:val="22"/>
                <w:szCs w:val="22"/>
                <w:lang w:eastAsia="uk-UA"/>
              </w:rPr>
              <w:t>інформацію</w:t>
            </w:r>
            <w:r w:rsidRPr="009D3827">
              <w:rPr>
                <w:bCs/>
                <w:sz w:val="22"/>
                <w:szCs w:val="22"/>
                <w:lang w:eastAsia="uk-UA"/>
              </w:rPr>
              <w:t xml:space="preserve"> відповідно до стандартних форм звітності та чи має можливість формувати </w:t>
            </w:r>
            <w:r w:rsidRPr="009D3827">
              <w:rPr>
                <w:b/>
                <w:bCs/>
                <w:sz w:val="22"/>
                <w:szCs w:val="22"/>
                <w:lang w:eastAsia="uk-UA"/>
              </w:rPr>
              <w:t>звітну інформацію</w:t>
            </w:r>
            <w:r w:rsidRPr="009D3827">
              <w:rPr>
                <w:bCs/>
                <w:sz w:val="22"/>
                <w:szCs w:val="22"/>
                <w:lang w:eastAsia="uk-UA"/>
              </w:rPr>
              <w:t xml:space="preserve">  за різні періоди.</w:t>
            </w: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r>
              <w:rPr>
                <w:i/>
                <w:sz w:val="22"/>
                <w:szCs w:val="22"/>
                <w:shd w:val="clear" w:color="auto" w:fill="FFFFFF"/>
              </w:rPr>
              <w:t>ОБҐРУНТУВАННЯ</w:t>
            </w:r>
            <w:r w:rsidRPr="009D3827">
              <w:rPr>
                <w:i/>
                <w:sz w:val="22"/>
                <w:szCs w:val="22"/>
                <w:shd w:val="clear" w:color="auto" w:fill="FFFFFF"/>
              </w:rPr>
              <w:t>:</w:t>
            </w:r>
          </w:p>
          <w:p w:rsidR="007F4594" w:rsidRPr="009D3827" w:rsidRDefault="007F4594" w:rsidP="007F4594">
            <w:pPr>
              <w:ind w:firstLine="308"/>
              <w:jc w:val="both"/>
              <w:rPr>
                <w:color w:val="000000" w:themeColor="text1"/>
                <w:sz w:val="22"/>
                <w:szCs w:val="22"/>
              </w:rPr>
            </w:pPr>
          </w:p>
          <w:p w:rsidR="007F4594" w:rsidRPr="009D3827" w:rsidRDefault="007F4594" w:rsidP="007F4594">
            <w:pPr>
              <w:ind w:firstLine="308"/>
              <w:jc w:val="both"/>
              <w:rPr>
                <w:i/>
                <w:sz w:val="22"/>
                <w:szCs w:val="22"/>
                <w:shd w:val="clear" w:color="auto" w:fill="FFFFFF"/>
              </w:rPr>
            </w:pPr>
            <w:r w:rsidRPr="009D3827">
              <w:rPr>
                <w:sz w:val="22"/>
                <w:szCs w:val="22"/>
              </w:rPr>
              <w:t>В діючих нормативних документах НКРЕКП відсутня вимога до ОСР при розробці  систем реєстрації відключень в електричних мережах 6 - 150 кВ, забезпечити можливість автоматичного формування стандартних форм звітності для НКРЕКП.</w:t>
            </w:r>
          </w:p>
        </w:tc>
        <w:tc>
          <w:tcPr>
            <w:tcW w:w="5066" w:type="dxa"/>
            <w:shd w:val="clear" w:color="auto" w:fill="auto"/>
          </w:tcPr>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Pr="00211485" w:rsidRDefault="007F4594" w:rsidP="007F4594">
            <w:pPr>
              <w:rPr>
                <w:b/>
                <w:sz w:val="22"/>
                <w:szCs w:val="22"/>
              </w:rPr>
            </w:pPr>
          </w:p>
          <w:p w:rsidR="007F4594" w:rsidRPr="00211485" w:rsidRDefault="007F4594" w:rsidP="007F4594">
            <w:pPr>
              <w:rPr>
                <w:b/>
                <w:sz w:val="22"/>
                <w:szCs w:val="22"/>
              </w:rPr>
            </w:pPr>
          </w:p>
          <w:p w:rsidR="007F4594" w:rsidRPr="00211485" w:rsidRDefault="007F4594" w:rsidP="007F4594">
            <w:pPr>
              <w:ind w:firstLine="276"/>
              <w:rPr>
                <w:b/>
                <w:sz w:val="22"/>
                <w:szCs w:val="22"/>
              </w:rPr>
            </w:pPr>
            <w:r w:rsidRPr="00211485">
              <w:rPr>
                <w:b/>
                <w:sz w:val="22"/>
                <w:szCs w:val="22"/>
              </w:rPr>
              <w:t>Не враховано</w:t>
            </w:r>
          </w:p>
          <w:p w:rsidR="007F4594" w:rsidRPr="00211485" w:rsidRDefault="007F4594" w:rsidP="007F4594">
            <w:pPr>
              <w:ind w:firstLine="276"/>
              <w:rPr>
                <w:b/>
                <w:sz w:val="22"/>
                <w:szCs w:val="22"/>
              </w:rPr>
            </w:pPr>
            <w:r w:rsidRPr="00211485">
              <w:rPr>
                <w:b/>
                <w:sz w:val="22"/>
                <w:szCs w:val="22"/>
              </w:rPr>
              <w:t>Недостатньо обґрунтована пропозиція</w:t>
            </w:r>
          </w:p>
          <w:p w:rsidR="007F4594" w:rsidRPr="00211485" w:rsidRDefault="007F4594" w:rsidP="007F4594">
            <w:pPr>
              <w:jc w:val="both"/>
              <w:rPr>
                <w:b/>
                <w:sz w:val="22"/>
                <w:szCs w:val="22"/>
              </w:rPr>
            </w:pPr>
            <w:r w:rsidRPr="00211485">
              <w:rPr>
                <w:sz w:val="22"/>
                <w:szCs w:val="22"/>
              </w:rPr>
              <w:lastRenderedPageBreak/>
              <w:t>Система, яка впроваджена в експлуатацію має використовуватись, в тому числі, для формування звітності щодо показників якості електропостачання.</w:t>
            </w:r>
          </w:p>
          <w:p w:rsidR="007F4594" w:rsidRPr="00211485" w:rsidRDefault="007F4594" w:rsidP="007F4594">
            <w:pPr>
              <w:jc w:val="both"/>
              <w:rPr>
                <w:b/>
                <w:color w:val="000000" w:themeColor="text1"/>
                <w:sz w:val="22"/>
                <w:szCs w:val="22"/>
              </w:rPr>
            </w:pPr>
          </w:p>
          <w:p w:rsidR="007F4594" w:rsidRPr="00211485" w:rsidRDefault="007F4594" w:rsidP="007F4594">
            <w:pPr>
              <w:ind w:firstLine="276"/>
              <w:jc w:val="both"/>
              <w:rPr>
                <w:b/>
                <w:color w:val="000000" w:themeColor="text1"/>
                <w:sz w:val="22"/>
                <w:szCs w:val="22"/>
              </w:rPr>
            </w:pPr>
            <w:r w:rsidRPr="00211485">
              <w:rPr>
                <w:b/>
                <w:color w:val="000000" w:themeColor="text1"/>
                <w:sz w:val="22"/>
                <w:szCs w:val="22"/>
              </w:rPr>
              <w:t>Пропонується наступна редакція:</w:t>
            </w:r>
          </w:p>
          <w:p w:rsidR="007F4594" w:rsidRDefault="007F4594" w:rsidP="007F4594">
            <w:pPr>
              <w:jc w:val="both"/>
              <w:rPr>
                <w:b/>
                <w:bCs/>
                <w:color w:val="000000" w:themeColor="text1"/>
                <w:sz w:val="22"/>
                <w:szCs w:val="22"/>
                <w:lang w:eastAsia="uk-UA"/>
              </w:rPr>
            </w:pPr>
            <w:r w:rsidRPr="00211485">
              <w:rPr>
                <w:bCs/>
                <w:sz w:val="22"/>
                <w:szCs w:val="22"/>
                <w:lang w:eastAsia="uk-UA"/>
              </w:rPr>
              <w:t>«</w:t>
            </w:r>
            <w:r w:rsidRPr="00211485">
              <w:rPr>
                <w:b/>
                <w:bCs/>
                <w:sz w:val="22"/>
                <w:szCs w:val="22"/>
                <w:lang w:eastAsia="uk-UA"/>
              </w:rPr>
              <w:t>11* Досліджується</w:t>
            </w:r>
            <w:r w:rsidRPr="00211485">
              <w:rPr>
                <w:b/>
                <w:bCs/>
                <w:color w:val="000000" w:themeColor="text1"/>
                <w:sz w:val="22"/>
                <w:szCs w:val="22"/>
                <w:lang w:eastAsia="uk-UA"/>
              </w:rPr>
              <w:t xml:space="preserve"> чи формує система звітність відповідно до форми звітності, затвердженої постановою НКРЕКП від 12.06.2018 № 374 «</w:t>
            </w:r>
            <w:r w:rsidRPr="00211485">
              <w:rPr>
                <w:b/>
                <w:color w:val="000000" w:themeColor="text1"/>
                <w:sz w:val="22"/>
                <w:szCs w:val="22"/>
                <w:lang w:eastAsia="uk-UA"/>
              </w:rPr>
              <w:t>Про затвердження форм звітності щодо показників якості електропостачання та інструкцій щодо їх заповнення.</w:t>
            </w:r>
            <w:r w:rsidRPr="00211485">
              <w:rPr>
                <w:b/>
                <w:bCs/>
                <w:color w:val="000000" w:themeColor="text1"/>
                <w:sz w:val="22"/>
                <w:szCs w:val="22"/>
                <w:lang w:eastAsia="uk-UA"/>
              </w:rPr>
              <w:t>»</w:t>
            </w:r>
          </w:p>
          <w:p w:rsidR="007F4594" w:rsidRPr="00D93B54" w:rsidRDefault="007F4594" w:rsidP="007F4594">
            <w:pPr>
              <w:jc w:val="both"/>
              <w:rPr>
                <w:b/>
                <w:color w:val="FF0000"/>
                <w:sz w:val="22"/>
                <w:szCs w:val="22"/>
              </w:rPr>
            </w:pPr>
            <w:bookmarkStart w:id="7" w:name="_GoBack"/>
            <w:bookmarkEnd w:id="7"/>
          </w:p>
        </w:tc>
      </w:tr>
      <w:tr w:rsidR="007F4594" w:rsidRPr="009D3827" w:rsidTr="00BF5C81">
        <w:trPr>
          <w:trHeight w:val="595"/>
        </w:trPr>
        <w:tc>
          <w:tcPr>
            <w:tcW w:w="5065" w:type="dxa"/>
            <w:shd w:val="clear" w:color="auto" w:fill="auto"/>
          </w:tcPr>
          <w:p w:rsidR="007F4594" w:rsidRPr="009D3827" w:rsidRDefault="007F4594" w:rsidP="007F4594">
            <w:pPr>
              <w:ind w:firstLine="308"/>
              <w:jc w:val="both"/>
              <w:rPr>
                <w:sz w:val="22"/>
                <w:szCs w:val="22"/>
                <w:shd w:val="clear" w:color="auto" w:fill="FFFFFF"/>
              </w:rPr>
            </w:pPr>
            <w:r w:rsidRPr="009D3827">
              <w:rPr>
                <w:sz w:val="22"/>
                <w:szCs w:val="22"/>
                <w:shd w:val="clear" w:color="auto" w:fill="FFFFFF"/>
              </w:rPr>
              <w:lastRenderedPageBreak/>
              <w:t>4.2. Стан фактичного показника SAIDI у порівнянні з розрахунковим SAIDI (цільового завдання) протягом першого регуляторного періоду, визначеного на підставі показника індексу середньої тривалості довгих перерв в електропостачанні в системі (SAIDI), що розраховується як відношення сумарної тривалості довгих перерв в електропостачанні в точках комерційного обліку електричної енергії, у яких було припинене електропостачання, за звітний період до загальної кількості точок комерційного обліку електричної енергії, у вигляді таблиці 4.</w:t>
            </w:r>
          </w:p>
          <w:p w:rsidR="007F4594" w:rsidRPr="009D3827" w:rsidRDefault="007F4594" w:rsidP="007F4594">
            <w:pPr>
              <w:ind w:firstLine="308"/>
              <w:jc w:val="both"/>
              <w:rPr>
                <w:sz w:val="22"/>
                <w:szCs w:val="22"/>
                <w:shd w:val="clear" w:color="auto" w:fill="FFFFFF"/>
              </w:rPr>
            </w:pPr>
          </w:p>
          <w:p w:rsidR="007F4594" w:rsidRPr="009D3827" w:rsidRDefault="007F4594" w:rsidP="007F4594">
            <w:pPr>
              <w:ind w:firstLine="308"/>
              <w:jc w:val="both"/>
              <w:rPr>
                <w:sz w:val="22"/>
                <w:szCs w:val="22"/>
                <w:shd w:val="clear" w:color="auto" w:fill="FFFFFF"/>
              </w:rPr>
            </w:pPr>
            <w:r w:rsidRPr="009D3827">
              <w:rPr>
                <w:sz w:val="22"/>
                <w:szCs w:val="22"/>
                <w:shd w:val="clear" w:color="auto" w:fill="FFFFFF"/>
              </w:rPr>
              <w:t>&lt;…&gt;</w:t>
            </w:r>
          </w:p>
          <w:p w:rsidR="007F4594" w:rsidRPr="009D3827" w:rsidRDefault="007F4594" w:rsidP="007F4594">
            <w:pPr>
              <w:ind w:firstLine="308"/>
              <w:jc w:val="both"/>
              <w:rPr>
                <w:sz w:val="22"/>
                <w:szCs w:val="22"/>
                <w:shd w:val="clear" w:color="auto" w:fill="FFFFFF"/>
              </w:rPr>
            </w:pPr>
          </w:p>
          <w:p w:rsidR="007F4594" w:rsidRPr="009D3827" w:rsidRDefault="007F4594" w:rsidP="007F4594">
            <w:pPr>
              <w:ind w:firstLine="308"/>
              <w:jc w:val="both"/>
              <w:rPr>
                <w:sz w:val="22"/>
                <w:szCs w:val="22"/>
                <w:shd w:val="clear" w:color="auto" w:fill="FFFFFF"/>
              </w:rPr>
            </w:pPr>
            <w:r w:rsidRPr="009D3827">
              <w:rPr>
                <w:sz w:val="22"/>
                <w:szCs w:val="22"/>
                <w:shd w:val="clear" w:color="auto" w:fill="FFFFFF"/>
              </w:rPr>
              <w:t>У разі погіршення фактичних показників SAIDI, ліцензіат має надати обґрунтовані деталізовані причини та пояснення такого погіршення у відповідних роках.</w:t>
            </w:r>
          </w:p>
        </w:tc>
        <w:tc>
          <w:tcPr>
            <w:tcW w:w="5066" w:type="dxa"/>
            <w:shd w:val="clear" w:color="auto" w:fill="auto"/>
          </w:tcPr>
          <w:p w:rsidR="007F4594" w:rsidRPr="009D3827" w:rsidRDefault="007F4594" w:rsidP="007F4594">
            <w:pPr>
              <w:ind w:firstLine="308"/>
              <w:jc w:val="both"/>
              <w:rPr>
                <w:i/>
                <w:sz w:val="22"/>
                <w:szCs w:val="22"/>
                <w:shd w:val="clear" w:color="auto" w:fill="FFFFFF"/>
              </w:rPr>
            </w:pPr>
            <w:r w:rsidRPr="009D3827">
              <w:rPr>
                <w:i/>
                <w:sz w:val="22"/>
                <w:szCs w:val="22"/>
                <w:shd w:val="clear" w:color="auto" w:fill="FFFFFF"/>
              </w:rPr>
              <w:t>Програма Забезпечення енергопостачання, підвищення стійкості та сполучення (SPARC)</w:t>
            </w: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color w:val="000000" w:themeColor="text1"/>
                <w:sz w:val="22"/>
                <w:szCs w:val="22"/>
                <w:lang w:eastAsia="uk-UA"/>
              </w:rPr>
            </w:pPr>
            <w:r w:rsidRPr="009D3827">
              <w:rPr>
                <w:color w:val="000000" w:themeColor="text1"/>
                <w:sz w:val="22"/>
                <w:szCs w:val="22"/>
                <w:lang w:eastAsia="uk-UA"/>
              </w:rPr>
              <w:t xml:space="preserve">У разі </w:t>
            </w:r>
            <w:r w:rsidRPr="009D3827">
              <w:rPr>
                <w:sz w:val="22"/>
                <w:szCs w:val="22"/>
                <w:lang w:eastAsia="uk-UA"/>
              </w:rPr>
              <w:t>погіршення фактичних показників SAIDI</w:t>
            </w:r>
            <w:r w:rsidRPr="009D3827">
              <w:rPr>
                <w:b/>
                <w:bCs/>
                <w:color w:val="000000" w:themeColor="text1"/>
                <w:sz w:val="22"/>
                <w:szCs w:val="22"/>
                <w:lang w:eastAsia="uk-UA"/>
              </w:rPr>
              <w:t>, а також</w:t>
            </w:r>
            <w:r w:rsidRPr="009D3827">
              <w:rPr>
                <w:b/>
                <w:color w:val="000000" w:themeColor="text1"/>
                <w:sz w:val="22"/>
                <w:szCs w:val="22"/>
                <w:lang w:eastAsia="uk-UA"/>
              </w:rPr>
              <w:t xml:space="preserve"> </w:t>
            </w:r>
            <w:r w:rsidRPr="009D3827">
              <w:rPr>
                <w:b/>
                <w:bCs/>
                <w:color w:val="000000" w:themeColor="text1"/>
                <w:sz w:val="22"/>
                <w:szCs w:val="22"/>
                <w:lang w:eastAsia="uk-UA"/>
              </w:rPr>
              <w:t>невідповідності фактичних показників SAIDI прогнозному (розрахунковому) значенню, визначеному відповідно до вимог пункту 5.19 Порядку №1175</w:t>
            </w:r>
            <w:r w:rsidRPr="009D3827">
              <w:rPr>
                <w:color w:val="000000" w:themeColor="text1"/>
                <w:sz w:val="22"/>
                <w:szCs w:val="22"/>
                <w:lang w:eastAsia="uk-UA"/>
              </w:rPr>
              <w:t>, ліцензіат має надати деталізацію причин такого погіршення/</w:t>
            </w:r>
            <w:r w:rsidRPr="009D3827">
              <w:rPr>
                <w:b/>
                <w:bCs/>
                <w:color w:val="000000" w:themeColor="text1"/>
                <w:sz w:val="22"/>
                <w:szCs w:val="22"/>
                <w:lang w:eastAsia="uk-UA"/>
              </w:rPr>
              <w:t>відхилення</w:t>
            </w:r>
            <w:r w:rsidRPr="009D3827">
              <w:rPr>
                <w:color w:val="000000" w:themeColor="text1"/>
                <w:sz w:val="22"/>
                <w:szCs w:val="22"/>
                <w:lang w:eastAsia="uk-UA"/>
              </w:rPr>
              <w:t xml:space="preserve"> у звітних роках</w:t>
            </w:r>
          </w:p>
          <w:p w:rsidR="007F4594" w:rsidRPr="009D3827" w:rsidRDefault="007F4594" w:rsidP="007F4594">
            <w:pPr>
              <w:ind w:firstLine="308"/>
              <w:jc w:val="both"/>
              <w:rPr>
                <w:i/>
                <w:sz w:val="22"/>
                <w:szCs w:val="22"/>
                <w:shd w:val="clear" w:color="auto" w:fill="FFFFFF"/>
              </w:rPr>
            </w:pPr>
          </w:p>
          <w:p w:rsidR="007F4594" w:rsidRPr="009D6884" w:rsidRDefault="007F4594" w:rsidP="007F4594">
            <w:pPr>
              <w:ind w:firstLine="308"/>
              <w:jc w:val="both"/>
              <w:rPr>
                <w:i/>
                <w:sz w:val="22"/>
                <w:szCs w:val="22"/>
                <w:shd w:val="clear" w:color="auto" w:fill="FFFFFF"/>
              </w:rPr>
            </w:pPr>
            <w:r w:rsidRPr="009D6884">
              <w:rPr>
                <w:i/>
                <w:sz w:val="22"/>
                <w:szCs w:val="22"/>
                <w:shd w:val="clear" w:color="auto" w:fill="FFFFFF"/>
              </w:rPr>
              <w:t>ОБҐРУНТУВАННЯ:</w:t>
            </w:r>
          </w:p>
          <w:p w:rsidR="007F4594" w:rsidRPr="009D3827" w:rsidRDefault="007F4594" w:rsidP="007F4594">
            <w:pPr>
              <w:ind w:firstLine="308"/>
              <w:jc w:val="both"/>
              <w:rPr>
                <w:i/>
                <w:sz w:val="22"/>
                <w:szCs w:val="22"/>
                <w:shd w:val="clear" w:color="auto" w:fill="FFFFFF"/>
              </w:rPr>
            </w:pPr>
            <w:r w:rsidRPr="009D6884">
              <w:rPr>
                <w:i/>
                <w:sz w:val="22"/>
                <w:szCs w:val="22"/>
                <w:shd w:val="clear" w:color="auto" w:fill="FFFFFF"/>
              </w:rPr>
              <w:t xml:space="preserve">Редакційна правка. Пропонується дана редакція, оскільки порівнюється відповідність </w:t>
            </w:r>
            <w:r w:rsidRPr="009D6884">
              <w:rPr>
                <w:i/>
                <w:sz w:val="22"/>
                <w:szCs w:val="22"/>
                <w:shd w:val="clear" w:color="auto" w:fill="FFFFFF"/>
              </w:rPr>
              <w:lastRenderedPageBreak/>
              <w:t>фактичного показника SAIDI розрахунковому SAIDI (цільове завдання) протягом першого регуляторного періоду.</w:t>
            </w:r>
          </w:p>
        </w:tc>
        <w:tc>
          <w:tcPr>
            <w:tcW w:w="5066" w:type="dxa"/>
            <w:shd w:val="clear" w:color="auto" w:fill="auto"/>
          </w:tcPr>
          <w:p w:rsidR="007F4594" w:rsidRDefault="007F4594" w:rsidP="007F4594">
            <w:pPr>
              <w:jc w:val="both"/>
              <w:rPr>
                <w:b/>
                <w:sz w:val="22"/>
                <w:szCs w:val="22"/>
              </w:rPr>
            </w:pPr>
          </w:p>
          <w:p w:rsidR="007F4594" w:rsidRDefault="007F4594" w:rsidP="007F4594">
            <w:pPr>
              <w:jc w:val="both"/>
              <w:rPr>
                <w:b/>
                <w:sz w:val="22"/>
                <w:szCs w:val="22"/>
              </w:rPr>
            </w:pPr>
          </w:p>
          <w:p w:rsidR="007F4594" w:rsidRDefault="007F4594" w:rsidP="007F4594">
            <w:pPr>
              <w:jc w:val="both"/>
              <w:rPr>
                <w:b/>
                <w:sz w:val="22"/>
                <w:szCs w:val="22"/>
              </w:rPr>
            </w:pPr>
          </w:p>
          <w:p w:rsidR="007F4594" w:rsidRDefault="007F4594" w:rsidP="007F4594">
            <w:pPr>
              <w:jc w:val="both"/>
              <w:rPr>
                <w:b/>
                <w:sz w:val="22"/>
                <w:szCs w:val="22"/>
              </w:rPr>
            </w:pPr>
          </w:p>
          <w:p w:rsidR="007F4594" w:rsidRDefault="007F4594" w:rsidP="007F4594">
            <w:pPr>
              <w:jc w:val="both"/>
              <w:rPr>
                <w:b/>
                <w:sz w:val="22"/>
                <w:szCs w:val="22"/>
              </w:rPr>
            </w:pPr>
          </w:p>
          <w:p w:rsidR="007F4594" w:rsidRDefault="007F4594" w:rsidP="007F4594">
            <w:pPr>
              <w:jc w:val="both"/>
              <w:rPr>
                <w:b/>
                <w:sz w:val="22"/>
                <w:szCs w:val="22"/>
              </w:rPr>
            </w:pPr>
          </w:p>
          <w:p w:rsidR="007F4594" w:rsidRDefault="007F4594" w:rsidP="007F4594">
            <w:pPr>
              <w:jc w:val="both"/>
              <w:rPr>
                <w:b/>
                <w:sz w:val="22"/>
                <w:szCs w:val="22"/>
              </w:rPr>
            </w:pPr>
          </w:p>
          <w:p w:rsidR="007F4594" w:rsidRDefault="007F4594" w:rsidP="007F4594">
            <w:pPr>
              <w:jc w:val="both"/>
              <w:rPr>
                <w:b/>
                <w:sz w:val="22"/>
                <w:szCs w:val="22"/>
              </w:rPr>
            </w:pPr>
          </w:p>
          <w:p w:rsidR="007F4594" w:rsidRDefault="007F4594" w:rsidP="007F4594">
            <w:pPr>
              <w:jc w:val="both"/>
              <w:rPr>
                <w:b/>
                <w:sz w:val="22"/>
                <w:szCs w:val="22"/>
              </w:rPr>
            </w:pPr>
          </w:p>
          <w:p w:rsidR="007F4594" w:rsidRDefault="007F4594" w:rsidP="007F4594">
            <w:pPr>
              <w:jc w:val="both"/>
              <w:rPr>
                <w:b/>
                <w:sz w:val="22"/>
                <w:szCs w:val="22"/>
              </w:rPr>
            </w:pPr>
          </w:p>
          <w:p w:rsidR="007F4594" w:rsidRDefault="007F4594" w:rsidP="007F4594">
            <w:pPr>
              <w:jc w:val="both"/>
              <w:rPr>
                <w:b/>
                <w:sz w:val="22"/>
                <w:szCs w:val="22"/>
              </w:rPr>
            </w:pPr>
          </w:p>
          <w:p w:rsidR="007F4594" w:rsidRDefault="007F4594" w:rsidP="007F4594">
            <w:pPr>
              <w:jc w:val="both"/>
              <w:rPr>
                <w:b/>
                <w:sz w:val="22"/>
                <w:szCs w:val="22"/>
              </w:rPr>
            </w:pPr>
          </w:p>
          <w:p w:rsidR="007F4594" w:rsidRDefault="007F4594" w:rsidP="007F4594">
            <w:pPr>
              <w:jc w:val="both"/>
              <w:rPr>
                <w:b/>
                <w:sz w:val="22"/>
                <w:szCs w:val="22"/>
              </w:rPr>
            </w:pPr>
          </w:p>
          <w:p w:rsidR="007F4594" w:rsidRPr="00211485" w:rsidRDefault="007F4594" w:rsidP="007F4594">
            <w:pPr>
              <w:jc w:val="both"/>
              <w:rPr>
                <w:b/>
                <w:sz w:val="22"/>
                <w:szCs w:val="22"/>
              </w:rPr>
            </w:pPr>
          </w:p>
          <w:p w:rsidR="007F4594" w:rsidRPr="00211485" w:rsidRDefault="007F4594" w:rsidP="007F4594">
            <w:pPr>
              <w:jc w:val="both"/>
              <w:rPr>
                <w:b/>
                <w:sz w:val="22"/>
                <w:szCs w:val="22"/>
              </w:rPr>
            </w:pPr>
          </w:p>
          <w:p w:rsidR="007F4594" w:rsidRPr="002E417C" w:rsidRDefault="007F4594" w:rsidP="007F4594">
            <w:pPr>
              <w:ind w:firstLine="276"/>
              <w:jc w:val="both"/>
              <w:rPr>
                <w:b/>
                <w:sz w:val="22"/>
                <w:szCs w:val="22"/>
              </w:rPr>
            </w:pPr>
            <w:r w:rsidRPr="002E417C">
              <w:rPr>
                <w:b/>
                <w:sz w:val="22"/>
                <w:szCs w:val="22"/>
              </w:rPr>
              <w:t>Враховано частково</w:t>
            </w:r>
          </w:p>
          <w:p w:rsidR="007F4594" w:rsidRPr="002E417C" w:rsidRDefault="007F4594" w:rsidP="007F4594">
            <w:pPr>
              <w:ind w:firstLine="276"/>
              <w:jc w:val="both"/>
              <w:rPr>
                <w:b/>
                <w:color w:val="000000" w:themeColor="text1"/>
                <w:sz w:val="22"/>
                <w:szCs w:val="22"/>
              </w:rPr>
            </w:pPr>
            <w:r w:rsidRPr="002E417C">
              <w:rPr>
                <w:b/>
                <w:color w:val="000000" w:themeColor="text1"/>
                <w:sz w:val="22"/>
                <w:szCs w:val="22"/>
              </w:rPr>
              <w:t>Пропонується наступна редакція:</w:t>
            </w:r>
          </w:p>
          <w:p w:rsidR="007F4594" w:rsidRPr="00211485" w:rsidRDefault="007F4594" w:rsidP="007F4594">
            <w:pPr>
              <w:jc w:val="both"/>
              <w:rPr>
                <w:color w:val="000000" w:themeColor="text1"/>
                <w:sz w:val="22"/>
                <w:szCs w:val="22"/>
                <w:lang w:eastAsia="uk-UA"/>
              </w:rPr>
            </w:pPr>
            <w:r w:rsidRPr="002E417C">
              <w:rPr>
                <w:color w:val="000000" w:themeColor="text1"/>
                <w:sz w:val="22"/>
                <w:szCs w:val="22"/>
                <w:lang w:eastAsia="uk-UA"/>
              </w:rPr>
              <w:t xml:space="preserve">«У разі </w:t>
            </w:r>
            <w:r w:rsidRPr="002E417C">
              <w:rPr>
                <w:sz w:val="22"/>
                <w:szCs w:val="22"/>
                <w:lang w:eastAsia="uk-UA"/>
              </w:rPr>
              <w:t>погіршення фактичних показників SAIDI</w:t>
            </w:r>
            <w:r w:rsidRPr="002E417C">
              <w:rPr>
                <w:b/>
                <w:bCs/>
                <w:color w:val="000000" w:themeColor="text1"/>
                <w:sz w:val="22"/>
                <w:szCs w:val="22"/>
                <w:lang w:eastAsia="uk-UA"/>
              </w:rPr>
              <w:t>, та/або</w:t>
            </w:r>
            <w:r w:rsidRPr="002E417C">
              <w:rPr>
                <w:b/>
                <w:color w:val="000000" w:themeColor="text1"/>
                <w:sz w:val="22"/>
                <w:szCs w:val="22"/>
                <w:lang w:eastAsia="uk-UA"/>
              </w:rPr>
              <w:t xml:space="preserve"> </w:t>
            </w:r>
            <w:r w:rsidRPr="002E417C">
              <w:rPr>
                <w:b/>
                <w:bCs/>
                <w:color w:val="000000" w:themeColor="text1"/>
                <w:sz w:val="22"/>
                <w:szCs w:val="22"/>
                <w:lang w:eastAsia="uk-UA"/>
              </w:rPr>
              <w:t>перевищення фактичних показників SAIDI порівняно з прогнозними (розрахунковими) значеннями, визначеними відповідно до вимог пункту 5.19 Порядку №1175</w:t>
            </w:r>
            <w:r w:rsidRPr="002E417C">
              <w:rPr>
                <w:color w:val="000000" w:themeColor="text1"/>
                <w:sz w:val="22"/>
                <w:szCs w:val="22"/>
                <w:lang w:eastAsia="uk-UA"/>
              </w:rPr>
              <w:t>, ліцензіат має надати деталізацію причин такого погіршення/</w:t>
            </w:r>
            <w:r w:rsidRPr="002E417C">
              <w:rPr>
                <w:b/>
                <w:bCs/>
                <w:color w:val="000000" w:themeColor="text1"/>
                <w:sz w:val="22"/>
                <w:szCs w:val="22"/>
                <w:lang w:eastAsia="uk-UA"/>
              </w:rPr>
              <w:t>перевищення</w:t>
            </w:r>
            <w:r w:rsidRPr="002E417C">
              <w:rPr>
                <w:color w:val="000000" w:themeColor="text1"/>
                <w:sz w:val="22"/>
                <w:szCs w:val="22"/>
                <w:lang w:eastAsia="uk-UA"/>
              </w:rPr>
              <w:t xml:space="preserve"> у звітних роках.»</w:t>
            </w:r>
          </w:p>
          <w:p w:rsidR="007F4594" w:rsidRPr="00211485"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Pr="009D3827" w:rsidRDefault="007F4594" w:rsidP="007F4594">
            <w:pPr>
              <w:rPr>
                <w:b/>
                <w:sz w:val="22"/>
                <w:szCs w:val="22"/>
              </w:rPr>
            </w:pPr>
          </w:p>
        </w:tc>
      </w:tr>
      <w:tr w:rsidR="007F4594" w:rsidRPr="009D3827" w:rsidTr="00BF5C81">
        <w:trPr>
          <w:trHeight w:val="595"/>
        </w:trPr>
        <w:tc>
          <w:tcPr>
            <w:tcW w:w="5065" w:type="dxa"/>
            <w:shd w:val="clear" w:color="auto" w:fill="auto"/>
          </w:tcPr>
          <w:p w:rsidR="007F4594" w:rsidRPr="009D3827" w:rsidRDefault="007F4594" w:rsidP="007F4594">
            <w:pPr>
              <w:ind w:firstLine="308"/>
              <w:jc w:val="both"/>
              <w:rPr>
                <w:sz w:val="22"/>
                <w:szCs w:val="22"/>
                <w:shd w:val="clear" w:color="auto" w:fill="FFFFFF"/>
              </w:rPr>
            </w:pPr>
            <w:r w:rsidRPr="009D3827">
              <w:rPr>
                <w:sz w:val="22"/>
                <w:szCs w:val="22"/>
                <w:shd w:val="clear" w:color="auto" w:fill="FFFFFF"/>
              </w:rPr>
              <w:lastRenderedPageBreak/>
              <w:t>4.3. Стан щорічного зниження ліцензіатом фактичних витрат електричної енергії у мережах.</w:t>
            </w:r>
          </w:p>
          <w:p w:rsidR="007F4594" w:rsidRPr="009D3827" w:rsidRDefault="007F4594" w:rsidP="007F4594">
            <w:pPr>
              <w:ind w:firstLine="308"/>
              <w:jc w:val="both"/>
              <w:rPr>
                <w:sz w:val="22"/>
                <w:szCs w:val="22"/>
                <w:shd w:val="clear" w:color="auto" w:fill="FFFFFF"/>
              </w:rPr>
            </w:pPr>
          </w:p>
          <w:p w:rsidR="007F4594" w:rsidRPr="009D3827" w:rsidRDefault="007F4594" w:rsidP="007F4594">
            <w:pPr>
              <w:ind w:firstLine="308"/>
              <w:jc w:val="both"/>
              <w:rPr>
                <w:sz w:val="22"/>
                <w:szCs w:val="22"/>
                <w:shd w:val="clear" w:color="auto" w:fill="FFFFFF"/>
              </w:rPr>
            </w:pPr>
            <w:r w:rsidRPr="009D3827">
              <w:rPr>
                <w:sz w:val="22"/>
                <w:szCs w:val="22"/>
                <w:shd w:val="clear" w:color="auto" w:fill="FFFFFF"/>
              </w:rPr>
              <w:t>&lt;…&gt;</w:t>
            </w:r>
          </w:p>
          <w:p w:rsidR="007F4594" w:rsidRPr="009D3827" w:rsidRDefault="007F4594" w:rsidP="007F4594">
            <w:pPr>
              <w:ind w:firstLine="308"/>
              <w:jc w:val="both"/>
              <w:rPr>
                <w:sz w:val="22"/>
                <w:szCs w:val="22"/>
                <w:shd w:val="clear" w:color="auto" w:fill="FFFFFF"/>
              </w:rPr>
            </w:pPr>
          </w:p>
          <w:p w:rsidR="007F4594" w:rsidRPr="009D3827" w:rsidRDefault="007F4594" w:rsidP="007F4594">
            <w:pPr>
              <w:ind w:firstLine="308"/>
              <w:jc w:val="both"/>
              <w:rPr>
                <w:sz w:val="22"/>
                <w:szCs w:val="22"/>
                <w:shd w:val="clear" w:color="auto" w:fill="FFFFFF"/>
              </w:rPr>
            </w:pPr>
            <w:r w:rsidRPr="009D3827">
              <w:rPr>
                <w:sz w:val="22"/>
                <w:szCs w:val="22"/>
                <w:shd w:val="clear" w:color="auto" w:fill="FFFFFF"/>
              </w:rPr>
              <w:t>Таблиця 5</w:t>
            </w:r>
          </w:p>
        </w:tc>
        <w:tc>
          <w:tcPr>
            <w:tcW w:w="5066" w:type="dxa"/>
            <w:shd w:val="clear" w:color="auto" w:fill="auto"/>
          </w:tcPr>
          <w:p w:rsidR="007F4594" w:rsidRPr="009D3827" w:rsidRDefault="007F4594" w:rsidP="007F4594">
            <w:pPr>
              <w:ind w:firstLine="308"/>
              <w:jc w:val="both"/>
              <w:rPr>
                <w:i/>
                <w:sz w:val="22"/>
                <w:szCs w:val="22"/>
                <w:shd w:val="clear" w:color="auto" w:fill="FFFFFF"/>
              </w:rPr>
            </w:pPr>
            <w:r w:rsidRPr="009D3827">
              <w:rPr>
                <w:i/>
                <w:sz w:val="22"/>
                <w:szCs w:val="22"/>
                <w:shd w:val="clear" w:color="auto" w:fill="FFFFFF"/>
              </w:rPr>
              <w:t>Програма Забезпечення енергопостачання, підвищення стійкості та сполучення (SPARC)</w:t>
            </w: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b/>
                <w:bCs/>
                <w:sz w:val="22"/>
                <w:szCs w:val="22"/>
                <w:shd w:val="clear" w:color="auto" w:fill="FFFFFF"/>
              </w:rPr>
            </w:pPr>
            <w:r w:rsidRPr="009D3827">
              <w:rPr>
                <w:b/>
                <w:bCs/>
                <w:sz w:val="22"/>
                <w:szCs w:val="22"/>
                <w:shd w:val="clear" w:color="auto" w:fill="FFFFFF"/>
              </w:rPr>
              <w:t>Таблиця 5</w:t>
            </w: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r>
              <w:rPr>
                <w:i/>
                <w:sz w:val="22"/>
                <w:szCs w:val="22"/>
                <w:shd w:val="clear" w:color="auto" w:fill="FFFFFF"/>
              </w:rPr>
              <w:t>ОБҐРУНТУВАННЯ</w:t>
            </w:r>
            <w:r w:rsidRPr="009D3827">
              <w:rPr>
                <w:i/>
                <w:sz w:val="22"/>
                <w:szCs w:val="22"/>
                <w:shd w:val="clear" w:color="auto" w:fill="FFFFFF"/>
              </w:rPr>
              <w:t>:</w:t>
            </w: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sz w:val="22"/>
                <w:szCs w:val="22"/>
                <w:shd w:val="clear" w:color="auto" w:fill="FFFFFF"/>
              </w:rPr>
            </w:pPr>
            <w:r w:rsidRPr="009D3827">
              <w:rPr>
                <w:sz w:val="22"/>
                <w:szCs w:val="22"/>
                <w:shd w:val="clear" w:color="auto" w:fill="FFFFFF"/>
              </w:rPr>
              <w:t>Пункт 4.3. Порядку визначення стану забезпечення ліцензіатами умов першого регуляторного періоду передбачає перевірку стану щорічного зниження фактичних витрат електричної енергії у мережах. Однак, Таблиця 5 в запропонованій НКРЕКП редакції, не дозволяє визначити показник щорічного зниження фактичних технологічних витрат, так як в ній порівнюються фактичні дані з нормативними. Також ми розуміємо, що стан виконання має фіксуватися саме щодо відсотку зниження фактичних витрат електричної енергії у мережах.</w:t>
            </w:r>
          </w:p>
          <w:p w:rsidR="007F4594" w:rsidRPr="009D3827" w:rsidRDefault="007F4594" w:rsidP="007F4594">
            <w:pPr>
              <w:ind w:firstLine="308"/>
              <w:jc w:val="both"/>
              <w:rPr>
                <w:sz w:val="22"/>
                <w:szCs w:val="22"/>
                <w:shd w:val="clear" w:color="auto" w:fill="FFFFFF"/>
              </w:rPr>
            </w:pPr>
            <w:r w:rsidRPr="009D3827">
              <w:rPr>
                <w:sz w:val="22"/>
                <w:szCs w:val="22"/>
                <w:shd w:val="clear" w:color="auto" w:fill="FFFFFF"/>
              </w:rPr>
              <w:t xml:space="preserve">Тому пропонуємо оновлений формат таблиці, який дозволить здійснити порівняння фактичних даних впродовж регуляторного періоду </w:t>
            </w:r>
            <w:r w:rsidRPr="007D7B74">
              <w:rPr>
                <w:sz w:val="22"/>
                <w:szCs w:val="22"/>
                <w:shd w:val="clear" w:color="auto" w:fill="FFD966" w:themeFill="accent4" w:themeFillTint="99"/>
              </w:rPr>
              <w:t>(наведено нижче)</w:t>
            </w:r>
            <w:r w:rsidRPr="009D3827">
              <w:rPr>
                <w:sz w:val="22"/>
                <w:szCs w:val="22"/>
                <w:shd w:val="clear" w:color="auto" w:fill="FFFFFF"/>
              </w:rPr>
              <w:t>.</w:t>
            </w:r>
          </w:p>
          <w:p w:rsidR="007F4594"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r w:rsidRPr="009D3827">
              <w:rPr>
                <w:i/>
                <w:sz w:val="22"/>
                <w:szCs w:val="22"/>
                <w:shd w:val="clear" w:color="auto" w:fill="FFFFFF"/>
              </w:rPr>
              <w:t>АТ «ДТЕК ДНІПРОВСЬКІ ЕЛЕКТРОМЕРЕЖІ»</w:t>
            </w:r>
          </w:p>
          <w:p w:rsidR="007F4594" w:rsidRPr="009D3827" w:rsidRDefault="007F4594" w:rsidP="007F4594">
            <w:pPr>
              <w:ind w:firstLine="308"/>
              <w:jc w:val="both"/>
              <w:rPr>
                <w:i/>
                <w:sz w:val="22"/>
                <w:szCs w:val="22"/>
                <w:shd w:val="clear" w:color="auto" w:fill="FFFFFF"/>
              </w:rPr>
            </w:pPr>
            <w:r w:rsidRPr="009D3827">
              <w:rPr>
                <w:i/>
                <w:sz w:val="22"/>
                <w:szCs w:val="22"/>
                <w:shd w:val="clear" w:color="auto" w:fill="FFFFFF"/>
              </w:rPr>
              <w:t>АТ «ДТЕК ОДЕСЬКІ ЕЛЕКТРОМЕРЕЖІ»</w:t>
            </w:r>
          </w:p>
          <w:p w:rsidR="007F4594" w:rsidRPr="009D3827" w:rsidRDefault="007F4594" w:rsidP="007F4594">
            <w:pPr>
              <w:ind w:firstLine="308"/>
              <w:jc w:val="both"/>
              <w:rPr>
                <w:sz w:val="22"/>
                <w:szCs w:val="22"/>
                <w:shd w:val="clear" w:color="auto" w:fill="FFFFFF"/>
              </w:rPr>
            </w:pPr>
            <w:r w:rsidRPr="009D3827">
              <w:rPr>
                <w:sz w:val="22"/>
                <w:szCs w:val="22"/>
                <w:shd w:val="clear" w:color="auto" w:fill="FFFFFF"/>
              </w:rPr>
              <w:t>Пропонується вилучити пункти 4.3, таблицю 5</w:t>
            </w:r>
          </w:p>
          <w:p w:rsidR="007F4594" w:rsidRPr="009D3827" w:rsidRDefault="007F4594" w:rsidP="007F4594">
            <w:pPr>
              <w:ind w:firstLine="308"/>
              <w:jc w:val="both"/>
              <w:rPr>
                <w:i/>
                <w:sz w:val="22"/>
                <w:szCs w:val="22"/>
                <w:shd w:val="clear" w:color="auto" w:fill="FFFFFF"/>
              </w:rPr>
            </w:pPr>
          </w:p>
          <w:p w:rsidR="007F4594" w:rsidRPr="009D6884" w:rsidRDefault="007F4594" w:rsidP="007F4594">
            <w:pPr>
              <w:ind w:firstLine="308"/>
              <w:jc w:val="both"/>
              <w:rPr>
                <w:i/>
                <w:sz w:val="22"/>
                <w:szCs w:val="22"/>
                <w:shd w:val="clear" w:color="auto" w:fill="FFFFFF"/>
              </w:rPr>
            </w:pPr>
            <w:r w:rsidRPr="009D6884">
              <w:rPr>
                <w:i/>
                <w:sz w:val="22"/>
                <w:szCs w:val="22"/>
                <w:shd w:val="clear" w:color="auto" w:fill="FFFFFF"/>
              </w:rPr>
              <w:t>ОБҐРУНТУВАННЯ:</w:t>
            </w:r>
          </w:p>
          <w:p w:rsidR="007F4594" w:rsidRPr="009D6884" w:rsidRDefault="007F4594" w:rsidP="007F4594">
            <w:pPr>
              <w:ind w:firstLine="308"/>
              <w:jc w:val="both"/>
              <w:rPr>
                <w:i/>
                <w:sz w:val="22"/>
                <w:szCs w:val="22"/>
                <w:shd w:val="clear" w:color="auto" w:fill="FFFFFF"/>
              </w:rPr>
            </w:pPr>
            <w:r w:rsidRPr="009D6884">
              <w:rPr>
                <w:i/>
                <w:sz w:val="22"/>
                <w:szCs w:val="22"/>
                <w:shd w:val="clear" w:color="auto" w:fill="FFFFFF"/>
              </w:rPr>
              <w:t>Пропонується додатком до Методики фіксувати саме досягнення умов перебування в першому регуляторного періоді, що визначені ПНКРЕКП 1029.</w:t>
            </w:r>
          </w:p>
          <w:p w:rsidR="007F4594" w:rsidRPr="009D6884" w:rsidRDefault="007F4594" w:rsidP="007F4594">
            <w:pPr>
              <w:ind w:firstLine="308"/>
              <w:jc w:val="both"/>
              <w:rPr>
                <w:i/>
                <w:sz w:val="22"/>
                <w:szCs w:val="22"/>
                <w:shd w:val="clear" w:color="auto" w:fill="FFFFFF"/>
              </w:rPr>
            </w:pPr>
            <w:r w:rsidRPr="009D6884">
              <w:rPr>
                <w:i/>
                <w:sz w:val="22"/>
                <w:szCs w:val="22"/>
                <w:shd w:val="clear" w:color="auto" w:fill="FFFFFF"/>
              </w:rPr>
              <w:lastRenderedPageBreak/>
              <w:t>Досягнення показників ефективності не було визначено в умовах перебування в першому регуляторному періоді в рамках стимулюючого тарифоутворення. Показниками ефективності визначалися стимули для підвищення ефективності діяльності в умовах мирного часу. При цьому, для багатьох ОСР, через аварії та критичні пошкодження, а також зміну схем нормального режиму внаслідок воєнних дій, досягнення показників ефективності стало майже неможливим.</w:t>
            </w:r>
          </w:p>
          <w:p w:rsidR="007F4594" w:rsidRPr="009D6884" w:rsidRDefault="007F4594" w:rsidP="007F4594">
            <w:pPr>
              <w:ind w:firstLine="308"/>
              <w:jc w:val="both"/>
              <w:rPr>
                <w:i/>
                <w:sz w:val="22"/>
                <w:szCs w:val="22"/>
                <w:shd w:val="clear" w:color="auto" w:fill="FFFFFF"/>
              </w:rPr>
            </w:pPr>
            <w:r w:rsidRPr="009D6884">
              <w:rPr>
                <w:i/>
                <w:sz w:val="22"/>
                <w:szCs w:val="22"/>
                <w:shd w:val="clear" w:color="auto" w:fill="FFFFFF"/>
              </w:rPr>
              <w:t>Пропонується досліджувати питання досягнення показників ефективності, що визначені ПНКРЕКП 1009, в рамках окремих запитів-вимог НКРЕКП.</w:t>
            </w:r>
          </w:p>
          <w:p w:rsidR="007F4594" w:rsidRPr="009D6884" w:rsidRDefault="007F4594" w:rsidP="007F4594">
            <w:pPr>
              <w:ind w:firstLine="308"/>
              <w:jc w:val="both"/>
              <w:rPr>
                <w:i/>
                <w:sz w:val="22"/>
                <w:szCs w:val="22"/>
                <w:shd w:val="clear" w:color="auto" w:fill="FFFFFF"/>
              </w:rPr>
            </w:pPr>
          </w:p>
          <w:p w:rsidR="007F4594" w:rsidRDefault="007F4594" w:rsidP="007F4594">
            <w:pPr>
              <w:ind w:firstLine="308"/>
              <w:jc w:val="both"/>
              <w:rPr>
                <w:i/>
                <w:sz w:val="22"/>
                <w:szCs w:val="22"/>
                <w:shd w:val="clear" w:color="auto" w:fill="FFFFFF"/>
              </w:rPr>
            </w:pPr>
            <w:r>
              <w:rPr>
                <w:i/>
                <w:sz w:val="22"/>
                <w:szCs w:val="22"/>
                <w:shd w:val="clear" w:color="auto" w:fill="FFFFFF"/>
              </w:rPr>
              <w:t>ГС «РЕУ»</w:t>
            </w:r>
          </w:p>
          <w:p w:rsidR="007F4594" w:rsidRDefault="007F4594" w:rsidP="007F4594">
            <w:pPr>
              <w:ind w:firstLine="308"/>
              <w:jc w:val="both"/>
              <w:rPr>
                <w:i/>
                <w:sz w:val="22"/>
                <w:szCs w:val="22"/>
                <w:shd w:val="clear" w:color="auto" w:fill="FFFFFF"/>
              </w:rPr>
            </w:pPr>
            <w:r w:rsidRPr="0020247A">
              <w:rPr>
                <w:i/>
                <w:sz w:val="22"/>
                <w:szCs w:val="22"/>
                <w:shd w:val="clear" w:color="auto" w:fill="FFFFFF"/>
              </w:rPr>
              <w:t>АТ «ЧЕРНІВЦІОБЛЕНЕРГО»</w:t>
            </w:r>
          </w:p>
          <w:p w:rsidR="007F4594" w:rsidRDefault="007F4594" w:rsidP="007F4594">
            <w:pPr>
              <w:ind w:firstLine="308"/>
              <w:jc w:val="both"/>
              <w:rPr>
                <w:i/>
                <w:sz w:val="22"/>
                <w:szCs w:val="22"/>
                <w:shd w:val="clear" w:color="auto" w:fill="FFFFFF"/>
              </w:rPr>
            </w:pPr>
          </w:p>
          <w:tbl>
            <w:tblPr>
              <w:tblW w:w="4841" w:type="dxa"/>
              <w:tblLayout w:type="fixed"/>
              <w:tblLook w:val="04A0" w:firstRow="1" w:lastRow="0" w:firstColumn="1" w:lastColumn="0" w:noHBand="0" w:noVBand="1"/>
            </w:tblPr>
            <w:tblGrid>
              <w:gridCol w:w="731"/>
              <w:gridCol w:w="708"/>
              <w:gridCol w:w="1531"/>
              <w:gridCol w:w="1871"/>
            </w:tblGrid>
            <w:tr w:rsidR="007F4594" w:rsidRPr="00C5526A" w:rsidTr="00732E05">
              <w:trPr>
                <w:trHeight w:val="864"/>
              </w:trPr>
              <w:tc>
                <w:tcPr>
                  <w:tcW w:w="731" w:type="dxa"/>
                  <w:vMerge w:val="restart"/>
                  <w:tcBorders>
                    <w:top w:val="single" w:sz="8" w:space="0" w:color="auto"/>
                    <w:left w:val="single" w:sz="8" w:space="0" w:color="auto"/>
                    <w:bottom w:val="single" w:sz="8" w:space="0" w:color="000000"/>
                    <w:right w:val="single" w:sz="4" w:space="0" w:color="auto"/>
                  </w:tcBorders>
                  <w:noWrap/>
                  <w:vAlign w:val="center"/>
                  <w:hideMark/>
                </w:tcPr>
                <w:p w:rsidR="007F4594" w:rsidRPr="00C5526A" w:rsidRDefault="007F4594" w:rsidP="007F4594">
                  <w:pPr>
                    <w:jc w:val="center"/>
                    <w:rPr>
                      <w:bCs/>
                      <w:lang w:eastAsia="uk-UA"/>
                    </w:rPr>
                  </w:pPr>
                  <w:r w:rsidRPr="00C5526A">
                    <w:rPr>
                      <w:bCs/>
                      <w:lang w:eastAsia="uk-UA"/>
                    </w:rPr>
                    <w:t>Рік</w:t>
                  </w:r>
                </w:p>
              </w:tc>
              <w:tc>
                <w:tcPr>
                  <w:tcW w:w="708" w:type="dxa"/>
                  <w:vMerge w:val="restart"/>
                  <w:tcBorders>
                    <w:top w:val="single" w:sz="8" w:space="0" w:color="auto"/>
                    <w:left w:val="single" w:sz="4" w:space="0" w:color="auto"/>
                    <w:bottom w:val="single" w:sz="8" w:space="0" w:color="000000"/>
                    <w:right w:val="single" w:sz="4" w:space="0" w:color="auto"/>
                  </w:tcBorders>
                  <w:noWrap/>
                  <w:vAlign w:val="center"/>
                  <w:hideMark/>
                </w:tcPr>
                <w:p w:rsidR="007F4594" w:rsidRPr="00C5526A" w:rsidRDefault="007F4594" w:rsidP="007F4594">
                  <w:pPr>
                    <w:jc w:val="center"/>
                    <w:rPr>
                      <w:bCs/>
                      <w:lang w:eastAsia="uk-UA"/>
                    </w:rPr>
                  </w:pPr>
                  <w:r w:rsidRPr="00C5526A">
                    <w:rPr>
                      <w:bCs/>
                      <w:lang w:eastAsia="uk-UA"/>
                    </w:rPr>
                    <w:t>Клас напруги</w:t>
                  </w:r>
                </w:p>
              </w:tc>
              <w:tc>
                <w:tcPr>
                  <w:tcW w:w="1531" w:type="dxa"/>
                  <w:tcBorders>
                    <w:top w:val="single" w:sz="8" w:space="0" w:color="auto"/>
                    <w:left w:val="nil"/>
                    <w:bottom w:val="single" w:sz="4" w:space="0" w:color="auto"/>
                    <w:right w:val="single" w:sz="4" w:space="0" w:color="auto"/>
                  </w:tcBorders>
                  <w:vAlign w:val="center"/>
                  <w:hideMark/>
                </w:tcPr>
                <w:p w:rsidR="007F4594" w:rsidRPr="00C5526A" w:rsidRDefault="007F4594" w:rsidP="007F4594">
                  <w:pPr>
                    <w:jc w:val="center"/>
                    <w:rPr>
                      <w:bCs/>
                      <w:lang w:eastAsia="uk-UA"/>
                    </w:rPr>
                  </w:pPr>
                  <w:r w:rsidRPr="00C5526A">
                    <w:rPr>
                      <w:bCs/>
                      <w:lang w:eastAsia="uk-UA"/>
                    </w:rPr>
                    <w:t xml:space="preserve">Економічні коефіцієнти прогнозованих технологічних витрат електроенергії </w:t>
                  </w:r>
                  <w:r w:rsidRPr="00C5526A">
                    <w:t>(ЕКПТВЕ*100)</w:t>
                  </w:r>
                </w:p>
              </w:tc>
              <w:tc>
                <w:tcPr>
                  <w:tcW w:w="1871" w:type="dxa"/>
                  <w:tcBorders>
                    <w:top w:val="single" w:sz="8" w:space="0" w:color="auto"/>
                    <w:left w:val="nil"/>
                    <w:bottom w:val="single" w:sz="4" w:space="0" w:color="auto"/>
                    <w:right w:val="single" w:sz="4" w:space="0" w:color="auto"/>
                  </w:tcBorders>
                  <w:vAlign w:val="center"/>
                  <w:hideMark/>
                </w:tcPr>
                <w:p w:rsidR="007F4594" w:rsidRPr="00340A9B" w:rsidRDefault="007F4594" w:rsidP="007F4594">
                  <w:pPr>
                    <w:jc w:val="center"/>
                    <w:rPr>
                      <w:i/>
                      <w:strike/>
                    </w:rPr>
                  </w:pPr>
                  <w:r w:rsidRPr="00C5526A">
                    <w:t xml:space="preserve">Фактичні витрати електроенергії  </w:t>
                  </w:r>
                  <w:r w:rsidRPr="009D543D">
                    <w:rPr>
                      <w:i/>
                      <w:strike/>
                    </w:rPr>
                    <w:t>(як співвідношення до фактичних обсягів розподілу електричної енергії)</w:t>
                  </w:r>
                </w:p>
              </w:tc>
            </w:tr>
            <w:tr w:rsidR="007F4594" w:rsidRPr="00C5526A" w:rsidTr="00732E05">
              <w:trPr>
                <w:trHeight w:val="300"/>
              </w:trPr>
              <w:tc>
                <w:tcPr>
                  <w:tcW w:w="731" w:type="dxa"/>
                  <w:vMerge/>
                  <w:tcBorders>
                    <w:top w:val="single" w:sz="8" w:space="0" w:color="auto"/>
                    <w:left w:val="single" w:sz="8" w:space="0" w:color="auto"/>
                    <w:bottom w:val="single" w:sz="8" w:space="0" w:color="000000"/>
                    <w:right w:val="single" w:sz="4" w:space="0" w:color="auto"/>
                  </w:tcBorders>
                  <w:vAlign w:val="center"/>
                  <w:hideMark/>
                </w:tcPr>
                <w:p w:rsidR="007F4594" w:rsidRPr="00C5526A" w:rsidRDefault="007F4594" w:rsidP="007F4594">
                  <w:pPr>
                    <w:rPr>
                      <w:b/>
                      <w:bCs/>
                      <w:lang w:eastAsia="uk-UA"/>
                    </w:rPr>
                  </w:pPr>
                </w:p>
              </w:tc>
              <w:tc>
                <w:tcPr>
                  <w:tcW w:w="708" w:type="dxa"/>
                  <w:vMerge/>
                  <w:tcBorders>
                    <w:top w:val="single" w:sz="8" w:space="0" w:color="auto"/>
                    <w:left w:val="single" w:sz="4" w:space="0" w:color="auto"/>
                    <w:bottom w:val="single" w:sz="8" w:space="0" w:color="000000"/>
                    <w:right w:val="single" w:sz="4" w:space="0" w:color="auto"/>
                  </w:tcBorders>
                  <w:vAlign w:val="center"/>
                  <w:hideMark/>
                </w:tcPr>
                <w:p w:rsidR="007F4594" w:rsidRPr="00C5526A" w:rsidRDefault="007F4594" w:rsidP="007F4594">
                  <w:pPr>
                    <w:rPr>
                      <w:b/>
                      <w:bCs/>
                      <w:lang w:eastAsia="uk-UA"/>
                    </w:rPr>
                  </w:pPr>
                </w:p>
              </w:tc>
              <w:tc>
                <w:tcPr>
                  <w:tcW w:w="1531" w:type="dxa"/>
                  <w:tcBorders>
                    <w:top w:val="nil"/>
                    <w:left w:val="nil"/>
                    <w:bottom w:val="single" w:sz="8" w:space="0" w:color="auto"/>
                    <w:right w:val="single" w:sz="4" w:space="0" w:color="auto"/>
                  </w:tcBorders>
                  <w:noWrap/>
                  <w:vAlign w:val="center"/>
                  <w:hideMark/>
                </w:tcPr>
                <w:p w:rsidR="007F4594" w:rsidRPr="00C5526A" w:rsidRDefault="007F4594" w:rsidP="007F4594">
                  <w:pPr>
                    <w:jc w:val="center"/>
                    <w:rPr>
                      <w:lang w:eastAsia="uk-UA"/>
                    </w:rPr>
                  </w:pPr>
                  <w:r w:rsidRPr="00C5526A">
                    <w:rPr>
                      <w:lang w:eastAsia="uk-UA"/>
                    </w:rPr>
                    <w:t>%</w:t>
                  </w:r>
                </w:p>
              </w:tc>
              <w:tc>
                <w:tcPr>
                  <w:tcW w:w="1871" w:type="dxa"/>
                  <w:tcBorders>
                    <w:top w:val="nil"/>
                    <w:left w:val="nil"/>
                    <w:bottom w:val="single" w:sz="8" w:space="0" w:color="auto"/>
                    <w:right w:val="single" w:sz="4" w:space="0" w:color="auto"/>
                  </w:tcBorders>
                  <w:noWrap/>
                  <w:vAlign w:val="bottom"/>
                  <w:hideMark/>
                </w:tcPr>
                <w:p w:rsidR="007F4594" w:rsidRPr="00C5526A" w:rsidRDefault="007F4594" w:rsidP="007F4594">
                  <w:pPr>
                    <w:jc w:val="center"/>
                    <w:rPr>
                      <w:lang w:eastAsia="uk-UA"/>
                    </w:rPr>
                  </w:pPr>
                  <w:r w:rsidRPr="00C5526A">
                    <w:rPr>
                      <w:lang w:eastAsia="uk-UA"/>
                    </w:rPr>
                    <w:t>%</w:t>
                  </w:r>
                </w:p>
              </w:tc>
            </w:tr>
          </w:tbl>
          <w:p w:rsidR="007F4594" w:rsidRPr="007C7877" w:rsidRDefault="007F4594" w:rsidP="007F4594">
            <w:pPr>
              <w:ind w:firstLine="308"/>
              <w:jc w:val="both"/>
              <w:rPr>
                <w:i/>
                <w:sz w:val="22"/>
                <w:szCs w:val="22"/>
                <w:shd w:val="clear" w:color="auto" w:fill="FFFFFF"/>
              </w:rPr>
            </w:pPr>
          </w:p>
          <w:p w:rsidR="007F4594" w:rsidRPr="0031224E" w:rsidRDefault="007F4594" w:rsidP="007F4594">
            <w:pPr>
              <w:ind w:firstLine="308"/>
              <w:jc w:val="both"/>
              <w:rPr>
                <w:i/>
                <w:sz w:val="22"/>
                <w:szCs w:val="22"/>
                <w:shd w:val="clear" w:color="auto" w:fill="FFFFFF"/>
              </w:rPr>
            </w:pPr>
            <w:r w:rsidRPr="0031224E">
              <w:rPr>
                <w:i/>
                <w:sz w:val="22"/>
                <w:szCs w:val="22"/>
                <w:shd w:val="clear" w:color="auto" w:fill="FFFFFF"/>
              </w:rPr>
              <w:t>ОБҐРУНТУВАННЯ:</w:t>
            </w:r>
          </w:p>
          <w:p w:rsidR="007F4594" w:rsidRPr="0031224E" w:rsidRDefault="007F4594" w:rsidP="007F4594">
            <w:pPr>
              <w:ind w:firstLine="308"/>
              <w:jc w:val="both"/>
              <w:rPr>
                <w:i/>
                <w:sz w:val="22"/>
                <w:szCs w:val="22"/>
              </w:rPr>
            </w:pPr>
            <w:r w:rsidRPr="0031224E">
              <w:rPr>
                <w:i/>
                <w:sz w:val="22"/>
                <w:szCs w:val="22"/>
                <w:shd w:val="clear" w:color="auto" w:fill="FFFFFF"/>
              </w:rPr>
              <w:t>Відповідно</w:t>
            </w:r>
            <w:r w:rsidRPr="0031224E">
              <w:rPr>
                <w:i/>
                <w:sz w:val="22"/>
                <w:szCs w:val="22"/>
              </w:rPr>
              <w:t xml:space="preserve"> до пункту 6.6 Глави 6 Тимчасового порядку визначення обсягів купівлі електричної енергії на ринку електричної енергії електропостачальниками та операторами системи розподілу на перехідний період, затвердженого постановою НКРЕКП від 28.12.2018 року №2118 </w:t>
            </w:r>
          </w:p>
          <w:p w:rsidR="007F4594" w:rsidRPr="0031224E" w:rsidRDefault="007F4594" w:rsidP="007F4594">
            <w:pPr>
              <w:ind w:left="34"/>
              <w:jc w:val="both"/>
              <w:rPr>
                <w:i/>
                <w:sz w:val="22"/>
                <w:szCs w:val="22"/>
              </w:rPr>
            </w:pPr>
            <w:r w:rsidRPr="0031224E">
              <w:rPr>
                <w:i/>
                <w:sz w:val="22"/>
                <w:szCs w:val="22"/>
              </w:rPr>
              <w:t>Фактичний обсяг купівлі ОСР ТВЕ на розподіл електричними мережами ОСР (</w:t>
            </w:r>
            <w:proofErr w:type="spellStart"/>
            <w:r w:rsidRPr="0031224E">
              <w:rPr>
                <w:i/>
                <w:sz w:val="22"/>
                <w:szCs w:val="22"/>
              </w:rPr>
              <w:t>Е</w:t>
            </w:r>
            <w:r w:rsidRPr="0031224E">
              <w:rPr>
                <w:b/>
                <w:bCs/>
                <w:i/>
                <w:sz w:val="22"/>
                <w:szCs w:val="22"/>
                <w:vertAlign w:val="subscript"/>
              </w:rPr>
              <w:t>М</w:t>
            </w:r>
            <w:r w:rsidRPr="0031224E">
              <w:rPr>
                <w:b/>
                <w:bCs/>
                <w:i/>
                <w:sz w:val="22"/>
                <w:szCs w:val="22"/>
                <w:vertAlign w:val="superscript"/>
              </w:rPr>
              <w:t>витр</w:t>
            </w:r>
            <w:proofErr w:type="spellEnd"/>
            <w:r w:rsidRPr="0031224E">
              <w:rPr>
                <w:i/>
                <w:sz w:val="22"/>
                <w:szCs w:val="22"/>
              </w:rPr>
              <w:t xml:space="preserve">) це різниця між Фактичним обсягом надходження </w:t>
            </w:r>
            <w:r w:rsidRPr="0031224E">
              <w:rPr>
                <w:i/>
                <w:sz w:val="22"/>
                <w:szCs w:val="22"/>
              </w:rPr>
              <w:lastRenderedPageBreak/>
              <w:t>(споживання електричної енергії «брутто») до електричних мереж ОСР за даними приладів обліку за (Е</w:t>
            </w:r>
            <w:r w:rsidRPr="0031224E">
              <w:rPr>
                <w:b/>
                <w:bCs/>
                <w:i/>
                <w:sz w:val="22"/>
                <w:szCs w:val="22"/>
                <w:vertAlign w:val="subscript"/>
              </w:rPr>
              <w:t>М</w:t>
            </w:r>
            <w:r w:rsidRPr="0031224E">
              <w:rPr>
                <w:b/>
                <w:bCs/>
                <w:i/>
                <w:sz w:val="22"/>
                <w:szCs w:val="22"/>
                <w:vertAlign w:val="superscript"/>
              </w:rPr>
              <w:t>ОСР</w:t>
            </w:r>
            <w:r w:rsidRPr="0031224E">
              <w:rPr>
                <w:i/>
                <w:sz w:val="22"/>
                <w:szCs w:val="22"/>
              </w:rPr>
              <w:t>) та сумарний фактичний обсяг купівлі електричної енергії електропостачальником для площадок вимірювання групи «а» та «б» споживачів (субспоживачів), та   розраховуються за формулою:</w:t>
            </w:r>
          </w:p>
          <w:p w:rsidR="007F4594" w:rsidRPr="0031224E" w:rsidRDefault="007F4594" w:rsidP="007F4594">
            <w:pPr>
              <w:ind w:left="34"/>
              <w:jc w:val="both"/>
              <w:rPr>
                <w:i/>
                <w:sz w:val="22"/>
                <w:szCs w:val="22"/>
              </w:rPr>
            </w:pPr>
          </w:p>
          <w:p w:rsidR="007F4594" w:rsidRPr="0031224E" w:rsidRDefault="007F4594" w:rsidP="007F4594">
            <w:pPr>
              <w:ind w:left="34"/>
              <w:jc w:val="both"/>
              <w:rPr>
                <w:i/>
                <w:sz w:val="22"/>
                <w:szCs w:val="22"/>
              </w:rPr>
            </w:pPr>
            <w:r w:rsidRPr="0031224E">
              <w:rPr>
                <w:i/>
                <w:noProof/>
                <w:sz w:val="22"/>
                <w:szCs w:val="22"/>
                <w:shd w:val="clear" w:color="auto" w:fill="FFFFFF"/>
              </w:rPr>
              <w:drawing>
                <wp:inline distT="0" distB="0" distL="0" distR="0" wp14:anchorId="682CC87E" wp14:editId="19146C62">
                  <wp:extent cx="2202815" cy="345440"/>
                  <wp:effectExtent l="0" t="0" r="6985" b="0"/>
                  <wp:docPr id="520397813" name="Рисунок 3">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a:hlinkClick r:id="rId25"/>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202815" cy="345440"/>
                          </a:xfrm>
                          <a:prstGeom prst="rect">
                            <a:avLst/>
                          </a:prstGeom>
                          <a:noFill/>
                          <a:ln>
                            <a:noFill/>
                          </a:ln>
                        </pic:spPr>
                      </pic:pic>
                    </a:graphicData>
                  </a:graphic>
                </wp:inline>
              </w:drawing>
            </w:r>
          </w:p>
          <w:p w:rsidR="007F4594" w:rsidRPr="0031224E" w:rsidRDefault="007F4594" w:rsidP="007F4594">
            <w:pPr>
              <w:ind w:firstLine="308"/>
              <w:jc w:val="both"/>
              <w:rPr>
                <w:i/>
                <w:sz w:val="22"/>
                <w:szCs w:val="22"/>
              </w:rPr>
            </w:pPr>
            <w:r w:rsidRPr="0031224E">
              <w:rPr>
                <w:i/>
                <w:sz w:val="22"/>
                <w:szCs w:val="22"/>
                <w:shd w:val="clear" w:color="auto" w:fill="FFFFFF"/>
              </w:rPr>
              <w:t>Для</w:t>
            </w:r>
            <w:r w:rsidRPr="0031224E">
              <w:rPr>
                <w:i/>
                <w:sz w:val="22"/>
                <w:szCs w:val="22"/>
              </w:rPr>
              <w:t xml:space="preserve"> моніторингу і контролю розрахунку фактичних втрат електричної енергії використовується затверджена постановою НКРЕКП №450 форма звітності 5-НКРЕКП-моніторинг-розподіл (місячна), де відображені показники втрат. </w:t>
            </w:r>
          </w:p>
          <w:p w:rsidR="007F4594" w:rsidRPr="009D3827" w:rsidRDefault="007F4594" w:rsidP="007F4594">
            <w:pPr>
              <w:ind w:firstLine="308"/>
              <w:jc w:val="both"/>
              <w:rPr>
                <w:i/>
                <w:sz w:val="22"/>
                <w:szCs w:val="22"/>
                <w:shd w:val="clear" w:color="auto" w:fill="FFFFFF"/>
              </w:rPr>
            </w:pPr>
            <w:r w:rsidRPr="0031224E">
              <w:rPr>
                <w:i/>
                <w:sz w:val="22"/>
                <w:szCs w:val="22"/>
              </w:rPr>
              <w:t>Таким чином, для визначення відсотку фактичних втрат потрібно застосовувати співвідношення фактичних втрат електричної енергії до фактичного надходження електричної енергії в мережі ОСР (% втрат = обсяг фактичних втрат електроенергії / обсяг надходження електричної енергії в мережі ОСР «брутто»)</w:t>
            </w:r>
          </w:p>
        </w:tc>
        <w:tc>
          <w:tcPr>
            <w:tcW w:w="5066" w:type="dxa"/>
            <w:shd w:val="clear" w:color="auto" w:fill="auto"/>
          </w:tcPr>
          <w:p w:rsidR="007F4594" w:rsidRPr="00F85893" w:rsidRDefault="007F4594" w:rsidP="007F4594">
            <w:pPr>
              <w:ind w:firstLine="276"/>
              <w:rPr>
                <w:b/>
                <w:sz w:val="22"/>
                <w:szCs w:val="22"/>
              </w:rPr>
            </w:pPr>
            <w:r w:rsidRPr="00F85893">
              <w:rPr>
                <w:b/>
                <w:sz w:val="22"/>
                <w:szCs w:val="22"/>
              </w:rPr>
              <w:lastRenderedPageBreak/>
              <w:t>Потребує обговорення</w:t>
            </w:r>
          </w:p>
          <w:p w:rsidR="007F4594" w:rsidRDefault="007F4594" w:rsidP="007F4594">
            <w:pPr>
              <w:ind w:firstLine="276"/>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ind w:firstLine="276"/>
              <w:rPr>
                <w:b/>
                <w:sz w:val="22"/>
                <w:szCs w:val="22"/>
              </w:rPr>
            </w:pPr>
            <w:r>
              <w:rPr>
                <w:b/>
                <w:sz w:val="22"/>
                <w:szCs w:val="22"/>
              </w:rPr>
              <w:t>Не враховано</w:t>
            </w:r>
          </w:p>
          <w:p w:rsidR="007F4594" w:rsidRPr="00435992" w:rsidRDefault="007F4594" w:rsidP="007F4594">
            <w:pPr>
              <w:widowControl w:val="0"/>
              <w:suppressAutoHyphens/>
              <w:jc w:val="both"/>
              <w:rPr>
                <w:rFonts w:eastAsiaTheme="minorHAnsi"/>
                <w:bCs/>
                <w:sz w:val="22"/>
                <w:szCs w:val="22"/>
                <w:lang w:eastAsia="en-US"/>
              </w:rPr>
            </w:pPr>
            <w:r w:rsidRPr="00435992">
              <w:rPr>
                <w:rFonts w:eastAsiaTheme="minorHAnsi"/>
                <w:bCs/>
                <w:sz w:val="22"/>
                <w:szCs w:val="22"/>
                <w:lang w:eastAsia="en-US"/>
              </w:rPr>
              <w:t>НКРЕКП внесено зміни щодо удосконалення положення Постанови № 1029, якими впорядковані вимоги щодо необхідності фіксації та дослідження результатів стану виконання зобов’язань ОСР проходження першого регуляторного періоду, з урахуванням нормативної бази Регулятора, прийнятої в умовах воєнного стану.</w:t>
            </w:r>
          </w:p>
          <w:p w:rsidR="007F4594" w:rsidRPr="00435992" w:rsidRDefault="007F4594" w:rsidP="007F4594">
            <w:pPr>
              <w:jc w:val="both"/>
              <w:rPr>
                <w:rFonts w:eastAsiaTheme="minorHAnsi"/>
                <w:bCs/>
                <w:sz w:val="22"/>
                <w:szCs w:val="22"/>
                <w:lang w:eastAsia="en-US"/>
              </w:rPr>
            </w:pPr>
            <w:r w:rsidRPr="00435992">
              <w:rPr>
                <w:rFonts w:eastAsiaTheme="minorHAnsi"/>
                <w:bCs/>
                <w:sz w:val="22"/>
                <w:szCs w:val="22"/>
                <w:lang w:eastAsia="en-US"/>
              </w:rPr>
              <w:lastRenderedPageBreak/>
              <w:t xml:space="preserve">Оцінка результатів досягнення ОСР фактичних показників першого регуляторного періоду є необхідністю для вчасного та обґрунтованого напрацювання та внесення змін до нормативної бази Регулятора щодо умов для застосування другого регуляторного періоду стимулюючого регулювання. </w:t>
            </w:r>
          </w:p>
          <w:p w:rsidR="007F4594" w:rsidRPr="00435992"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Pr="00FB3AA7" w:rsidRDefault="007F4594" w:rsidP="007F4594">
            <w:pPr>
              <w:ind w:firstLine="276"/>
              <w:rPr>
                <w:b/>
                <w:sz w:val="22"/>
                <w:szCs w:val="22"/>
              </w:rPr>
            </w:pPr>
            <w:r w:rsidRPr="00FB3AA7">
              <w:rPr>
                <w:b/>
                <w:sz w:val="22"/>
                <w:szCs w:val="22"/>
              </w:rPr>
              <w:t>Не враховано</w:t>
            </w:r>
          </w:p>
          <w:p w:rsidR="007F4594" w:rsidRDefault="007F4594" w:rsidP="007F4594">
            <w:pPr>
              <w:ind w:firstLine="276"/>
              <w:rPr>
                <w:b/>
                <w:sz w:val="22"/>
                <w:szCs w:val="22"/>
              </w:rPr>
            </w:pPr>
            <w:r w:rsidRPr="00FB3AA7">
              <w:rPr>
                <w:b/>
                <w:sz w:val="22"/>
                <w:szCs w:val="22"/>
              </w:rPr>
              <w:t>Недостатньо обґрунтована позиція</w:t>
            </w:r>
          </w:p>
          <w:p w:rsidR="007F4594" w:rsidRDefault="007F4594" w:rsidP="007F4594">
            <w:pPr>
              <w:rPr>
                <w:b/>
                <w:sz w:val="22"/>
                <w:szCs w:val="22"/>
              </w:rPr>
            </w:pPr>
          </w:p>
          <w:p w:rsidR="007F4594" w:rsidRDefault="007F4594" w:rsidP="007F4594">
            <w:pPr>
              <w:rPr>
                <w:b/>
                <w:sz w:val="22"/>
                <w:szCs w:val="22"/>
              </w:rPr>
            </w:pPr>
          </w:p>
          <w:p w:rsidR="007F4594" w:rsidRPr="009D3827" w:rsidRDefault="007F4594" w:rsidP="007F4594">
            <w:pPr>
              <w:rPr>
                <w:b/>
                <w:sz w:val="22"/>
                <w:szCs w:val="22"/>
              </w:rPr>
            </w:pPr>
          </w:p>
        </w:tc>
      </w:tr>
      <w:tr w:rsidR="007F4594" w:rsidRPr="009D3827" w:rsidTr="00BF5C81">
        <w:trPr>
          <w:trHeight w:val="595"/>
        </w:trPr>
        <w:tc>
          <w:tcPr>
            <w:tcW w:w="5065" w:type="dxa"/>
            <w:shd w:val="clear" w:color="auto" w:fill="auto"/>
          </w:tcPr>
          <w:p w:rsidR="007F4594" w:rsidRPr="009D3827" w:rsidRDefault="007F4594" w:rsidP="007F4594">
            <w:pPr>
              <w:ind w:firstLine="308"/>
              <w:jc w:val="both"/>
              <w:rPr>
                <w:sz w:val="22"/>
                <w:szCs w:val="22"/>
                <w:shd w:val="clear" w:color="auto" w:fill="FFFFFF"/>
              </w:rPr>
            </w:pPr>
          </w:p>
          <w:p w:rsidR="007F4594" w:rsidRPr="009D3827" w:rsidRDefault="007F4594" w:rsidP="007F4594">
            <w:pPr>
              <w:ind w:firstLine="308"/>
              <w:jc w:val="both"/>
              <w:rPr>
                <w:sz w:val="22"/>
                <w:szCs w:val="22"/>
                <w:shd w:val="clear" w:color="auto" w:fill="FFFFFF"/>
              </w:rPr>
            </w:pPr>
          </w:p>
          <w:p w:rsidR="007F4594" w:rsidRPr="009D3827" w:rsidRDefault="007F4594" w:rsidP="007F4594">
            <w:pPr>
              <w:ind w:firstLine="308"/>
              <w:jc w:val="both"/>
              <w:rPr>
                <w:sz w:val="22"/>
                <w:szCs w:val="22"/>
                <w:shd w:val="clear" w:color="auto" w:fill="FFFFFF"/>
              </w:rPr>
            </w:pPr>
          </w:p>
          <w:p w:rsidR="007F4594" w:rsidRPr="009D3827" w:rsidRDefault="007F4594" w:rsidP="007F4594">
            <w:pPr>
              <w:ind w:firstLine="308"/>
              <w:jc w:val="both"/>
              <w:rPr>
                <w:sz w:val="22"/>
                <w:szCs w:val="22"/>
                <w:shd w:val="clear" w:color="auto" w:fill="FFFFFF"/>
              </w:rPr>
            </w:pPr>
            <w:r w:rsidRPr="009D3827">
              <w:rPr>
                <w:sz w:val="22"/>
                <w:szCs w:val="22"/>
                <w:shd w:val="clear" w:color="auto" w:fill="FFFFFF"/>
              </w:rPr>
              <w:t>4.5. Стан щорічного скорочення ліцензіатом операційних контрольованих витрат згідно з підпунктом 3 пункту 1 постанови № 1009 та визначення розміру частини економії контрольованих операційних витрат першого регуляторного періоду з урахуванням обґрунтованого переліку складових витрат, які відносяться до діяльності з надання послуг розподілу електричної енергії.</w:t>
            </w:r>
          </w:p>
          <w:p w:rsidR="007F4594" w:rsidRPr="009D3827" w:rsidRDefault="007F4594" w:rsidP="007F4594">
            <w:pPr>
              <w:ind w:firstLine="308"/>
              <w:jc w:val="both"/>
              <w:rPr>
                <w:sz w:val="22"/>
                <w:szCs w:val="22"/>
                <w:shd w:val="clear" w:color="auto" w:fill="FFFFFF"/>
              </w:rPr>
            </w:pPr>
          </w:p>
          <w:p w:rsidR="007F4594" w:rsidRPr="009D3827" w:rsidRDefault="007F4594" w:rsidP="007F4594">
            <w:pPr>
              <w:ind w:firstLine="308"/>
              <w:jc w:val="both"/>
              <w:rPr>
                <w:sz w:val="22"/>
                <w:szCs w:val="22"/>
                <w:shd w:val="clear" w:color="auto" w:fill="FFFFFF"/>
              </w:rPr>
            </w:pPr>
            <w:r w:rsidRPr="009D3827">
              <w:rPr>
                <w:sz w:val="22"/>
                <w:szCs w:val="22"/>
                <w:shd w:val="clear" w:color="auto" w:fill="FFFFFF"/>
              </w:rPr>
              <w:t>&lt;…&gt;</w:t>
            </w:r>
          </w:p>
          <w:p w:rsidR="007F4594" w:rsidRPr="009D3827" w:rsidRDefault="007F4594" w:rsidP="007F4594">
            <w:pPr>
              <w:ind w:firstLine="308"/>
              <w:jc w:val="both"/>
              <w:rPr>
                <w:sz w:val="22"/>
                <w:szCs w:val="22"/>
                <w:shd w:val="clear" w:color="auto" w:fill="FFFFFF"/>
              </w:rPr>
            </w:pPr>
          </w:p>
          <w:p w:rsidR="007F4594" w:rsidRPr="009D3827" w:rsidRDefault="007F4594" w:rsidP="007F4594">
            <w:pPr>
              <w:ind w:firstLine="308"/>
              <w:jc w:val="both"/>
              <w:rPr>
                <w:sz w:val="22"/>
                <w:szCs w:val="22"/>
                <w:shd w:val="clear" w:color="auto" w:fill="FFFFFF"/>
              </w:rPr>
            </w:pPr>
          </w:p>
        </w:tc>
        <w:tc>
          <w:tcPr>
            <w:tcW w:w="5066" w:type="dxa"/>
            <w:shd w:val="clear" w:color="auto" w:fill="auto"/>
          </w:tcPr>
          <w:p w:rsidR="007F4594" w:rsidRPr="009D3827" w:rsidRDefault="007F4594" w:rsidP="007F4594">
            <w:pPr>
              <w:ind w:firstLine="308"/>
              <w:jc w:val="both"/>
              <w:rPr>
                <w:i/>
                <w:sz w:val="22"/>
                <w:szCs w:val="22"/>
                <w:shd w:val="clear" w:color="auto" w:fill="FFFFFF"/>
              </w:rPr>
            </w:pPr>
            <w:r w:rsidRPr="009D3827">
              <w:rPr>
                <w:i/>
                <w:sz w:val="22"/>
                <w:szCs w:val="22"/>
                <w:shd w:val="clear" w:color="auto" w:fill="FFFFFF"/>
              </w:rPr>
              <w:t>АТ «ДТЕК ДНІПРОВСЬКІ ЕЛЕКТРОМЕРЕЖІ»</w:t>
            </w:r>
          </w:p>
          <w:p w:rsidR="007F4594" w:rsidRPr="009D3827" w:rsidRDefault="007F4594" w:rsidP="007F4594">
            <w:pPr>
              <w:ind w:firstLine="308"/>
              <w:jc w:val="both"/>
              <w:rPr>
                <w:i/>
                <w:sz w:val="22"/>
                <w:szCs w:val="22"/>
                <w:shd w:val="clear" w:color="auto" w:fill="FFFFFF"/>
              </w:rPr>
            </w:pPr>
            <w:r w:rsidRPr="009D3827">
              <w:rPr>
                <w:i/>
                <w:sz w:val="22"/>
                <w:szCs w:val="22"/>
                <w:shd w:val="clear" w:color="auto" w:fill="FFFFFF"/>
              </w:rPr>
              <w:t>АТ «ДТЕК ОДЕСЬКІ ЕЛЕКТРОМЕРЕЖІ»</w:t>
            </w: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sz w:val="22"/>
                <w:szCs w:val="22"/>
                <w:shd w:val="clear" w:color="auto" w:fill="FFFFFF"/>
              </w:rPr>
            </w:pPr>
            <w:r w:rsidRPr="009D3827">
              <w:rPr>
                <w:sz w:val="22"/>
                <w:szCs w:val="22"/>
                <w:shd w:val="clear" w:color="auto" w:fill="FFFFFF"/>
              </w:rPr>
              <w:t>Пропонується вилучити пункт 4.5, підпункт 4.5.1, таблицю 7, підпункт 4.5.2.</w:t>
            </w: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r>
              <w:rPr>
                <w:i/>
                <w:sz w:val="22"/>
                <w:szCs w:val="22"/>
                <w:shd w:val="clear" w:color="auto" w:fill="FFFFFF"/>
              </w:rPr>
              <w:t>ОБҐРУНТУВАННЯ</w:t>
            </w:r>
            <w:r w:rsidRPr="009D3827">
              <w:rPr>
                <w:i/>
                <w:sz w:val="22"/>
                <w:szCs w:val="22"/>
                <w:shd w:val="clear" w:color="auto" w:fill="FFFFFF"/>
              </w:rPr>
              <w:t>:</w:t>
            </w:r>
          </w:p>
          <w:p w:rsidR="007F4594" w:rsidRPr="0031224E" w:rsidRDefault="007F4594" w:rsidP="007F4594">
            <w:pPr>
              <w:ind w:firstLine="308"/>
              <w:jc w:val="both"/>
              <w:rPr>
                <w:i/>
                <w:sz w:val="22"/>
                <w:szCs w:val="22"/>
                <w:shd w:val="clear" w:color="auto" w:fill="FFFFFF"/>
              </w:rPr>
            </w:pPr>
            <w:r w:rsidRPr="0031224E">
              <w:rPr>
                <w:i/>
                <w:sz w:val="22"/>
                <w:szCs w:val="22"/>
                <w:shd w:val="clear" w:color="auto" w:fill="FFFFFF"/>
              </w:rPr>
              <w:t>Пропонується додатком до Методики фіксувати саме досягнення умов перебування в першому регуляторного періоді, що визначені ПНКРЕКП 1029.</w:t>
            </w:r>
          </w:p>
          <w:p w:rsidR="007F4594" w:rsidRPr="0031224E" w:rsidRDefault="007F4594" w:rsidP="007F4594">
            <w:pPr>
              <w:ind w:firstLine="308"/>
              <w:jc w:val="both"/>
              <w:rPr>
                <w:i/>
                <w:sz w:val="22"/>
                <w:szCs w:val="22"/>
                <w:shd w:val="clear" w:color="auto" w:fill="FFFFFF"/>
              </w:rPr>
            </w:pPr>
            <w:r w:rsidRPr="0031224E">
              <w:rPr>
                <w:i/>
                <w:sz w:val="22"/>
                <w:szCs w:val="22"/>
                <w:shd w:val="clear" w:color="auto" w:fill="FFFFFF"/>
              </w:rPr>
              <w:t xml:space="preserve">Досягнення показників ефективності не було визначено в умовах перебування в першому регуляторному періоді в рамках стимулюючого тарифоутворення. Показниками ефективності визначалися стимули для підвищення ефективності </w:t>
            </w:r>
            <w:r w:rsidRPr="0031224E">
              <w:rPr>
                <w:i/>
                <w:sz w:val="22"/>
                <w:szCs w:val="22"/>
                <w:shd w:val="clear" w:color="auto" w:fill="FFFFFF"/>
              </w:rPr>
              <w:lastRenderedPageBreak/>
              <w:t>діяльності в умовах мирного часу. При цьому, для багатьох ОСР, через аварії та критичні пошкодження, а також зміну схем нормального режиму внаслідок воєнних дій, досягнення показників ефективності стало майже неможливим.</w:t>
            </w:r>
          </w:p>
          <w:p w:rsidR="007F4594" w:rsidRPr="0031224E" w:rsidRDefault="007F4594" w:rsidP="007F4594">
            <w:pPr>
              <w:ind w:firstLine="308"/>
              <w:jc w:val="both"/>
              <w:rPr>
                <w:b/>
                <w:i/>
                <w:sz w:val="22"/>
                <w:szCs w:val="22"/>
                <w:shd w:val="clear" w:color="auto" w:fill="FFFFFF"/>
              </w:rPr>
            </w:pPr>
            <w:r w:rsidRPr="0031224E">
              <w:rPr>
                <w:b/>
                <w:i/>
                <w:sz w:val="22"/>
                <w:szCs w:val="22"/>
                <w:shd w:val="clear" w:color="auto" w:fill="FFFFFF"/>
              </w:rPr>
              <w:t>Пропонується досліджувати питання досягнення показників ефективності, що визначені ПНКРЕКП 1009, в рамках окремих запитів-вимог НКРЕКП.</w:t>
            </w:r>
          </w:p>
        </w:tc>
        <w:tc>
          <w:tcPr>
            <w:tcW w:w="5066" w:type="dxa"/>
            <w:shd w:val="clear" w:color="auto" w:fill="auto"/>
          </w:tcPr>
          <w:p w:rsidR="007F4594" w:rsidRDefault="007F4594" w:rsidP="007F4594">
            <w:pPr>
              <w:widowControl w:val="0"/>
              <w:suppressAutoHyphens/>
              <w:ind w:firstLine="251"/>
              <w:jc w:val="both"/>
              <w:rPr>
                <w:b/>
                <w:bCs/>
                <w:color w:val="000000"/>
                <w:sz w:val="24"/>
                <w:szCs w:val="24"/>
              </w:rPr>
            </w:pPr>
          </w:p>
          <w:p w:rsidR="007F4594" w:rsidRDefault="007F4594" w:rsidP="007F4594">
            <w:pPr>
              <w:widowControl w:val="0"/>
              <w:suppressAutoHyphens/>
              <w:ind w:firstLine="251"/>
              <w:jc w:val="both"/>
              <w:rPr>
                <w:b/>
                <w:bCs/>
                <w:color w:val="000000"/>
                <w:sz w:val="24"/>
                <w:szCs w:val="24"/>
              </w:rPr>
            </w:pPr>
          </w:p>
          <w:p w:rsidR="007F4594" w:rsidRPr="00BD7CA0" w:rsidRDefault="007F4594" w:rsidP="007F4594">
            <w:pPr>
              <w:widowControl w:val="0"/>
              <w:suppressAutoHyphens/>
              <w:ind w:firstLine="251"/>
              <w:jc w:val="both"/>
              <w:rPr>
                <w:b/>
                <w:bCs/>
                <w:color w:val="000000"/>
                <w:sz w:val="22"/>
                <w:szCs w:val="22"/>
              </w:rPr>
            </w:pPr>
          </w:p>
          <w:p w:rsidR="007F4594" w:rsidRPr="00BD7CA0" w:rsidRDefault="007F4594" w:rsidP="007F4594">
            <w:pPr>
              <w:widowControl w:val="0"/>
              <w:suppressAutoHyphens/>
              <w:ind w:firstLine="251"/>
              <w:jc w:val="both"/>
              <w:rPr>
                <w:b/>
                <w:bCs/>
                <w:color w:val="000000"/>
                <w:sz w:val="22"/>
                <w:szCs w:val="22"/>
              </w:rPr>
            </w:pPr>
            <w:r w:rsidRPr="00BD7CA0">
              <w:rPr>
                <w:b/>
                <w:bCs/>
                <w:color w:val="000000"/>
                <w:sz w:val="22"/>
                <w:szCs w:val="22"/>
              </w:rPr>
              <w:t>Не враховано</w:t>
            </w:r>
          </w:p>
          <w:p w:rsidR="007F4594" w:rsidRPr="00BD7CA0" w:rsidRDefault="007F4594" w:rsidP="007F4594">
            <w:pPr>
              <w:widowControl w:val="0"/>
              <w:suppressAutoHyphens/>
              <w:ind w:firstLine="251"/>
              <w:jc w:val="both"/>
              <w:rPr>
                <w:bCs/>
                <w:sz w:val="22"/>
                <w:szCs w:val="22"/>
              </w:rPr>
            </w:pPr>
            <w:r w:rsidRPr="00BD7CA0">
              <w:rPr>
                <w:bCs/>
                <w:sz w:val="22"/>
                <w:szCs w:val="22"/>
              </w:rPr>
              <w:t>НКРЕКП внесено зміни щодо удосконалення положення Постанови № 1029, якими впорядковані вимоги щодо необхідності фіксації та дослідження результатів стану виконання зобов’язань ОСР проходження першого регуляторного періоду, з урахуванням нормативної бази Регулятора, прийнятої в умовах воєнного стану.</w:t>
            </w:r>
          </w:p>
          <w:p w:rsidR="007F4594" w:rsidRPr="009D3827" w:rsidRDefault="007F4594" w:rsidP="007F4594">
            <w:pPr>
              <w:rPr>
                <w:b/>
                <w:sz w:val="22"/>
                <w:szCs w:val="22"/>
              </w:rPr>
            </w:pPr>
          </w:p>
        </w:tc>
      </w:tr>
      <w:tr w:rsidR="007F4594" w:rsidRPr="009D3827" w:rsidTr="00BF5C81">
        <w:trPr>
          <w:trHeight w:val="595"/>
        </w:trPr>
        <w:tc>
          <w:tcPr>
            <w:tcW w:w="5065" w:type="dxa"/>
            <w:shd w:val="clear" w:color="auto" w:fill="auto"/>
          </w:tcPr>
          <w:p w:rsidR="007F4594" w:rsidRPr="009D3827" w:rsidRDefault="007F4594" w:rsidP="007F4594">
            <w:pPr>
              <w:ind w:firstLine="308"/>
              <w:jc w:val="both"/>
              <w:rPr>
                <w:sz w:val="22"/>
                <w:szCs w:val="22"/>
                <w:shd w:val="clear" w:color="auto" w:fill="FFFFFF"/>
              </w:rPr>
            </w:pPr>
          </w:p>
          <w:p w:rsidR="007F4594" w:rsidRPr="009D3827" w:rsidRDefault="007F4594" w:rsidP="007F4594">
            <w:pPr>
              <w:ind w:firstLine="308"/>
              <w:jc w:val="both"/>
              <w:rPr>
                <w:sz w:val="22"/>
                <w:szCs w:val="22"/>
                <w:shd w:val="clear" w:color="auto" w:fill="FFFFFF"/>
              </w:rPr>
            </w:pPr>
          </w:p>
          <w:p w:rsidR="007F4594" w:rsidRPr="009D3827" w:rsidRDefault="007F4594" w:rsidP="007F4594">
            <w:pPr>
              <w:ind w:firstLine="308"/>
              <w:jc w:val="both"/>
              <w:rPr>
                <w:sz w:val="22"/>
                <w:szCs w:val="22"/>
                <w:shd w:val="clear" w:color="auto" w:fill="FFFFFF"/>
              </w:rPr>
            </w:pPr>
            <w:r w:rsidRPr="009D3827">
              <w:rPr>
                <w:sz w:val="22"/>
                <w:szCs w:val="22"/>
                <w:shd w:val="clear" w:color="auto" w:fill="FFFFFF"/>
              </w:rPr>
              <w:t>4.5.1. Фіксується стан скорочення ліцензіатом рівня операційних контрольованих витрат (з урахуванням витрат, що капіталізуються при виконанні ремонтів та інвестиційної програми, та зменшення на виявлену під час перевірки фактичну суму перевищення максимального розміру заробітної плати) із застосуванням загального показника ефективності для щорічного скорочення операційних контрольованих витрат, згідно з підпунктом 3 пункту 1 постанови № 1009 (для 2023 – 2025 років – 0 %, для 2026 року для ліцензіатів, перелік яких наведено в додатку 32 до Порядку № 1175, – 0 %), у форматі таблиці 7.</w:t>
            </w:r>
          </w:p>
          <w:p w:rsidR="007F4594" w:rsidRPr="009D3827" w:rsidRDefault="007F4594" w:rsidP="007F4594">
            <w:pPr>
              <w:ind w:firstLine="308"/>
              <w:jc w:val="both"/>
              <w:rPr>
                <w:sz w:val="22"/>
                <w:szCs w:val="22"/>
                <w:shd w:val="clear" w:color="auto" w:fill="FFFFFF"/>
              </w:rPr>
            </w:pPr>
          </w:p>
          <w:p w:rsidR="007F4594" w:rsidRPr="009D3827" w:rsidRDefault="007F4594" w:rsidP="007F4594">
            <w:pPr>
              <w:ind w:firstLine="308"/>
              <w:jc w:val="both"/>
              <w:rPr>
                <w:sz w:val="22"/>
                <w:szCs w:val="22"/>
                <w:shd w:val="clear" w:color="auto" w:fill="FFFFFF"/>
              </w:rPr>
            </w:pPr>
            <w:r w:rsidRPr="009D3827">
              <w:rPr>
                <w:sz w:val="22"/>
                <w:szCs w:val="22"/>
                <w:shd w:val="clear" w:color="auto" w:fill="FFFFFF"/>
              </w:rPr>
              <w:t>Таблиця 7</w:t>
            </w:r>
          </w:p>
          <w:p w:rsidR="007F4594" w:rsidRPr="009D3827" w:rsidRDefault="007F4594" w:rsidP="007F4594">
            <w:pPr>
              <w:ind w:firstLine="308"/>
              <w:jc w:val="both"/>
              <w:rPr>
                <w:sz w:val="22"/>
                <w:szCs w:val="22"/>
                <w:shd w:val="clear" w:color="auto" w:fill="FFFFFF"/>
              </w:rPr>
            </w:pPr>
          </w:p>
          <w:p w:rsidR="007F4594" w:rsidRPr="009D3827" w:rsidRDefault="007F4594" w:rsidP="007F4594">
            <w:pPr>
              <w:ind w:firstLine="308"/>
              <w:jc w:val="both"/>
              <w:rPr>
                <w:sz w:val="22"/>
                <w:szCs w:val="22"/>
                <w:shd w:val="clear" w:color="auto" w:fill="FFFFFF"/>
              </w:rPr>
            </w:pPr>
            <w:r w:rsidRPr="009D3827">
              <w:rPr>
                <w:sz w:val="22"/>
                <w:szCs w:val="22"/>
                <w:shd w:val="clear" w:color="auto" w:fill="FFFFFF"/>
              </w:rPr>
              <w:t>&lt;…&gt;</w:t>
            </w:r>
          </w:p>
          <w:p w:rsidR="007F4594" w:rsidRPr="009D3827" w:rsidRDefault="007F4594" w:rsidP="007F4594">
            <w:pPr>
              <w:ind w:firstLine="308"/>
              <w:jc w:val="both"/>
              <w:rPr>
                <w:sz w:val="22"/>
                <w:szCs w:val="22"/>
                <w:shd w:val="clear" w:color="auto" w:fill="FFFFFF"/>
              </w:rPr>
            </w:pPr>
          </w:p>
          <w:p w:rsidR="007F4594" w:rsidRPr="009D3827" w:rsidRDefault="007F4594" w:rsidP="007F4594">
            <w:pPr>
              <w:pStyle w:val="af5"/>
              <w:spacing w:before="0" w:beforeAutospacing="0" w:after="0" w:afterAutospacing="0"/>
              <w:ind w:firstLine="426"/>
              <w:jc w:val="both"/>
              <w:rPr>
                <w:sz w:val="22"/>
                <w:szCs w:val="22"/>
              </w:rPr>
            </w:pPr>
            <w:r w:rsidRPr="009D3827">
              <w:rPr>
                <w:sz w:val="22"/>
                <w:szCs w:val="22"/>
              </w:rPr>
              <w:t xml:space="preserve">*Примірний перелік операційних контрольованих витрат з розподілу електричної енергії операторів систем розподілу (зафіксовано у додатку 19 до Порядку № 1175 на дату переходу до стимулюючого регулювання). </w:t>
            </w:r>
          </w:p>
          <w:p w:rsidR="007F4594" w:rsidRPr="009D3827" w:rsidRDefault="007F4594" w:rsidP="007F4594">
            <w:pPr>
              <w:pStyle w:val="rvps2"/>
              <w:shd w:val="clear" w:color="auto" w:fill="FFFFFF"/>
              <w:spacing w:before="0" w:beforeAutospacing="0" w:after="0" w:afterAutospacing="0"/>
              <w:ind w:firstLine="567"/>
              <w:jc w:val="both"/>
              <w:rPr>
                <w:sz w:val="22"/>
                <w:szCs w:val="22"/>
                <w:lang w:val="uk-UA"/>
              </w:rPr>
            </w:pPr>
            <w:r w:rsidRPr="009D3827">
              <w:rPr>
                <w:sz w:val="22"/>
                <w:szCs w:val="22"/>
                <w:lang w:val="uk-UA"/>
              </w:rPr>
              <w:t>Фактичні операційні контрольовані витрати мають враховувати обґрунтований перелік складових витрат, що відносяться до діяльності з розподілу, за вилученням, зокрема:</w:t>
            </w:r>
          </w:p>
          <w:p w:rsidR="007F4594" w:rsidRPr="009D3827" w:rsidRDefault="007F4594" w:rsidP="007F4594">
            <w:pPr>
              <w:pStyle w:val="rvps2"/>
              <w:shd w:val="clear" w:color="auto" w:fill="FFFFFF"/>
              <w:spacing w:before="0" w:beforeAutospacing="0" w:after="0" w:afterAutospacing="0"/>
              <w:ind w:firstLine="567"/>
              <w:jc w:val="both"/>
              <w:rPr>
                <w:sz w:val="22"/>
                <w:szCs w:val="22"/>
                <w:lang w:val="uk-UA"/>
              </w:rPr>
            </w:pPr>
            <w:r w:rsidRPr="009D3827">
              <w:rPr>
                <w:sz w:val="22"/>
                <w:szCs w:val="22"/>
                <w:lang w:val="uk-UA"/>
              </w:rPr>
              <w:lastRenderedPageBreak/>
              <w:t>сум видатків ліцензіатів, здійснених під час запровадження воєнного стану в Україні за постановою № 345 та які за результатами заходу контролю вважаються обґрунтованими витратами;</w:t>
            </w:r>
          </w:p>
          <w:p w:rsidR="007F4594" w:rsidRPr="009D3827" w:rsidRDefault="007F4594" w:rsidP="007F4594">
            <w:pPr>
              <w:pStyle w:val="rvps2"/>
              <w:shd w:val="clear" w:color="auto" w:fill="FFFFFF"/>
              <w:spacing w:before="0" w:beforeAutospacing="0" w:after="0" w:afterAutospacing="0"/>
              <w:ind w:firstLine="567"/>
              <w:jc w:val="both"/>
              <w:rPr>
                <w:sz w:val="22"/>
                <w:szCs w:val="22"/>
                <w:lang w:val="uk-UA"/>
              </w:rPr>
            </w:pPr>
            <w:r w:rsidRPr="009D3827">
              <w:rPr>
                <w:sz w:val="22"/>
                <w:szCs w:val="22"/>
                <w:lang w:val="uk-UA"/>
              </w:rPr>
              <w:t>витрат ліцензіатів, понесених внаслідок бойових дій, у період дії в Україні воєнного стану за постановою № 386, джерелами фінансування яких були вільна частина прибутку, джерела фінансування відповідних інвестиційних та ремонтних програм ліцензіата та які за результатами заходу контролю вважаються обґрунтованими витратами;</w:t>
            </w:r>
          </w:p>
          <w:p w:rsidR="007F4594" w:rsidRPr="009D3827" w:rsidRDefault="007F4594" w:rsidP="007F4594">
            <w:pPr>
              <w:pStyle w:val="rvps2"/>
              <w:shd w:val="clear" w:color="auto" w:fill="FFFFFF"/>
              <w:spacing w:before="0" w:beforeAutospacing="0" w:after="0" w:afterAutospacing="0"/>
              <w:ind w:firstLine="567"/>
              <w:jc w:val="both"/>
              <w:rPr>
                <w:sz w:val="22"/>
                <w:szCs w:val="22"/>
                <w:lang w:val="uk-UA"/>
              </w:rPr>
            </w:pPr>
            <w:r w:rsidRPr="009D3827">
              <w:rPr>
                <w:sz w:val="22"/>
                <w:szCs w:val="22"/>
                <w:lang w:val="uk-UA"/>
              </w:rPr>
              <w:t>резерву сумнівних боргів;</w:t>
            </w:r>
          </w:p>
          <w:p w:rsidR="007F4594" w:rsidRPr="009D3827" w:rsidRDefault="007F4594" w:rsidP="007F4594">
            <w:pPr>
              <w:pStyle w:val="rvps2"/>
              <w:shd w:val="clear" w:color="auto" w:fill="FFFFFF"/>
              <w:spacing w:before="0" w:beforeAutospacing="0" w:after="0" w:afterAutospacing="0"/>
              <w:ind w:firstLine="567"/>
              <w:jc w:val="both"/>
              <w:rPr>
                <w:sz w:val="22"/>
                <w:szCs w:val="22"/>
                <w:lang w:val="uk-UA"/>
              </w:rPr>
            </w:pPr>
            <w:r w:rsidRPr="009D3827">
              <w:rPr>
                <w:sz w:val="22"/>
                <w:szCs w:val="22"/>
                <w:lang w:val="uk-UA"/>
              </w:rPr>
              <w:t>штрафів/пені тощо.</w:t>
            </w:r>
          </w:p>
          <w:p w:rsidR="007F4594" w:rsidRPr="009D3827" w:rsidRDefault="007F4594" w:rsidP="007F4594">
            <w:pPr>
              <w:ind w:firstLine="308"/>
              <w:jc w:val="both"/>
              <w:rPr>
                <w:sz w:val="22"/>
                <w:szCs w:val="22"/>
                <w:shd w:val="clear" w:color="auto" w:fill="FFFFFF"/>
              </w:rPr>
            </w:pPr>
          </w:p>
        </w:tc>
        <w:tc>
          <w:tcPr>
            <w:tcW w:w="5066" w:type="dxa"/>
            <w:shd w:val="clear" w:color="auto" w:fill="auto"/>
          </w:tcPr>
          <w:p w:rsidR="007F4594" w:rsidRPr="009D3827" w:rsidRDefault="007F4594" w:rsidP="007F4594">
            <w:pPr>
              <w:ind w:firstLine="308"/>
              <w:jc w:val="both"/>
              <w:rPr>
                <w:i/>
                <w:sz w:val="22"/>
                <w:szCs w:val="22"/>
                <w:shd w:val="clear" w:color="auto" w:fill="FFFFFF"/>
              </w:rPr>
            </w:pPr>
            <w:r w:rsidRPr="009D3827">
              <w:rPr>
                <w:i/>
                <w:sz w:val="22"/>
                <w:szCs w:val="22"/>
                <w:shd w:val="clear" w:color="auto" w:fill="FFFFFF"/>
              </w:rPr>
              <w:lastRenderedPageBreak/>
              <w:t>Програма Забезпечення енергопостачання, підвищення стійкості та сполучення (SPARC)</w:t>
            </w: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b/>
                <w:bCs/>
                <w:sz w:val="22"/>
                <w:szCs w:val="22"/>
                <w:shd w:val="clear" w:color="auto" w:fill="FFFFFF"/>
              </w:rPr>
            </w:pPr>
            <w:r w:rsidRPr="009D3827">
              <w:rPr>
                <w:b/>
                <w:bCs/>
                <w:sz w:val="22"/>
                <w:szCs w:val="22"/>
                <w:shd w:val="clear" w:color="auto" w:fill="FFFFFF"/>
              </w:rPr>
              <w:t>Таблиця 7</w:t>
            </w: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sz w:val="22"/>
                <w:szCs w:val="22"/>
                <w:shd w:val="clear" w:color="auto" w:fill="FFFFFF"/>
              </w:rPr>
            </w:pPr>
            <w:r>
              <w:rPr>
                <w:sz w:val="22"/>
                <w:szCs w:val="22"/>
                <w:shd w:val="clear" w:color="auto" w:fill="FFFFFF"/>
              </w:rPr>
              <w:t>ОБҐРУНТУВАННЯ</w:t>
            </w:r>
            <w:r w:rsidRPr="009D3827">
              <w:rPr>
                <w:sz w:val="22"/>
                <w:szCs w:val="22"/>
                <w:shd w:val="clear" w:color="auto" w:fill="FFFFFF"/>
              </w:rPr>
              <w:t>:</w:t>
            </w:r>
          </w:p>
          <w:p w:rsidR="007F4594" w:rsidRPr="00F85893" w:rsidRDefault="007F4594" w:rsidP="007F4594">
            <w:pPr>
              <w:ind w:firstLine="308"/>
              <w:jc w:val="both"/>
              <w:rPr>
                <w:i/>
                <w:sz w:val="22"/>
                <w:szCs w:val="22"/>
                <w:shd w:val="clear" w:color="auto" w:fill="FFFFFF"/>
              </w:rPr>
            </w:pPr>
            <w:r w:rsidRPr="00F85893">
              <w:rPr>
                <w:i/>
                <w:sz w:val="22"/>
                <w:szCs w:val="22"/>
                <w:shd w:val="clear" w:color="auto" w:fill="FFFFFF"/>
              </w:rPr>
              <w:t xml:space="preserve">Пункт 4.5.1 передбачає перевірку стану скорочення операційних контрольованих витрат. Відповідно до запропонованого формату таблиці 7, ми розуміємо, що йдеться саме про скорочення фактичних ОКВ. </w:t>
            </w:r>
          </w:p>
          <w:p w:rsidR="007F4594" w:rsidRPr="00F85893" w:rsidRDefault="007F4594" w:rsidP="007F4594">
            <w:pPr>
              <w:ind w:firstLine="308"/>
              <w:jc w:val="both"/>
              <w:rPr>
                <w:i/>
                <w:sz w:val="22"/>
                <w:szCs w:val="22"/>
                <w:shd w:val="clear" w:color="auto" w:fill="FFFFFF"/>
              </w:rPr>
            </w:pPr>
            <w:r w:rsidRPr="00F85893">
              <w:rPr>
                <w:i/>
                <w:sz w:val="22"/>
                <w:szCs w:val="22"/>
                <w:shd w:val="clear" w:color="auto" w:fill="FFFFFF"/>
              </w:rPr>
              <w:t>В такому випадку пропонуємо оновити редакцію таблиці та враховувати фактичні показники.</w:t>
            </w:r>
          </w:p>
          <w:p w:rsidR="007F4594" w:rsidRPr="00F85893" w:rsidRDefault="007F4594" w:rsidP="007F4594">
            <w:pPr>
              <w:ind w:firstLine="308"/>
              <w:jc w:val="both"/>
              <w:rPr>
                <w:i/>
                <w:sz w:val="22"/>
                <w:szCs w:val="22"/>
                <w:shd w:val="clear" w:color="auto" w:fill="FFD966" w:themeFill="accent4" w:themeFillTint="99"/>
              </w:rPr>
            </w:pPr>
            <w:r w:rsidRPr="00F85893">
              <w:rPr>
                <w:i/>
                <w:sz w:val="22"/>
                <w:szCs w:val="22"/>
                <w:shd w:val="clear" w:color="auto" w:fill="FFFFFF"/>
              </w:rPr>
              <w:t>Запропонований</w:t>
            </w:r>
            <w:r w:rsidRPr="00F85893">
              <w:rPr>
                <w:bCs/>
                <w:i/>
                <w:color w:val="000000" w:themeColor="text1"/>
                <w:sz w:val="22"/>
                <w:szCs w:val="22"/>
              </w:rPr>
              <w:t xml:space="preserve"> формат таблиці </w:t>
            </w:r>
            <w:r w:rsidRPr="00F85893">
              <w:rPr>
                <w:i/>
                <w:sz w:val="22"/>
                <w:szCs w:val="22"/>
                <w:shd w:val="clear" w:color="auto" w:fill="FFD966" w:themeFill="accent4" w:themeFillTint="99"/>
              </w:rPr>
              <w:t>наведено нижче.</w:t>
            </w:r>
          </w:p>
          <w:p w:rsidR="007F4594" w:rsidRPr="00F85893" w:rsidRDefault="007F4594" w:rsidP="007F4594">
            <w:pPr>
              <w:ind w:firstLine="308"/>
              <w:jc w:val="both"/>
              <w:rPr>
                <w:i/>
                <w:sz w:val="22"/>
                <w:szCs w:val="22"/>
                <w:shd w:val="clear" w:color="auto" w:fill="FFFFFF"/>
              </w:rPr>
            </w:pPr>
          </w:p>
          <w:p w:rsidR="007F4594"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r w:rsidRPr="009D3827">
              <w:rPr>
                <w:i/>
                <w:sz w:val="22"/>
                <w:szCs w:val="22"/>
                <w:shd w:val="clear" w:color="auto" w:fill="FFFFFF"/>
              </w:rPr>
              <w:t>ПРАТ «ЛЬВІВОБЛЕНЕРГО»</w:t>
            </w:r>
          </w:p>
          <w:p w:rsidR="007F4594" w:rsidRPr="009D3827" w:rsidRDefault="007F4594" w:rsidP="007F4594">
            <w:pPr>
              <w:pStyle w:val="af5"/>
              <w:spacing w:before="0" w:beforeAutospacing="0" w:after="0" w:afterAutospacing="0"/>
              <w:ind w:firstLine="426"/>
              <w:jc w:val="both"/>
              <w:rPr>
                <w:color w:val="000000" w:themeColor="text1"/>
                <w:sz w:val="22"/>
                <w:szCs w:val="22"/>
              </w:rPr>
            </w:pPr>
            <w:r w:rsidRPr="009D3827">
              <w:rPr>
                <w:color w:val="000000" w:themeColor="text1"/>
                <w:sz w:val="22"/>
                <w:szCs w:val="22"/>
              </w:rPr>
              <w:t xml:space="preserve">*Примірний перелік операційних контрольованих витрат з розподілу електричної енергії операторів систем розподілу (зафіксовано у додатку 19 до Порядку № 1175 на дату переходу до стимулюючого регулювання). </w:t>
            </w:r>
          </w:p>
          <w:p w:rsidR="007F4594" w:rsidRPr="009D3827" w:rsidRDefault="007F4594" w:rsidP="007F4594">
            <w:pPr>
              <w:pStyle w:val="rvps2"/>
              <w:shd w:val="clear" w:color="auto" w:fill="FFFFFF"/>
              <w:spacing w:before="0" w:beforeAutospacing="0" w:after="0" w:afterAutospacing="0"/>
              <w:ind w:firstLine="426"/>
              <w:jc w:val="both"/>
              <w:rPr>
                <w:color w:val="000000" w:themeColor="text1"/>
                <w:sz w:val="22"/>
                <w:szCs w:val="22"/>
                <w:lang w:val="uk-UA"/>
              </w:rPr>
            </w:pPr>
            <w:r w:rsidRPr="009D3827">
              <w:rPr>
                <w:color w:val="000000" w:themeColor="text1"/>
                <w:sz w:val="22"/>
                <w:szCs w:val="22"/>
                <w:lang w:val="uk-UA"/>
              </w:rPr>
              <w:t>Фактичні операційні контрольовані витрати мають враховувати обґрунтований перелік складових витрат, що відносяться до діяльності з розподілу, за вилученням, зокрема:</w:t>
            </w:r>
          </w:p>
          <w:p w:rsidR="007F4594" w:rsidRPr="009D3827" w:rsidRDefault="007F4594" w:rsidP="007F4594">
            <w:pPr>
              <w:pStyle w:val="rvps2"/>
              <w:shd w:val="clear" w:color="auto" w:fill="FFFFFF"/>
              <w:spacing w:before="0" w:beforeAutospacing="0" w:after="0" w:afterAutospacing="0"/>
              <w:ind w:firstLine="426"/>
              <w:jc w:val="both"/>
              <w:rPr>
                <w:b/>
                <w:strike/>
                <w:color w:val="000000" w:themeColor="text1"/>
                <w:sz w:val="22"/>
                <w:szCs w:val="22"/>
                <w:lang w:val="uk-UA"/>
              </w:rPr>
            </w:pPr>
            <w:r w:rsidRPr="009D3827">
              <w:rPr>
                <w:b/>
                <w:strike/>
                <w:color w:val="000000" w:themeColor="text1"/>
                <w:sz w:val="22"/>
                <w:szCs w:val="22"/>
                <w:lang w:val="uk-UA"/>
              </w:rPr>
              <w:t>сум видатків ліцензіатів, здійснених під час запровадження воєнного стану в Україні за постановою № 345 та які за результатами заходу контролю вважаються обґрунтованими витратами;</w:t>
            </w:r>
          </w:p>
          <w:p w:rsidR="007F4594" w:rsidRPr="009D3827" w:rsidRDefault="007F4594" w:rsidP="007F4594">
            <w:pPr>
              <w:pStyle w:val="rvps2"/>
              <w:shd w:val="clear" w:color="auto" w:fill="FFFFFF"/>
              <w:spacing w:before="0" w:beforeAutospacing="0" w:after="0" w:afterAutospacing="0"/>
              <w:ind w:firstLine="426"/>
              <w:jc w:val="both"/>
              <w:rPr>
                <w:b/>
                <w:strike/>
                <w:color w:val="000000" w:themeColor="text1"/>
                <w:sz w:val="22"/>
                <w:szCs w:val="22"/>
                <w:lang w:val="uk-UA"/>
              </w:rPr>
            </w:pPr>
            <w:r w:rsidRPr="009D3827">
              <w:rPr>
                <w:b/>
                <w:strike/>
                <w:color w:val="000000" w:themeColor="text1"/>
                <w:sz w:val="22"/>
                <w:szCs w:val="22"/>
                <w:lang w:val="uk-UA"/>
              </w:rPr>
              <w:t>витрат ліцензіатів, понесених внаслідок бойових дій, у період дії в Україні воєнного стану за постановою № 386, джерелами фінансування яких були вільна частина прибутку, джерела фінансування відповідних інвестиційних та ремонтних програм ліцензіата та які за результатами заходу контролю вважаються обґрунтованими витратами;</w:t>
            </w:r>
          </w:p>
          <w:p w:rsidR="007F4594" w:rsidRPr="009D3827" w:rsidRDefault="007F4594" w:rsidP="007F4594">
            <w:pPr>
              <w:pStyle w:val="rvps2"/>
              <w:shd w:val="clear" w:color="auto" w:fill="FFFFFF"/>
              <w:spacing w:before="0" w:beforeAutospacing="0" w:after="0" w:afterAutospacing="0"/>
              <w:ind w:firstLine="426"/>
              <w:jc w:val="both"/>
              <w:rPr>
                <w:color w:val="000000" w:themeColor="text1"/>
                <w:sz w:val="22"/>
                <w:szCs w:val="22"/>
                <w:lang w:val="uk-UA"/>
              </w:rPr>
            </w:pPr>
            <w:r w:rsidRPr="009D3827">
              <w:rPr>
                <w:color w:val="000000" w:themeColor="text1"/>
                <w:sz w:val="22"/>
                <w:szCs w:val="22"/>
                <w:lang w:val="uk-UA"/>
              </w:rPr>
              <w:t>резерву сумнівних боргів;</w:t>
            </w:r>
          </w:p>
          <w:p w:rsidR="007F4594" w:rsidRPr="009D3827" w:rsidRDefault="007F4594" w:rsidP="007F4594">
            <w:pPr>
              <w:pStyle w:val="rvps2"/>
              <w:shd w:val="clear" w:color="auto" w:fill="FFFFFF"/>
              <w:spacing w:before="0" w:beforeAutospacing="0" w:after="0" w:afterAutospacing="0"/>
              <w:ind w:firstLine="426"/>
              <w:jc w:val="both"/>
              <w:rPr>
                <w:color w:val="000000" w:themeColor="text1"/>
                <w:sz w:val="22"/>
                <w:szCs w:val="22"/>
                <w:lang w:val="uk-UA"/>
              </w:rPr>
            </w:pPr>
            <w:r w:rsidRPr="009D3827">
              <w:rPr>
                <w:color w:val="000000" w:themeColor="text1"/>
                <w:sz w:val="22"/>
                <w:szCs w:val="22"/>
                <w:lang w:val="uk-UA"/>
              </w:rPr>
              <w:t>штрафів/пені тощо.</w:t>
            </w:r>
          </w:p>
          <w:p w:rsidR="007F4594" w:rsidRPr="009D3827" w:rsidRDefault="007F4594" w:rsidP="007F4594">
            <w:pPr>
              <w:ind w:firstLine="308"/>
              <w:jc w:val="both"/>
              <w:rPr>
                <w:i/>
                <w:sz w:val="22"/>
                <w:szCs w:val="22"/>
                <w:shd w:val="clear" w:color="auto" w:fill="FFFFFF"/>
              </w:rPr>
            </w:pPr>
          </w:p>
          <w:p w:rsidR="007F4594" w:rsidRPr="00BD7CA0" w:rsidRDefault="007F4594" w:rsidP="007F4594">
            <w:pPr>
              <w:ind w:firstLine="308"/>
              <w:jc w:val="both"/>
              <w:rPr>
                <w:i/>
                <w:sz w:val="22"/>
                <w:szCs w:val="22"/>
                <w:shd w:val="clear" w:color="auto" w:fill="FFFFFF"/>
              </w:rPr>
            </w:pPr>
            <w:r w:rsidRPr="00BD7CA0">
              <w:rPr>
                <w:i/>
                <w:sz w:val="22"/>
                <w:szCs w:val="22"/>
                <w:shd w:val="clear" w:color="auto" w:fill="FFFFFF"/>
              </w:rPr>
              <w:t>ОБҐРУНТУВАННЯ:</w:t>
            </w:r>
          </w:p>
          <w:p w:rsidR="007F4594" w:rsidRPr="00BD7CA0" w:rsidRDefault="007F4594" w:rsidP="007F4594">
            <w:pPr>
              <w:ind w:firstLine="284"/>
              <w:jc w:val="both"/>
              <w:textAlignment w:val="baseline"/>
              <w:rPr>
                <w:i/>
                <w:color w:val="000000" w:themeColor="text1"/>
                <w:sz w:val="22"/>
                <w:szCs w:val="22"/>
              </w:rPr>
            </w:pPr>
            <w:r w:rsidRPr="00BD7CA0">
              <w:rPr>
                <w:i/>
                <w:color w:val="000000" w:themeColor="text1"/>
                <w:sz w:val="22"/>
                <w:szCs w:val="22"/>
              </w:rPr>
              <w:t>Видатки ліцензіатів, пов’язані з запровадженням воєнного стану в Україні за постановами № 345 і 386 спричинені необхідністю здійснення підтримки сил оборони, збройних сил з метою посилення обороноздатності України, підтримки мобілізованих працівників а також відновлення систем розподілу.</w:t>
            </w:r>
          </w:p>
          <w:p w:rsidR="007F4594" w:rsidRPr="00BD7CA0" w:rsidRDefault="007F4594" w:rsidP="007F4594">
            <w:pPr>
              <w:ind w:firstLine="284"/>
              <w:jc w:val="both"/>
              <w:textAlignment w:val="baseline"/>
              <w:rPr>
                <w:i/>
                <w:color w:val="000000" w:themeColor="text1"/>
                <w:sz w:val="22"/>
                <w:szCs w:val="22"/>
              </w:rPr>
            </w:pPr>
            <w:r w:rsidRPr="00BD7CA0">
              <w:rPr>
                <w:i/>
                <w:color w:val="000000" w:themeColor="text1"/>
                <w:sz w:val="22"/>
                <w:szCs w:val="22"/>
              </w:rPr>
              <w:t xml:space="preserve">Суми цих витрат ліцензіата (або їх частина), віднесених до операційних контрольованих витрат , у період мирного часу спрямовувалися б на </w:t>
            </w:r>
            <w:r w:rsidRPr="00BD7CA0">
              <w:rPr>
                <w:i/>
                <w:color w:val="000000" w:themeColor="text1"/>
                <w:sz w:val="22"/>
                <w:szCs w:val="22"/>
              </w:rPr>
              <w:lastRenderedPageBreak/>
              <w:t>забезпечення ліцензованої діяльності з урахуванням необхідності покриття росту цін на послуги, матеріали, обладнання тощо.</w:t>
            </w:r>
          </w:p>
          <w:p w:rsidR="007F4594" w:rsidRPr="00BD7CA0" w:rsidRDefault="007F4594" w:rsidP="007F4594">
            <w:pPr>
              <w:ind w:firstLine="284"/>
              <w:jc w:val="both"/>
              <w:textAlignment w:val="baseline"/>
              <w:rPr>
                <w:i/>
                <w:color w:val="000000" w:themeColor="text1"/>
                <w:sz w:val="22"/>
                <w:szCs w:val="22"/>
              </w:rPr>
            </w:pPr>
            <w:r w:rsidRPr="00BD7CA0">
              <w:rPr>
                <w:i/>
                <w:color w:val="000000" w:themeColor="text1"/>
                <w:sz w:val="22"/>
                <w:szCs w:val="22"/>
              </w:rPr>
              <w:t xml:space="preserve">Оскільки </w:t>
            </w:r>
            <w:proofErr w:type="spellStart"/>
            <w:r w:rsidRPr="00BD7CA0">
              <w:rPr>
                <w:i/>
                <w:color w:val="000000" w:themeColor="text1"/>
                <w:sz w:val="22"/>
                <w:szCs w:val="22"/>
              </w:rPr>
              <w:t>ОКВфакт</w:t>
            </w:r>
            <w:proofErr w:type="spellEnd"/>
            <w:r w:rsidRPr="00BD7CA0">
              <w:rPr>
                <w:i/>
                <w:color w:val="000000" w:themeColor="text1"/>
                <w:sz w:val="22"/>
                <w:szCs w:val="22"/>
              </w:rPr>
              <w:t xml:space="preserve"> і </w:t>
            </w:r>
            <w:proofErr w:type="spellStart"/>
            <w:r w:rsidRPr="00BD7CA0">
              <w:rPr>
                <w:i/>
                <w:color w:val="000000" w:themeColor="text1"/>
                <w:sz w:val="22"/>
                <w:szCs w:val="22"/>
              </w:rPr>
              <w:t>ОКВуточнені</w:t>
            </w:r>
            <w:proofErr w:type="spellEnd"/>
            <w:r w:rsidRPr="00BD7CA0">
              <w:rPr>
                <w:i/>
                <w:color w:val="000000" w:themeColor="text1"/>
                <w:sz w:val="22"/>
                <w:szCs w:val="22"/>
              </w:rPr>
              <w:t xml:space="preserve"> приймають участь для розрахунку Економії ОКВ та бази на другий регуляторний період, до уваги повинно братися </w:t>
            </w:r>
            <w:proofErr w:type="spellStart"/>
            <w:r w:rsidRPr="00BD7CA0">
              <w:rPr>
                <w:i/>
                <w:color w:val="000000" w:themeColor="text1"/>
                <w:sz w:val="22"/>
                <w:szCs w:val="22"/>
              </w:rPr>
              <w:t>ОКВфакт</w:t>
            </w:r>
            <w:proofErr w:type="spellEnd"/>
            <w:r w:rsidRPr="00BD7CA0">
              <w:rPr>
                <w:i/>
                <w:color w:val="000000" w:themeColor="text1"/>
                <w:sz w:val="22"/>
                <w:szCs w:val="22"/>
              </w:rPr>
              <w:t xml:space="preserve"> без вилучення сум видатків ліцензіата на посилення обороноздатності України. </w:t>
            </w:r>
          </w:p>
          <w:p w:rsidR="007F4594" w:rsidRPr="00BD7CA0" w:rsidRDefault="007F4594" w:rsidP="007F4594">
            <w:pPr>
              <w:ind w:firstLine="396"/>
              <w:jc w:val="both"/>
              <w:textAlignment w:val="baseline"/>
              <w:rPr>
                <w:i/>
                <w:color w:val="000000" w:themeColor="text1"/>
                <w:sz w:val="22"/>
                <w:szCs w:val="22"/>
              </w:rPr>
            </w:pPr>
          </w:p>
          <w:p w:rsidR="007F4594" w:rsidRPr="00BD7CA0" w:rsidRDefault="007F4594" w:rsidP="007F4594">
            <w:pPr>
              <w:pStyle w:val="rvps2"/>
              <w:shd w:val="clear" w:color="auto" w:fill="FFFFFF"/>
              <w:spacing w:before="0" w:beforeAutospacing="0" w:after="0" w:afterAutospacing="0"/>
              <w:ind w:firstLine="284"/>
              <w:jc w:val="both"/>
              <w:rPr>
                <w:i/>
                <w:color w:val="000000" w:themeColor="text1"/>
                <w:sz w:val="22"/>
                <w:szCs w:val="22"/>
                <w:lang w:val="uk-UA"/>
              </w:rPr>
            </w:pPr>
            <w:r w:rsidRPr="00BD7CA0">
              <w:rPr>
                <w:i/>
                <w:color w:val="000000" w:themeColor="text1"/>
                <w:sz w:val="22"/>
                <w:szCs w:val="22"/>
                <w:lang w:val="uk-UA"/>
              </w:rPr>
              <w:t>Пропонуємо не враховувати уточнення при визначенні суми «Фактичні операційні контрольовані витрати мають враховувати обґрунтований перелік складових витрат, що відносяться до діяльності з розподілу»  щодо вилучення :</w:t>
            </w:r>
          </w:p>
          <w:p w:rsidR="007F4594" w:rsidRPr="00BD7CA0" w:rsidRDefault="007F4594" w:rsidP="007F4594">
            <w:pPr>
              <w:pStyle w:val="rvps2"/>
              <w:shd w:val="clear" w:color="auto" w:fill="FFFFFF"/>
              <w:spacing w:before="0" w:beforeAutospacing="0" w:after="0" w:afterAutospacing="0"/>
              <w:ind w:firstLine="284"/>
              <w:jc w:val="both"/>
              <w:rPr>
                <w:i/>
                <w:color w:val="000000" w:themeColor="text1"/>
                <w:sz w:val="22"/>
                <w:szCs w:val="22"/>
                <w:u w:val="single"/>
                <w:lang w:val="uk-UA"/>
              </w:rPr>
            </w:pPr>
            <w:r w:rsidRPr="00BD7CA0">
              <w:rPr>
                <w:i/>
                <w:color w:val="000000" w:themeColor="text1"/>
                <w:sz w:val="22"/>
                <w:szCs w:val="22"/>
                <w:u w:val="single"/>
                <w:lang w:val="uk-UA"/>
              </w:rPr>
              <w:t>сум видатків ліцензіатів, здійснених під час запровадження воєнного стану в Україні за постановою № 345 та які за результатами заходу контролю вважаються обґрунтованими витратами;</w:t>
            </w:r>
          </w:p>
          <w:p w:rsidR="007F4594" w:rsidRPr="00BD7CA0" w:rsidRDefault="007F4594" w:rsidP="007F4594">
            <w:pPr>
              <w:ind w:firstLine="284"/>
              <w:jc w:val="both"/>
              <w:textAlignment w:val="baseline"/>
              <w:rPr>
                <w:i/>
                <w:color w:val="000000" w:themeColor="text1"/>
                <w:sz w:val="22"/>
                <w:szCs w:val="22"/>
                <w:u w:val="single"/>
              </w:rPr>
            </w:pPr>
            <w:r w:rsidRPr="00BD7CA0">
              <w:rPr>
                <w:i/>
                <w:color w:val="000000" w:themeColor="text1"/>
                <w:sz w:val="22"/>
                <w:szCs w:val="22"/>
                <w:u w:val="single"/>
              </w:rPr>
              <w:t>витрат ліцензіатів, понесених внаслідок бойових дій, у період дії в Україні воєнного стану за постановою № 386.</w:t>
            </w:r>
          </w:p>
          <w:p w:rsidR="007F4594" w:rsidRPr="00BD7CA0" w:rsidRDefault="007F4594" w:rsidP="007F4594">
            <w:pPr>
              <w:ind w:firstLine="284"/>
              <w:jc w:val="both"/>
              <w:textAlignment w:val="baseline"/>
              <w:rPr>
                <w:i/>
                <w:color w:val="000000" w:themeColor="text1"/>
                <w:sz w:val="22"/>
                <w:szCs w:val="22"/>
                <w:u w:val="single"/>
              </w:rPr>
            </w:pPr>
          </w:p>
          <w:p w:rsidR="007F4594" w:rsidRPr="00BD7CA0" w:rsidRDefault="007F4594" w:rsidP="007F4594">
            <w:pPr>
              <w:ind w:firstLine="284"/>
              <w:jc w:val="both"/>
              <w:textAlignment w:val="baseline"/>
              <w:rPr>
                <w:i/>
                <w:color w:val="000000" w:themeColor="text1"/>
                <w:sz w:val="22"/>
                <w:szCs w:val="22"/>
              </w:rPr>
            </w:pPr>
            <w:r w:rsidRPr="00BD7CA0">
              <w:rPr>
                <w:i/>
                <w:color w:val="000000" w:themeColor="text1"/>
                <w:sz w:val="22"/>
                <w:szCs w:val="22"/>
              </w:rPr>
              <w:t xml:space="preserve">Щодо </w:t>
            </w:r>
            <w:proofErr w:type="spellStart"/>
            <w:r w:rsidRPr="00BD7CA0">
              <w:rPr>
                <w:i/>
                <w:color w:val="000000" w:themeColor="text1"/>
                <w:sz w:val="22"/>
                <w:szCs w:val="22"/>
              </w:rPr>
              <w:t>ОКВуточнені</w:t>
            </w:r>
            <w:proofErr w:type="spellEnd"/>
            <w:r w:rsidRPr="00BD7CA0">
              <w:rPr>
                <w:i/>
                <w:color w:val="000000" w:themeColor="text1"/>
                <w:sz w:val="22"/>
                <w:szCs w:val="22"/>
              </w:rPr>
              <w:t xml:space="preserve"> та прогнозованих витрат у структурі тарифів на розподіл у 2021-2026 роках визначаються на основі прогнозованих індексів цін виробників промислової продукції (далі- ІЦВ). </w:t>
            </w:r>
          </w:p>
          <w:p w:rsidR="007F4594" w:rsidRPr="00BD7CA0" w:rsidRDefault="007F4594" w:rsidP="007F4594">
            <w:pPr>
              <w:ind w:firstLine="284"/>
              <w:jc w:val="both"/>
              <w:textAlignment w:val="baseline"/>
              <w:rPr>
                <w:i/>
                <w:color w:val="000000" w:themeColor="text1"/>
                <w:sz w:val="22"/>
                <w:szCs w:val="22"/>
              </w:rPr>
            </w:pPr>
            <w:r w:rsidRPr="00BD7CA0">
              <w:rPr>
                <w:i/>
                <w:color w:val="000000" w:themeColor="text1"/>
                <w:sz w:val="22"/>
                <w:szCs w:val="22"/>
              </w:rPr>
              <w:t xml:space="preserve">При цьому фактичні ІЦВ за 2021-2025 років значно перевищують прогнозовані ІЦВ. </w:t>
            </w:r>
          </w:p>
          <w:p w:rsidR="007F4594" w:rsidRPr="009D3827" w:rsidRDefault="007F4594" w:rsidP="007F4594">
            <w:pPr>
              <w:ind w:firstLine="308"/>
              <w:jc w:val="both"/>
              <w:rPr>
                <w:i/>
                <w:sz w:val="22"/>
                <w:szCs w:val="22"/>
                <w:shd w:val="clear" w:color="auto" w:fill="FFFFFF"/>
              </w:rPr>
            </w:pPr>
            <w:r w:rsidRPr="00BD7CA0">
              <w:rPr>
                <w:i/>
                <w:color w:val="000000" w:themeColor="text1"/>
                <w:sz w:val="22"/>
                <w:szCs w:val="22"/>
              </w:rPr>
              <w:t xml:space="preserve">Відповідно, при встановлені бази </w:t>
            </w:r>
            <w:proofErr w:type="spellStart"/>
            <w:r w:rsidRPr="00BD7CA0">
              <w:rPr>
                <w:i/>
                <w:color w:val="000000" w:themeColor="text1"/>
                <w:sz w:val="22"/>
                <w:szCs w:val="22"/>
              </w:rPr>
              <w:t>ОКВ</w:t>
            </w:r>
            <w:r w:rsidRPr="00BD7CA0">
              <w:rPr>
                <w:i/>
                <w:color w:val="000000" w:themeColor="text1"/>
                <w:sz w:val="22"/>
                <w:szCs w:val="22"/>
                <w:vertAlign w:val="superscript"/>
              </w:rPr>
              <w:t>ІІ</w:t>
            </w:r>
            <w:r w:rsidRPr="00BD7CA0">
              <w:rPr>
                <w:i/>
                <w:color w:val="000000" w:themeColor="text1"/>
                <w:sz w:val="22"/>
                <w:szCs w:val="22"/>
                <w:vertAlign w:val="subscript"/>
              </w:rPr>
              <w:t>о</w:t>
            </w:r>
            <w:proofErr w:type="spellEnd"/>
            <w:r w:rsidRPr="00BD7CA0">
              <w:rPr>
                <w:i/>
                <w:color w:val="000000" w:themeColor="text1"/>
                <w:sz w:val="22"/>
                <w:szCs w:val="22"/>
              </w:rPr>
              <w:t xml:space="preserve">  на другий регуляторний період, необхідно врахувати фактор значного перевищення фактичного ІЦВ над прогнозованим і внести зміни до постанови НКРЕКП </w:t>
            </w:r>
            <w:r w:rsidRPr="00BD7CA0">
              <w:rPr>
                <w:bCs/>
                <w:i/>
                <w:color w:val="000000" w:themeColor="text1"/>
                <w:sz w:val="22"/>
                <w:szCs w:val="22"/>
                <w:shd w:val="clear" w:color="auto" w:fill="FFFFFF"/>
              </w:rPr>
              <w:t>05.10.2018</w:t>
            </w:r>
            <w:r w:rsidRPr="00BD7CA0">
              <w:rPr>
                <w:i/>
                <w:color w:val="000000" w:themeColor="text1"/>
                <w:sz w:val="22"/>
                <w:szCs w:val="22"/>
              </w:rPr>
              <w:t xml:space="preserve"> №1175 «</w:t>
            </w:r>
            <w:r w:rsidRPr="00BD7CA0">
              <w:rPr>
                <w:bCs/>
                <w:i/>
                <w:color w:val="000000" w:themeColor="text1"/>
                <w:sz w:val="22"/>
                <w:szCs w:val="22"/>
                <w:shd w:val="clear" w:color="auto" w:fill="FFFFFF"/>
              </w:rPr>
              <w:t>Про затвердження Порядку встановлення (формування) тарифів на послуги з розподілу електричної енергії</w:t>
            </w:r>
            <w:r w:rsidRPr="00BD7CA0">
              <w:rPr>
                <w:i/>
                <w:color w:val="000000" w:themeColor="text1"/>
                <w:sz w:val="22"/>
                <w:szCs w:val="22"/>
              </w:rPr>
              <w:t xml:space="preserve">» щодо розрахунку </w:t>
            </w:r>
            <w:proofErr w:type="spellStart"/>
            <w:r w:rsidRPr="00BD7CA0">
              <w:rPr>
                <w:i/>
                <w:color w:val="000000" w:themeColor="text1"/>
                <w:sz w:val="22"/>
                <w:szCs w:val="22"/>
              </w:rPr>
              <w:t>ОКВ</w:t>
            </w:r>
            <w:r w:rsidRPr="00BD7CA0">
              <w:rPr>
                <w:i/>
                <w:color w:val="000000" w:themeColor="text1"/>
                <w:sz w:val="22"/>
                <w:szCs w:val="22"/>
                <w:vertAlign w:val="superscript"/>
              </w:rPr>
              <w:t>ІІ</w:t>
            </w:r>
            <w:r w:rsidRPr="00BD7CA0">
              <w:rPr>
                <w:i/>
                <w:color w:val="000000" w:themeColor="text1"/>
                <w:sz w:val="22"/>
                <w:szCs w:val="22"/>
                <w:vertAlign w:val="subscript"/>
              </w:rPr>
              <w:t>о</w:t>
            </w:r>
            <w:proofErr w:type="spellEnd"/>
          </w:p>
        </w:tc>
        <w:tc>
          <w:tcPr>
            <w:tcW w:w="5066" w:type="dxa"/>
            <w:shd w:val="clear" w:color="auto" w:fill="auto"/>
          </w:tcPr>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ind w:firstLine="276"/>
              <w:rPr>
                <w:b/>
                <w:sz w:val="22"/>
                <w:szCs w:val="22"/>
              </w:rPr>
            </w:pPr>
            <w:r>
              <w:rPr>
                <w:b/>
                <w:sz w:val="22"/>
                <w:szCs w:val="22"/>
              </w:rPr>
              <w:t>Враховано</w:t>
            </w: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widowControl w:val="0"/>
              <w:suppressAutoHyphens/>
              <w:ind w:firstLine="251"/>
              <w:jc w:val="both"/>
              <w:rPr>
                <w:b/>
                <w:bCs/>
                <w:color w:val="000000"/>
                <w:sz w:val="24"/>
                <w:szCs w:val="24"/>
              </w:rPr>
            </w:pPr>
            <w:r w:rsidRPr="00DA5E65">
              <w:rPr>
                <w:b/>
                <w:bCs/>
                <w:color w:val="000000"/>
                <w:sz w:val="24"/>
                <w:szCs w:val="24"/>
              </w:rPr>
              <w:t>Не враховано</w:t>
            </w:r>
          </w:p>
          <w:p w:rsidR="007F4594" w:rsidRPr="00BD7CA0" w:rsidRDefault="007F4594" w:rsidP="007F4594">
            <w:pPr>
              <w:ind w:firstLine="276"/>
              <w:jc w:val="both"/>
              <w:rPr>
                <w:sz w:val="22"/>
                <w:szCs w:val="22"/>
                <w:lang w:eastAsia="uk-UA"/>
              </w:rPr>
            </w:pPr>
            <w:r w:rsidRPr="00BD7CA0">
              <w:rPr>
                <w:bCs/>
                <w:sz w:val="22"/>
                <w:szCs w:val="22"/>
              </w:rPr>
              <w:t>На період в</w:t>
            </w:r>
            <w:r w:rsidRPr="00BD7CA0">
              <w:rPr>
                <w:sz w:val="22"/>
                <w:szCs w:val="22"/>
              </w:rPr>
              <w:t xml:space="preserve">оєнного стану в Україні </w:t>
            </w:r>
            <w:r w:rsidRPr="00BD7CA0">
              <w:rPr>
                <w:bCs/>
                <w:sz w:val="22"/>
                <w:szCs w:val="22"/>
              </w:rPr>
              <w:t>запропонована пропозиція є недоцільною.</w:t>
            </w:r>
          </w:p>
          <w:p w:rsidR="007F4594" w:rsidRPr="00BD7CA0" w:rsidRDefault="007F4594" w:rsidP="007F4594">
            <w:pPr>
              <w:ind w:left="276"/>
              <w:rPr>
                <w:sz w:val="22"/>
                <w:szCs w:val="22"/>
              </w:rPr>
            </w:pPr>
          </w:p>
          <w:p w:rsidR="007F4594" w:rsidRPr="00143694" w:rsidRDefault="007F4594" w:rsidP="007F4594">
            <w:pPr>
              <w:widowControl w:val="0"/>
              <w:suppressAutoHyphens/>
              <w:ind w:firstLine="251"/>
              <w:jc w:val="both"/>
              <w:rPr>
                <w:b/>
                <w:bCs/>
                <w:color w:val="000000"/>
                <w:sz w:val="24"/>
                <w:szCs w:val="24"/>
                <w:lang w:val="ru-RU"/>
              </w:rPr>
            </w:pPr>
          </w:p>
          <w:p w:rsidR="007F4594" w:rsidRDefault="007F4594" w:rsidP="007F4594">
            <w:pPr>
              <w:rPr>
                <w:b/>
                <w:sz w:val="22"/>
                <w:szCs w:val="22"/>
              </w:rPr>
            </w:pPr>
          </w:p>
          <w:p w:rsidR="007F4594" w:rsidRPr="009D3827" w:rsidRDefault="007F4594" w:rsidP="007F4594">
            <w:pPr>
              <w:rPr>
                <w:b/>
                <w:sz w:val="22"/>
                <w:szCs w:val="22"/>
              </w:rPr>
            </w:pPr>
          </w:p>
        </w:tc>
      </w:tr>
      <w:tr w:rsidR="007F4594" w:rsidRPr="009D3827" w:rsidTr="009362C6">
        <w:trPr>
          <w:trHeight w:val="595"/>
        </w:trPr>
        <w:tc>
          <w:tcPr>
            <w:tcW w:w="5065" w:type="dxa"/>
            <w:shd w:val="clear" w:color="auto" w:fill="auto"/>
          </w:tcPr>
          <w:p w:rsidR="007F4594" w:rsidRDefault="007F4594" w:rsidP="007F4594">
            <w:pPr>
              <w:ind w:firstLine="308"/>
              <w:jc w:val="both"/>
              <w:rPr>
                <w:sz w:val="22"/>
                <w:szCs w:val="22"/>
                <w:shd w:val="clear" w:color="auto" w:fill="FFFFFF"/>
              </w:rPr>
            </w:pPr>
          </w:p>
          <w:p w:rsidR="007F4594" w:rsidRPr="009D3827" w:rsidRDefault="007F4594" w:rsidP="007F4594">
            <w:pPr>
              <w:ind w:firstLine="308"/>
              <w:jc w:val="both"/>
              <w:rPr>
                <w:sz w:val="22"/>
                <w:szCs w:val="22"/>
                <w:shd w:val="clear" w:color="auto" w:fill="FFFFFF"/>
              </w:rPr>
            </w:pPr>
          </w:p>
          <w:p w:rsidR="007F4594" w:rsidRPr="009D3827" w:rsidRDefault="007F4594" w:rsidP="007F4594">
            <w:pPr>
              <w:ind w:firstLine="308"/>
              <w:jc w:val="both"/>
              <w:rPr>
                <w:sz w:val="22"/>
                <w:szCs w:val="22"/>
                <w:shd w:val="clear" w:color="auto" w:fill="FFFFFF"/>
              </w:rPr>
            </w:pPr>
            <w:r w:rsidRPr="009D3827">
              <w:rPr>
                <w:sz w:val="22"/>
                <w:szCs w:val="22"/>
                <w:shd w:val="clear" w:color="auto" w:fill="FFFFFF"/>
              </w:rPr>
              <w:t>4.5.2. Фіксується суми економії операційних контрольованих витрат з метою необхідності визначення базового рівня операційних контрольованих витрат на перший рік другого регуляторного періоду, відповідно до вимог пункту 5.7 Порядку № 1175, у форматі таблиці 8.</w:t>
            </w:r>
          </w:p>
          <w:p w:rsidR="007F4594" w:rsidRPr="009D3827" w:rsidRDefault="007F4594" w:rsidP="007F4594">
            <w:pPr>
              <w:ind w:firstLine="308"/>
              <w:jc w:val="both"/>
              <w:rPr>
                <w:sz w:val="22"/>
                <w:szCs w:val="22"/>
                <w:shd w:val="clear" w:color="auto" w:fill="FFFFFF"/>
              </w:rPr>
            </w:pPr>
          </w:p>
          <w:p w:rsidR="007F4594" w:rsidRPr="009D3827" w:rsidRDefault="007F4594" w:rsidP="007F4594">
            <w:pPr>
              <w:ind w:firstLine="308"/>
              <w:jc w:val="both"/>
              <w:rPr>
                <w:sz w:val="22"/>
                <w:szCs w:val="22"/>
                <w:shd w:val="clear" w:color="auto" w:fill="FFFFFF"/>
              </w:rPr>
            </w:pPr>
            <w:r w:rsidRPr="009D3827">
              <w:rPr>
                <w:sz w:val="22"/>
                <w:szCs w:val="22"/>
                <w:shd w:val="clear" w:color="auto" w:fill="FFFFFF"/>
              </w:rPr>
              <w:t>&lt;…&gt;</w:t>
            </w:r>
          </w:p>
          <w:p w:rsidR="007F4594" w:rsidRPr="009D3827" w:rsidRDefault="007F4594" w:rsidP="007F4594">
            <w:pPr>
              <w:ind w:firstLine="308"/>
              <w:jc w:val="both"/>
              <w:rPr>
                <w:sz w:val="22"/>
                <w:szCs w:val="22"/>
                <w:shd w:val="clear" w:color="auto" w:fill="FFFFFF"/>
              </w:rPr>
            </w:pPr>
          </w:p>
          <w:p w:rsidR="007F4594" w:rsidRPr="009D3827" w:rsidRDefault="007F4594" w:rsidP="007F4594">
            <w:pPr>
              <w:pStyle w:val="rvps2"/>
              <w:shd w:val="clear" w:color="auto" w:fill="FFFFFF"/>
              <w:spacing w:before="0" w:beforeAutospacing="0" w:after="0" w:afterAutospacing="0"/>
              <w:ind w:firstLine="567"/>
              <w:jc w:val="both"/>
              <w:rPr>
                <w:sz w:val="22"/>
                <w:szCs w:val="22"/>
                <w:shd w:val="clear" w:color="auto" w:fill="FFFFFF"/>
                <w:lang w:val="uk-UA"/>
              </w:rPr>
            </w:pPr>
          </w:p>
        </w:tc>
        <w:tc>
          <w:tcPr>
            <w:tcW w:w="5066" w:type="dxa"/>
            <w:shd w:val="clear" w:color="auto" w:fill="auto"/>
          </w:tcPr>
          <w:p w:rsidR="007F4594" w:rsidRPr="009D3827" w:rsidRDefault="007F4594" w:rsidP="007F4594">
            <w:pPr>
              <w:ind w:firstLine="308"/>
              <w:jc w:val="both"/>
              <w:rPr>
                <w:i/>
                <w:sz w:val="22"/>
                <w:szCs w:val="22"/>
                <w:shd w:val="clear" w:color="auto" w:fill="FFFFFF"/>
              </w:rPr>
            </w:pPr>
            <w:r w:rsidRPr="009D3827">
              <w:rPr>
                <w:i/>
                <w:sz w:val="22"/>
                <w:szCs w:val="22"/>
                <w:shd w:val="clear" w:color="auto" w:fill="FFFFFF"/>
              </w:rPr>
              <w:t>Програма Забезпечення енергопостачання, підвищення стійкості та сполучення (SPARC)</w:t>
            </w:r>
          </w:p>
          <w:p w:rsidR="007F4594" w:rsidRPr="009D3827" w:rsidRDefault="007F4594" w:rsidP="007F4594">
            <w:pPr>
              <w:ind w:firstLine="308"/>
              <w:jc w:val="both"/>
              <w:rPr>
                <w:sz w:val="22"/>
                <w:szCs w:val="22"/>
              </w:rPr>
            </w:pPr>
            <w:r w:rsidRPr="009D3827">
              <w:rPr>
                <w:sz w:val="22"/>
                <w:szCs w:val="22"/>
              </w:rPr>
              <w:t>4.5.2. Фіксується суми економії операційних контрольованих витрат з метою необхідності визначення базового рівня операційних</w:t>
            </w:r>
            <w:r w:rsidRPr="009D3827">
              <w:rPr>
                <w:b/>
                <w:sz w:val="22"/>
                <w:szCs w:val="22"/>
              </w:rPr>
              <w:t xml:space="preserve"> </w:t>
            </w:r>
            <w:r w:rsidRPr="009D3827">
              <w:rPr>
                <w:sz w:val="22"/>
                <w:szCs w:val="22"/>
              </w:rPr>
              <w:t xml:space="preserve">контрольованих витрат на перший рік другого регуляторного періоду </w:t>
            </w:r>
            <w:r w:rsidRPr="009D3827">
              <w:rPr>
                <w:b/>
                <w:color w:val="000000" w:themeColor="text1"/>
                <w:sz w:val="22"/>
                <w:szCs w:val="22"/>
              </w:rPr>
              <w:t>та на другий рік другого регуляторного періоду</w:t>
            </w:r>
            <w:r w:rsidRPr="009D3827">
              <w:rPr>
                <w:sz w:val="22"/>
                <w:szCs w:val="22"/>
              </w:rPr>
              <w:t>, відповідно до вимог пункту 5.7 Порядку № 1175, у форматі таблиці 8.</w:t>
            </w:r>
          </w:p>
          <w:p w:rsidR="007F4594" w:rsidRPr="00BD7CA0" w:rsidRDefault="007F4594" w:rsidP="007F4594">
            <w:pPr>
              <w:ind w:firstLine="308"/>
              <w:jc w:val="both"/>
              <w:rPr>
                <w:i/>
                <w:sz w:val="22"/>
                <w:szCs w:val="22"/>
                <w:shd w:val="clear" w:color="auto" w:fill="FFFFFF"/>
              </w:rPr>
            </w:pPr>
          </w:p>
          <w:p w:rsidR="007F4594" w:rsidRPr="00BD7CA0" w:rsidRDefault="007F4594" w:rsidP="007F4594">
            <w:pPr>
              <w:ind w:firstLine="308"/>
              <w:jc w:val="both"/>
              <w:rPr>
                <w:i/>
                <w:sz w:val="22"/>
                <w:szCs w:val="22"/>
                <w:shd w:val="clear" w:color="auto" w:fill="FFFFFF"/>
              </w:rPr>
            </w:pPr>
            <w:r w:rsidRPr="00BD7CA0">
              <w:rPr>
                <w:i/>
                <w:sz w:val="22"/>
                <w:szCs w:val="22"/>
                <w:shd w:val="clear" w:color="auto" w:fill="FFFFFF"/>
              </w:rPr>
              <w:t>ОБҐРУНТУВАННЯ:</w:t>
            </w:r>
          </w:p>
          <w:p w:rsidR="007F4594" w:rsidRPr="009D3827" w:rsidRDefault="007F4594" w:rsidP="007F4594">
            <w:pPr>
              <w:ind w:firstLine="308"/>
              <w:jc w:val="both"/>
              <w:rPr>
                <w:i/>
                <w:sz w:val="22"/>
                <w:szCs w:val="22"/>
                <w:shd w:val="clear" w:color="auto" w:fill="FFFFFF"/>
              </w:rPr>
            </w:pPr>
            <w:r w:rsidRPr="00BD7CA0">
              <w:rPr>
                <w:i/>
                <w:sz w:val="22"/>
                <w:szCs w:val="22"/>
                <w:shd w:val="clear" w:color="auto" w:fill="FFFFFF"/>
              </w:rPr>
              <w:t>Редакційна правка</w:t>
            </w:r>
            <w:r w:rsidRPr="00BD7CA0">
              <w:rPr>
                <w:bCs/>
                <w:i/>
                <w:sz w:val="22"/>
                <w:szCs w:val="22"/>
                <w:shd w:val="clear" w:color="auto" w:fill="FFFFFF"/>
              </w:rPr>
              <w:t>. Відповідно до Порядку 1175, економія операційних контрольованих витрат за попередній регуляторний період (за винятком останнього року) використовується для базового рівня витрат на перший рік другого регуляторного періоду, а економія за останній рік - для другого року.</w:t>
            </w:r>
          </w:p>
        </w:tc>
        <w:tc>
          <w:tcPr>
            <w:tcW w:w="5066" w:type="dxa"/>
            <w:shd w:val="clear" w:color="auto" w:fill="auto"/>
          </w:tcPr>
          <w:p w:rsidR="007F4594" w:rsidRPr="009D3827" w:rsidRDefault="007F4594" w:rsidP="007F4594">
            <w:pPr>
              <w:ind w:firstLine="134"/>
              <w:rPr>
                <w:b/>
                <w:sz w:val="22"/>
                <w:szCs w:val="22"/>
              </w:rPr>
            </w:pPr>
            <w:r>
              <w:rPr>
                <w:b/>
                <w:sz w:val="22"/>
                <w:szCs w:val="22"/>
              </w:rPr>
              <w:t>Враховано</w:t>
            </w:r>
          </w:p>
        </w:tc>
      </w:tr>
      <w:tr w:rsidR="007F4594" w:rsidRPr="009D3827" w:rsidTr="002851E7">
        <w:trPr>
          <w:trHeight w:val="595"/>
        </w:trPr>
        <w:tc>
          <w:tcPr>
            <w:tcW w:w="15197" w:type="dxa"/>
            <w:gridSpan w:val="3"/>
            <w:shd w:val="clear" w:color="auto" w:fill="FFD966" w:themeFill="accent4" w:themeFillTint="99"/>
            <w:vAlign w:val="center"/>
          </w:tcPr>
          <w:p w:rsidR="007F4594" w:rsidRDefault="007F4594" w:rsidP="007F4594">
            <w:pPr>
              <w:jc w:val="center"/>
              <w:rPr>
                <w:b/>
                <w:sz w:val="22"/>
                <w:szCs w:val="22"/>
              </w:rPr>
            </w:pPr>
            <w:r w:rsidRPr="002851E7">
              <w:rPr>
                <w:b/>
                <w:sz w:val="22"/>
                <w:szCs w:val="22"/>
              </w:rPr>
              <w:t>Додаток 34</w:t>
            </w:r>
          </w:p>
          <w:p w:rsidR="007F4594" w:rsidRDefault="007F4594" w:rsidP="007F4594">
            <w:pPr>
              <w:jc w:val="center"/>
              <w:rPr>
                <w:b/>
                <w:sz w:val="22"/>
                <w:szCs w:val="22"/>
              </w:rPr>
            </w:pPr>
          </w:p>
          <w:p w:rsidR="007F4594" w:rsidRPr="009D3827" w:rsidRDefault="007F4594" w:rsidP="007F4594">
            <w:pPr>
              <w:jc w:val="center"/>
              <w:rPr>
                <w:b/>
                <w:sz w:val="22"/>
                <w:szCs w:val="22"/>
              </w:rPr>
            </w:pPr>
            <w:r w:rsidRPr="002851E7">
              <w:rPr>
                <w:b/>
                <w:sz w:val="22"/>
                <w:szCs w:val="22"/>
              </w:rPr>
              <w:t>Методика</w:t>
            </w:r>
            <w:r w:rsidRPr="00732E05">
              <w:rPr>
                <w:b/>
                <w:sz w:val="22"/>
                <w:szCs w:val="22"/>
              </w:rPr>
              <w:t xml:space="preserve"> </w:t>
            </w:r>
            <w:r w:rsidRPr="002851E7">
              <w:rPr>
                <w:b/>
                <w:sz w:val="22"/>
                <w:szCs w:val="22"/>
              </w:rPr>
              <w:t>визначення сум економії (недофінансування) або перевитрат кошторису витрат постачальника «останньої надії» на провадження ним операційної діяльності на виконання функції постачальника «останньої надії»</w:t>
            </w:r>
          </w:p>
        </w:tc>
      </w:tr>
      <w:tr w:rsidR="007F4594" w:rsidRPr="009D3827" w:rsidTr="00276080">
        <w:trPr>
          <w:trHeight w:val="595"/>
        </w:trPr>
        <w:tc>
          <w:tcPr>
            <w:tcW w:w="5065" w:type="dxa"/>
            <w:shd w:val="clear" w:color="auto" w:fill="auto"/>
          </w:tcPr>
          <w:p w:rsidR="007F4594" w:rsidRDefault="007F4594" w:rsidP="007F4594">
            <w:pPr>
              <w:ind w:firstLine="308"/>
              <w:jc w:val="both"/>
              <w:rPr>
                <w:sz w:val="22"/>
                <w:szCs w:val="22"/>
                <w:shd w:val="clear" w:color="auto" w:fill="FFFFFF"/>
              </w:rPr>
            </w:pPr>
          </w:p>
          <w:p w:rsidR="007F4594" w:rsidRDefault="007F4594" w:rsidP="007F4594">
            <w:pPr>
              <w:ind w:firstLine="308"/>
              <w:jc w:val="both"/>
              <w:rPr>
                <w:sz w:val="22"/>
                <w:szCs w:val="22"/>
                <w:shd w:val="clear" w:color="auto" w:fill="FFFFFF"/>
              </w:rPr>
            </w:pPr>
            <w:r w:rsidRPr="005E3093">
              <w:rPr>
                <w:sz w:val="22"/>
                <w:szCs w:val="22"/>
                <w:shd w:val="clear" w:color="auto" w:fill="FFFFFF"/>
              </w:rPr>
              <w:t>5. Загальна сума економії (недофінансування) або перевитрат кошторису витрат постачальника «останньої надії» на провадження ним операційної діяльності на виконання функції постачальника «останньої надії» у звітному році визначається як сума таких складових:</w:t>
            </w:r>
          </w:p>
          <w:p w:rsidR="007F4594" w:rsidRPr="009D3827" w:rsidRDefault="007F4594" w:rsidP="007F4594">
            <w:pPr>
              <w:ind w:firstLine="308"/>
              <w:jc w:val="both"/>
              <w:rPr>
                <w:sz w:val="22"/>
                <w:szCs w:val="22"/>
                <w:shd w:val="clear" w:color="auto" w:fill="FFFFFF"/>
              </w:rPr>
            </w:pPr>
          </w:p>
          <w:p w:rsidR="007F4594" w:rsidRPr="009D3827" w:rsidRDefault="007F4594" w:rsidP="007F4594">
            <w:pPr>
              <w:ind w:firstLine="308"/>
              <w:jc w:val="both"/>
              <w:rPr>
                <w:sz w:val="22"/>
                <w:szCs w:val="22"/>
                <w:shd w:val="clear" w:color="auto" w:fill="FFFFFF"/>
              </w:rPr>
            </w:pPr>
            <w:r w:rsidRPr="009D3827">
              <w:rPr>
                <w:sz w:val="22"/>
                <w:szCs w:val="22"/>
                <w:shd w:val="clear" w:color="auto" w:fill="FFFFFF"/>
              </w:rPr>
              <w:t>&lt;…&gt;</w:t>
            </w:r>
          </w:p>
          <w:p w:rsidR="007F4594" w:rsidRPr="009D3827" w:rsidRDefault="007F4594" w:rsidP="007F4594">
            <w:pPr>
              <w:ind w:firstLine="308"/>
              <w:jc w:val="both"/>
              <w:rPr>
                <w:sz w:val="22"/>
                <w:szCs w:val="22"/>
                <w:shd w:val="clear" w:color="auto" w:fill="FFFFFF"/>
              </w:rPr>
            </w:pPr>
          </w:p>
          <w:p w:rsidR="007F4594" w:rsidRPr="009D3827" w:rsidRDefault="007F4594" w:rsidP="007F4594">
            <w:pPr>
              <w:ind w:firstLine="308"/>
              <w:jc w:val="both"/>
              <w:rPr>
                <w:sz w:val="22"/>
                <w:szCs w:val="22"/>
                <w:shd w:val="clear" w:color="auto" w:fill="FFFFFF"/>
              </w:rPr>
            </w:pPr>
            <w:r w:rsidRPr="005E3093">
              <w:rPr>
                <w:sz w:val="22"/>
                <w:szCs w:val="22"/>
                <w:shd w:val="clear" w:color="auto" w:fill="FFFFFF"/>
              </w:rPr>
              <w:t xml:space="preserve">3) фактична сума перевищення максимального розміру заробітної плати, яка фінансується за рахунок кошторису витрат постачальника «останньої надії», що перевищує десятикратний розмір середньої заробітної плати, урахованої у кошторисі витрат постачальника «останньої надії», з урахуванням приведення до середньорічного </w:t>
            </w:r>
            <w:r w:rsidRPr="005E3093">
              <w:rPr>
                <w:sz w:val="22"/>
                <w:szCs w:val="22"/>
                <w:shd w:val="clear" w:color="auto" w:fill="FFFFFF"/>
              </w:rPr>
              <w:lastRenderedPageBreak/>
              <w:t>розміру заробітної плати у звітному році, що підлягає вилученню.</w:t>
            </w:r>
          </w:p>
        </w:tc>
        <w:tc>
          <w:tcPr>
            <w:tcW w:w="5066" w:type="dxa"/>
            <w:shd w:val="clear" w:color="auto" w:fill="auto"/>
          </w:tcPr>
          <w:p w:rsidR="007F4594" w:rsidRPr="00A32689" w:rsidRDefault="007F4594" w:rsidP="007F4594">
            <w:pPr>
              <w:ind w:firstLine="308"/>
              <w:jc w:val="both"/>
              <w:rPr>
                <w:i/>
                <w:sz w:val="22"/>
                <w:szCs w:val="22"/>
                <w:shd w:val="clear" w:color="auto" w:fill="FFFFFF"/>
              </w:rPr>
            </w:pPr>
            <w:r w:rsidRPr="00A32689">
              <w:rPr>
                <w:i/>
                <w:sz w:val="22"/>
                <w:szCs w:val="22"/>
                <w:shd w:val="clear" w:color="auto" w:fill="FFFFFF"/>
              </w:rPr>
              <w:lastRenderedPageBreak/>
              <w:t>ДПЗД «УКРІНТЕРЕНЕРГО»</w:t>
            </w:r>
          </w:p>
          <w:p w:rsidR="007F4594" w:rsidRDefault="007F4594" w:rsidP="007F4594">
            <w:pPr>
              <w:ind w:firstLine="308"/>
              <w:jc w:val="both"/>
              <w:rPr>
                <w:sz w:val="22"/>
                <w:szCs w:val="22"/>
                <w:shd w:val="clear" w:color="auto" w:fill="FFFFFF"/>
              </w:rPr>
            </w:pPr>
            <w:r w:rsidRPr="005E3093">
              <w:rPr>
                <w:sz w:val="22"/>
                <w:szCs w:val="22"/>
                <w:shd w:val="clear" w:color="auto" w:fill="FFFFFF"/>
              </w:rPr>
              <w:t>5. Загальна сума економії (недофінансування) або перевитрат кошторису витрат постачальника «останньої надії» на провадження ним операційної діяльності на виконання функції постачальника «останньої надії» у звітному році визначається як сума таких складових:</w:t>
            </w:r>
          </w:p>
          <w:p w:rsidR="007F4594" w:rsidRPr="009D3827" w:rsidRDefault="007F4594" w:rsidP="007F4594">
            <w:pPr>
              <w:ind w:firstLine="308"/>
              <w:jc w:val="both"/>
              <w:rPr>
                <w:sz w:val="22"/>
                <w:szCs w:val="22"/>
                <w:shd w:val="clear" w:color="auto" w:fill="FFFFFF"/>
              </w:rPr>
            </w:pPr>
          </w:p>
          <w:p w:rsidR="007F4594" w:rsidRPr="009D3827" w:rsidRDefault="007F4594" w:rsidP="007F4594">
            <w:pPr>
              <w:ind w:firstLine="308"/>
              <w:jc w:val="both"/>
              <w:rPr>
                <w:sz w:val="22"/>
                <w:szCs w:val="22"/>
                <w:shd w:val="clear" w:color="auto" w:fill="FFFFFF"/>
              </w:rPr>
            </w:pPr>
            <w:r w:rsidRPr="009D3827">
              <w:rPr>
                <w:sz w:val="22"/>
                <w:szCs w:val="22"/>
                <w:shd w:val="clear" w:color="auto" w:fill="FFFFFF"/>
              </w:rPr>
              <w:t>&lt;…&gt;</w:t>
            </w:r>
          </w:p>
          <w:p w:rsidR="007F4594" w:rsidRPr="006003D1" w:rsidRDefault="007F4594" w:rsidP="007F4594">
            <w:pPr>
              <w:ind w:firstLine="308"/>
              <w:jc w:val="both"/>
              <w:rPr>
                <w:sz w:val="22"/>
                <w:szCs w:val="22"/>
                <w:shd w:val="clear" w:color="auto" w:fill="FFFFFF"/>
              </w:rPr>
            </w:pPr>
          </w:p>
          <w:p w:rsidR="007F4594" w:rsidRDefault="007F4594" w:rsidP="007F4594">
            <w:pPr>
              <w:ind w:firstLine="308"/>
              <w:jc w:val="both"/>
              <w:rPr>
                <w:strike/>
                <w:sz w:val="22"/>
                <w:szCs w:val="22"/>
              </w:rPr>
            </w:pPr>
            <w:r w:rsidRPr="006003D1">
              <w:rPr>
                <w:sz w:val="22"/>
                <w:szCs w:val="22"/>
              </w:rPr>
              <w:t xml:space="preserve">3) фактична сума перевищення максимального розміру заробітної плати, яка фінансується за рахунок кошторису витрат постачальника «останньої надії», що перевищує десятикратний розмір середньої заробітної плати, урахованої у кошторисі витрат постачальника «останньої надії», з урахуванням приведення до середньорічного </w:t>
            </w:r>
            <w:r w:rsidRPr="006003D1">
              <w:rPr>
                <w:sz w:val="22"/>
                <w:szCs w:val="22"/>
              </w:rPr>
              <w:lastRenderedPageBreak/>
              <w:t xml:space="preserve">розміру заробітної плати у звітному році, </w:t>
            </w:r>
            <w:r w:rsidRPr="006003D1">
              <w:rPr>
                <w:b/>
                <w:bCs/>
                <w:strike/>
                <w:sz w:val="22"/>
                <w:szCs w:val="22"/>
              </w:rPr>
              <w:t>що підлягає вилученню</w:t>
            </w:r>
            <w:r w:rsidRPr="006003D1">
              <w:rPr>
                <w:strike/>
                <w:sz w:val="22"/>
                <w:szCs w:val="22"/>
              </w:rPr>
              <w:t>.</w:t>
            </w:r>
          </w:p>
          <w:p w:rsidR="007F4594" w:rsidRPr="009D3827" w:rsidRDefault="007F4594" w:rsidP="007F4594">
            <w:pPr>
              <w:ind w:firstLine="308"/>
              <w:jc w:val="both"/>
              <w:rPr>
                <w:i/>
                <w:sz w:val="22"/>
                <w:szCs w:val="22"/>
                <w:shd w:val="clear" w:color="auto" w:fill="FFFFFF"/>
              </w:rPr>
            </w:pPr>
          </w:p>
          <w:p w:rsidR="007F4594" w:rsidRPr="009D3827" w:rsidRDefault="007F4594" w:rsidP="007F4594">
            <w:pPr>
              <w:ind w:firstLine="308"/>
              <w:jc w:val="both"/>
              <w:rPr>
                <w:i/>
                <w:sz w:val="22"/>
                <w:szCs w:val="22"/>
                <w:shd w:val="clear" w:color="auto" w:fill="FFFFFF"/>
              </w:rPr>
            </w:pPr>
            <w:r>
              <w:rPr>
                <w:i/>
                <w:sz w:val="22"/>
                <w:szCs w:val="22"/>
                <w:shd w:val="clear" w:color="auto" w:fill="FFFFFF"/>
              </w:rPr>
              <w:t>ОБҐРУНТУВАННЯ</w:t>
            </w:r>
            <w:r w:rsidRPr="009D3827">
              <w:rPr>
                <w:i/>
                <w:sz w:val="22"/>
                <w:szCs w:val="22"/>
                <w:shd w:val="clear" w:color="auto" w:fill="FFFFFF"/>
              </w:rPr>
              <w:t>:</w:t>
            </w:r>
          </w:p>
          <w:p w:rsidR="007F4594" w:rsidRPr="006813BC" w:rsidRDefault="007F4594" w:rsidP="007F4594">
            <w:pPr>
              <w:ind w:firstLine="308"/>
              <w:jc w:val="both"/>
              <w:rPr>
                <w:i/>
                <w:sz w:val="22"/>
                <w:szCs w:val="22"/>
              </w:rPr>
            </w:pPr>
            <w:r w:rsidRPr="006813BC">
              <w:rPr>
                <w:i/>
                <w:sz w:val="22"/>
                <w:szCs w:val="22"/>
              </w:rPr>
              <w:t>Методика не може та не має містити прийняте рішення НКРЕКП.</w:t>
            </w:r>
          </w:p>
          <w:p w:rsidR="007F4594" w:rsidRPr="009D3827" w:rsidRDefault="007F4594" w:rsidP="007F4594">
            <w:pPr>
              <w:ind w:firstLine="308"/>
              <w:jc w:val="both"/>
              <w:rPr>
                <w:i/>
                <w:sz w:val="22"/>
                <w:szCs w:val="22"/>
                <w:shd w:val="clear" w:color="auto" w:fill="FFFFFF"/>
              </w:rPr>
            </w:pPr>
            <w:r w:rsidRPr="006813BC">
              <w:rPr>
                <w:i/>
                <w:sz w:val="22"/>
                <w:szCs w:val="22"/>
              </w:rPr>
              <w:t>Пункт 5 містить лише складові для врахування та не може містити формулювання вже прийнятого рішення «… що підлягає вилученню».</w:t>
            </w:r>
          </w:p>
        </w:tc>
        <w:tc>
          <w:tcPr>
            <w:tcW w:w="5066" w:type="dxa"/>
            <w:shd w:val="clear" w:color="auto" w:fill="auto"/>
            <w:vAlign w:val="center"/>
          </w:tcPr>
          <w:p w:rsidR="007F4594" w:rsidRPr="006813BC" w:rsidRDefault="007F4594" w:rsidP="007F4594">
            <w:pPr>
              <w:jc w:val="both"/>
              <w:rPr>
                <w:b/>
                <w:bCs/>
                <w:sz w:val="24"/>
                <w:szCs w:val="24"/>
              </w:rPr>
            </w:pPr>
            <w:r w:rsidRPr="006813BC">
              <w:rPr>
                <w:b/>
                <w:bCs/>
                <w:sz w:val="24"/>
                <w:szCs w:val="24"/>
              </w:rPr>
              <w:lastRenderedPageBreak/>
              <w:t>Не враховується</w:t>
            </w:r>
          </w:p>
          <w:p w:rsidR="007F4594" w:rsidRPr="006813BC" w:rsidRDefault="007F4594" w:rsidP="007F4594">
            <w:pPr>
              <w:jc w:val="both"/>
              <w:rPr>
                <w:sz w:val="22"/>
                <w:szCs w:val="22"/>
              </w:rPr>
            </w:pPr>
            <w:r w:rsidRPr="006813BC">
              <w:rPr>
                <w:sz w:val="22"/>
                <w:szCs w:val="22"/>
              </w:rPr>
              <w:t>Відповідно до пункту 3 постанови НКРЕКП від 30.12.2025 № 2232 максимальний розмір заробітної плати, яка фінансується за рахунок кошторису витрат ДПЗД «УКРІНТЕРЕНЕРГО» на здійснення ним операційної діяльності на виконання функції постачальника «останньої надії» на 2026 рік, не може перевищувати десятикратний розмір середньої заробітної плати, урахованої у кошторисі витрат ДПЗД «УКРІНТЕРЕНЕРГО» на здійснення ним операційної діяльності на виконання функції постачальника «останньої надії» на 2026 рік.</w:t>
            </w:r>
          </w:p>
          <w:p w:rsidR="007F4594" w:rsidRDefault="007F4594" w:rsidP="007F4594">
            <w:pPr>
              <w:jc w:val="both"/>
              <w:rPr>
                <w:sz w:val="22"/>
                <w:szCs w:val="22"/>
              </w:rPr>
            </w:pPr>
            <w:r w:rsidRPr="006813BC">
              <w:rPr>
                <w:sz w:val="22"/>
                <w:szCs w:val="22"/>
              </w:rPr>
              <w:t>Вказана норма є аналогічною до вимог методик дотримання ліцензованої діяльності інших ліцензіатів, щодо яких здійснюються заходи державного контролю (ОСП, ОСР, ПУП).</w:t>
            </w:r>
          </w:p>
          <w:p w:rsidR="007F4594" w:rsidRPr="009D3827" w:rsidRDefault="007F4594" w:rsidP="007F4594">
            <w:pPr>
              <w:rPr>
                <w:b/>
                <w:sz w:val="22"/>
                <w:szCs w:val="22"/>
              </w:rPr>
            </w:pPr>
          </w:p>
        </w:tc>
      </w:tr>
      <w:tr w:rsidR="007F4594" w:rsidRPr="009D3827" w:rsidTr="00276080">
        <w:trPr>
          <w:trHeight w:val="595"/>
        </w:trPr>
        <w:tc>
          <w:tcPr>
            <w:tcW w:w="5065" w:type="dxa"/>
            <w:shd w:val="clear" w:color="auto" w:fill="auto"/>
          </w:tcPr>
          <w:p w:rsidR="007F4594" w:rsidRDefault="007F4594" w:rsidP="007F4594">
            <w:pPr>
              <w:ind w:firstLine="308"/>
              <w:jc w:val="both"/>
              <w:rPr>
                <w:sz w:val="22"/>
                <w:szCs w:val="22"/>
                <w:shd w:val="clear" w:color="auto" w:fill="FFFFFF"/>
              </w:rPr>
            </w:pPr>
          </w:p>
          <w:p w:rsidR="007F4594" w:rsidRDefault="007F4594" w:rsidP="007F4594">
            <w:pPr>
              <w:ind w:firstLine="308"/>
              <w:jc w:val="both"/>
              <w:rPr>
                <w:sz w:val="22"/>
                <w:szCs w:val="22"/>
                <w:shd w:val="clear" w:color="auto" w:fill="FFFFFF"/>
              </w:rPr>
            </w:pPr>
          </w:p>
          <w:p w:rsidR="007F4594" w:rsidRPr="002F0815" w:rsidRDefault="007F4594" w:rsidP="007F4594">
            <w:pPr>
              <w:ind w:firstLine="308"/>
              <w:jc w:val="both"/>
              <w:rPr>
                <w:sz w:val="22"/>
                <w:szCs w:val="22"/>
                <w:shd w:val="clear" w:color="auto" w:fill="FFFFFF"/>
              </w:rPr>
            </w:pPr>
            <w:r w:rsidRPr="002F0815">
              <w:rPr>
                <w:sz w:val="22"/>
                <w:szCs w:val="22"/>
                <w:shd w:val="clear" w:color="auto" w:fill="FFFFFF"/>
              </w:rPr>
              <w:t>6. Об’єктивними чинниками економії (недофінансування) або перевитрат кошторису витрат постачальника «останньої надії» на провадження ним операційної діяльності на виконання функції постачальника «останньої надії» у звітному році вважаються:</w:t>
            </w:r>
          </w:p>
          <w:p w:rsidR="007F4594" w:rsidRPr="009D3827" w:rsidRDefault="007F4594" w:rsidP="007F4594">
            <w:pPr>
              <w:ind w:firstLine="308"/>
              <w:jc w:val="both"/>
              <w:rPr>
                <w:sz w:val="22"/>
                <w:szCs w:val="22"/>
                <w:shd w:val="clear" w:color="auto" w:fill="FFFFFF"/>
              </w:rPr>
            </w:pPr>
            <w:r w:rsidRPr="002F0815">
              <w:rPr>
                <w:sz w:val="22"/>
                <w:szCs w:val="22"/>
                <w:shd w:val="clear" w:color="auto" w:fill="FFFFFF"/>
              </w:rPr>
              <w:t>1) сплачена у звітному році сума частини чистого прибутку (дивідендів) на державну частку акцій за підсумками попереднього року, що передує звітному року, відповідно до платіжних доручень, наданих ліцензіатом, у частині надання послуг з постачання електричної енергії споживачам постачальником «останньої надії», що перевищує відповідну суму, враховану в погодженому кошторисі витрат у звітному році;</w:t>
            </w:r>
          </w:p>
        </w:tc>
        <w:tc>
          <w:tcPr>
            <w:tcW w:w="5066" w:type="dxa"/>
            <w:shd w:val="clear" w:color="auto" w:fill="auto"/>
          </w:tcPr>
          <w:p w:rsidR="007F4594" w:rsidRPr="00A32689" w:rsidRDefault="007F4594" w:rsidP="007F4594">
            <w:pPr>
              <w:ind w:firstLine="308"/>
              <w:jc w:val="both"/>
              <w:rPr>
                <w:i/>
                <w:sz w:val="22"/>
                <w:szCs w:val="22"/>
                <w:shd w:val="clear" w:color="auto" w:fill="FFFFFF"/>
              </w:rPr>
            </w:pPr>
            <w:r w:rsidRPr="00A32689">
              <w:rPr>
                <w:i/>
                <w:sz w:val="22"/>
                <w:szCs w:val="22"/>
                <w:shd w:val="clear" w:color="auto" w:fill="FFFFFF"/>
              </w:rPr>
              <w:t>ДПЗД «УКРІНТЕРЕНЕРГО»</w:t>
            </w:r>
          </w:p>
          <w:p w:rsidR="007F4594" w:rsidRDefault="007F4594" w:rsidP="007F4594">
            <w:pPr>
              <w:ind w:firstLine="308"/>
              <w:jc w:val="both"/>
              <w:rPr>
                <w:i/>
                <w:sz w:val="22"/>
                <w:szCs w:val="22"/>
                <w:shd w:val="clear" w:color="auto" w:fill="FFFFFF"/>
              </w:rPr>
            </w:pPr>
          </w:p>
          <w:p w:rsidR="007F4594" w:rsidRPr="002F0815" w:rsidRDefault="007F4594" w:rsidP="007F4594">
            <w:pPr>
              <w:ind w:firstLine="308"/>
              <w:jc w:val="both"/>
              <w:rPr>
                <w:sz w:val="22"/>
                <w:szCs w:val="22"/>
                <w:shd w:val="clear" w:color="auto" w:fill="FFFFFF"/>
              </w:rPr>
            </w:pPr>
            <w:r w:rsidRPr="002F0815">
              <w:rPr>
                <w:sz w:val="22"/>
                <w:szCs w:val="22"/>
                <w:shd w:val="clear" w:color="auto" w:fill="FFFFFF"/>
              </w:rPr>
              <w:t>6. Об’єктивними чинниками економії (недофінансування) або перевитрат кошторису витрат постачальника «останньої надії» на провадження ним операційної діяльності на виконання функції постачальника «останньої надії» у звітному році вважаються:</w:t>
            </w:r>
          </w:p>
          <w:p w:rsidR="007F4594" w:rsidRDefault="007F4594" w:rsidP="007F4594">
            <w:pPr>
              <w:ind w:firstLine="308"/>
              <w:jc w:val="both"/>
              <w:rPr>
                <w:sz w:val="22"/>
                <w:szCs w:val="22"/>
              </w:rPr>
            </w:pPr>
            <w:r w:rsidRPr="00CD4539">
              <w:rPr>
                <w:sz w:val="22"/>
                <w:szCs w:val="22"/>
              </w:rPr>
              <w:t xml:space="preserve">1) сплачена у звітному році  </w:t>
            </w:r>
            <w:r w:rsidRPr="00CD4539">
              <w:rPr>
                <w:b/>
                <w:bCs/>
                <w:sz w:val="22"/>
                <w:szCs w:val="22"/>
              </w:rPr>
              <w:t>сума податків та зборів, а також інших обов’язкових платежів, зокрема</w:t>
            </w:r>
            <w:r w:rsidRPr="00CD4539">
              <w:rPr>
                <w:sz w:val="22"/>
                <w:szCs w:val="22"/>
              </w:rPr>
              <w:t xml:space="preserve">, частини чистого прибутку (доходу), що відраховується державними унітарними підприємствами та їх об’єднаннями, </w:t>
            </w:r>
            <w:r w:rsidRPr="00CD4539">
              <w:rPr>
                <w:b/>
                <w:bCs/>
                <w:sz w:val="22"/>
                <w:szCs w:val="22"/>
              </w:rPr>
              <w:t>податку на прибуток та внесків на регулювання</w:t>
            </w:r>
            <w:r w:rsidRPr="00CD4539">
              <w:rPr>
                <w:sz w:val="22"/>
                <w:szCs w:val="22"/>
              </w:rPr>
              <w:t>, відповідно до платіжних інструкцій, наданих ліцензіатом, у частині надання послуг з постачання електричної енергії споживачам постачальником «останньої надії», що перевищує відповідну суму, враховану в погодженому кошторисі витрат у звітному році;</w:t>
            </w:r>
          </w:p>
          <w:p w:rsidR="007F4594" w:rsidRPr="00A0220A" w:rsidRDefault="007F4594" w:rsidP="007F4594">
            <w:pPr>
              <w:ind w:firstLine="308"/>
              <w:jc w:val="both"/>
              <w:rPr>
                <w:i/>
                <w:sz w:val="22"/>
                <w:szCs w:val="22"/>
                <w:shd w:val="clear" w:color="auto" w:fill="FFFFFF"/>
              </w:rPr>
            </w:pPr>
          </w:p>
          <w:p w:rsidR="007F4594" w:rsidRPr="00A0220A" w:rsidRDefault="007F4594" w:rsidP="007F4594">
            <w:pPr>
              <w:ind w:firstLine="308"/>
              <w:jc w:val="both"/>
              <w:rPr>
                <w:i/>
                <w:sz w:val="22"/>
                <w:szCs w:val="22"/>
                <w:shd w:val="clear" w:color="auto" w:fill="FFFFFF"/>
              </w:rPr>
            </w:pPr>
            <w:r w:rsidRPr="00A0220A">
              <w:rPr>
                <w:i/>
                <w:sz w:val="22"/>
                <w:szCs w:val="22"/>
                <w:shd w:val="clear" w:color="auto" w:fill="FFFFFF"/>
              </w:rPr>
              <w:t>ОБҐРУНТУВАННЯ:</w:t>
            </w:r>
          </w:p>
          <w:p w:rsidR="007F4594" w:rsidRPr="00A0220A" w:rsidRDefault="007F4594" w:rsidP="007F4594">
            <w:pPr>
              <w:ind w:firstLine="308"/>
              <w:jc w:val="both"/>
              <w:rPr>
                <w:i/>
                <w:sz w:val="22"/>
                <w:szCs w:val="22"/>
              </w:rPr>
            </w:pPr>
            <w:r w:rsidRPr="00A0220A">
              <w:rPr>
                <w:i/>
                <w:sz w:val="22"/>
                <w:szCs w:val="22"/>
              </w:rPr>
              <w:t>Загальне зауваження до цього пункту та до Методики: не визначено  чітких критеріїв оцінки обґрунтованості витрат. Оцінка комісією з перевірки додержання ліцензіатом нормативно-правових актів щодо провадження операційної діяльності постачальником «останньої надії» без встановлення в Методиці чітких критеріїв такої оцінки може вважатися суб’єктивною позицією члена(</w:t>
            </w:r>
            <w:proofErr w:type="spellStart"/>
            <w:r w:rsidRPr="00A0220A">
              <w:rPr>
                <w:i/>
                <w:sz w:val="22"/>
                <w:szCs w:val="22"/>
              </w:rPr>
              <w:t>ів</w:t>
            </w:r>
            <w:proofErr w:type="spellEnd"/>
            <w:r w:rsidRPr="00A0220A">
              <w:rPr>
                <w:i/>
                <w:sz w:val="22"/>
                <w:szCs w:val="22"/>
              </w:rPr>
              <w:t xml:space="preserve">) комісії з перевірки. Тому з метою  </w:t>
            </w:r>
            <w:r w:rsidRPr="00A0220A">
              <w:rPr>
                <w:i/>
                <w:sz w:val="22"/>
                <w:szCs w:val="22"/>
              </w:rPr>
              <w:lastRenderedPageBreak/>
              <w:t>уникнення положень, що можуть містити    суб’єктивні позиції, пропонується у Методиці визначити перелік/опис вказаних критеріїв обґрунтованості.</w:t>
            </w:r>
          </w:p>
          <w:p w:rsidR="007F4594" w:rsidRPr="00A0220A" w:rsidRDefault="007F4594" w:rsidP="007F4594">
            <w:pPr>
              <w:ind w:firstLine="308"/>
              <w:jc w:val="both"/>
              <w:rPr>
                <w:i/>
                <w:sz w:val="22"/>
                <w:szCs w:val="22"/>
              </w:rPr>
            </w:pPr>
            <w:r w:rsidRPr="00A0220A">
              <w:rPr>
                <w:i/>
                <w:sz w:val="22"/>
                <w:szCs w:val="22"/>
              </w:rPr>
              <w:t>Сплата загальнодержавних податків та зборів є обов’язком постачальника «останньої надії» як суб’єкта господарювання.</w:t>
            </w:r>
          </w:p>
          <w:p w:rsidR="007F4594" w:rsidRPr="00A0220A" w:rsidRDefault="007F4594" w:rsidP="007F4594">
            <w:pPr>
              <w:ind w:firstLine="308"/>
              <w:jc w:val="both"/>
              <w:rPr>
                <w:i/>
                <w:sz w:val="22"/>
                <w:szCs w:val="22"/>
              </w:rPr>
            </w:pPr>
            <w:r w:rsidRPr="00A0220A">
              <w:rPr>
                <w:i/>
                <w:sz w:val="22"/>
                <w:szCs w:val="22"/>
              </w:rPr>
              <w:t>ДПЗД «Укрінтеренерго», як державне підприємство сплачує  до державного бюджету не дивіденди, а  частину чистого прибутку (доходу), що відраховується державними унітарними підприємствами та їх об’єднаннями (постанова КМУ №138 від 23.02.2011). Крім цього ДПЗД «Укрінтеренерго» має сплачувати і податок на прибуток. Як ліцензіат ДПЗД «Укрінтеренерго» має сплачувати внесок на регулювання.</w:t>
            </w:r>
          </w:p>
          <w:p w:rsidR="007F4594" w:rsidRPr="00A0220A" w:rsidRDefault="007F4594" w:rsidP="007F4594">
            <w:pPr>
              <w:ind w:firstLine="308"/>
              <w:jc w:val="both"/>
              <w:rPr>
                <w:i/>
                <w:sz w:val="22"/>
                <w:szCs w:val="22"/>
              </w:rPr>
            </w:pPr>
            <w:r w:rsidRPr="00A0220A">
              <w:rPr>
                <w:i/>
                <w:sz w:val="22"/>
                <w:szCs w:val="22"/>
              </w:rPr>
              <w:t>Всі ці обов’язкові платежі сплачуються щокварталу.</w:t>
            </w:r>
          </w:p>
          <w:p w:rsidR="007F4594" w:rsidRPr="00CD4539" w:rsidRDefault="007F4594" w:rsidP="007F4594">
            <w:pPr>
              <w:ind w:firstLine="308"/>
              <w:jc w:val="both"/>
              <w:rPr>
                <w:i/>
                <w:sz w:val="22"/>
                <w:szCs w:val="22"/>
                <w:shd w:val="clear" w:color="auto" w:fill="FFFFFF"/>
              </w:rPr>
            </w:pPr>
            <w:r w:rsidRPr="00A0220A">
              <w:rPr>
                <w:i/>
                <w:sz w:val="22"/>
                <w:szCs w:val="22"/>
              </w:rPr>
              <w:t>Специфіка діяльності постачальника «останньої надії» передбачає обов’язок реалізації споживачу електричної енергії, який втратив постачальника. При цьому споживач може в будь - який момент перейти на постачання до іншого постачальника. Тому чітко спрогнозувати дохід від реалізації електроенергії ДПЗД «Укрінтеренерго» не має можливості, а тому можуть виникати суттєві відхилення від запланованих в кошторисі сум. Кошторис витрат постачальника «останньої надії» є єдиним джерелом сплати згаданих вище обов’язкових платежів,  оскільки на період дії кошторису витрат постачальника «останньої надії» тариф ПОН встановлюється на нульовому рівні</w:t>
            </w:r>
            <w:r w:rsidRPr="00694FB6">
              <w:rPr>
                <w:sz w:val="22"/>
                <w:szCs w:val="22"/>
              </w:rPr>
              <w:t>.</w:t>
            </w:r>
          </w:p>
        </w:tc>
        <w:tc>
          <w:tcPr>
            <w:tcW w:w="5066" w:type="dxa"/>
            <w:shd w:val="clear" w:color="auto" w:fill="auto"/>
            <w:vAlign w:val="center"/>
          </w:tcPr>
          <w:p w:rsidR="007F4594" w:rsidRPr="00A0220A" w:rsidRDefault="007F4594" w:rsidP="007F4594">
            <w:pPr>
              <w:jc w:val="both"/>
              <w:rPr>
                <w:b/>
                <w:bCs/>
                <w:sz w:val="24"/>
                <w:szCs w:val="24"/>
              </w:rPr>
            </w:pPr>
            <w:r w:rsidRPr="00A0220A">
              <w:rPr>
                <w:b/>
                <w:bCs/>
                <w:sz w:val="24"/>
                <w:szCs w:val="24"/>
              </w:rPr>
              <w:lastRenderedPageBreak/>
              <w:t>Враховується частково</w:t>
            </w:r>
          </w:p>
          <w:p w:rsidR="007F4594" w:rsidRPr="00EB305A" w:rsidRDefault="007F4594" w:rsidP="007F4594">
            <w:pPr>
              <w:jc w:val="both"/>
              <w:rPr>
                <w:b/>
                <w:sz w:val="22"/>
                <w:szCs w:val="22"/>
                <w:lang w:val="ru-RU"/>
              </w:rPr>
            </w:pPr>
            <w:r w:rsidRPr="00A0220A">
              <w:rPr>
                <w:b/>
                <w:sz w:val="22"/>
                <w:szCs w:val="22"/>
              </w:rPr>
              <w:t>Пропонується викласти в такій редакції</w:t>
            </w:r>
            <w:r w:rsidRPr="00EB305A">
              <w:rPr>
                <w:b/>
                <w:sz w:val="22"/>
                <w:szCs w:val="22"/>
                <w:lang w:val="ru-RU"/>
              </w:rPr>
              <w:t>:</w:t>
            </w:r>
          </w:p>
          <w:p w:rsidR="007F4594" w:rsidRPr="00DE600D" w:rsidRDefault="007F4594" w:rsidP="007F4594">
            <w:pPr>
              <w:jc w:val="both"/>
              <w:rPr>
                <w:sz w:val="22"/>
                <w:szCs w:val="22"/>
              </w:rPr>
            </w:pPr>
            <w:r w:rsidRPr="00435992">
              <w:rPr>
                <w:b/>
                <w:sz w:val="22"/>
                <w:szCs w:val="22"/>
              </w:rPr>
              <w:t>«</w:t>
            </w:r>
            <w:r w:rsidRPr="00435992">
              <w:rPr>
                <w:sz w:val="22"/>
                <w:szCs w:val="22"/>
              </w:rPr>
              <w:t xml:space="preserve">1) сплачені у звітному році </w:t>
            </w:r>
            <w:r w:rsidRPr="00435992">
              <w:rPr>
                <w:bCs/>
                <w:sz w:val="22"/>
                <w:szCs w:val="22"/>
              </w:rPr>
              <w:t xml:space="preserve">суми </w:t>
            </w:r>
            <w:r w:rsidRPr="00435992">
              <w:rPr>
                <w:sz w:val="22"/>
                <w:szCs w:val="22"/>
              </w:rPr>
              <w:t>частини чистого прибутку та</w:t>
            </w:r>
            <w:r w:rsidRPr="00435992">
              <w:t xml:space="preserve"> </w:t>
            </w:r>
            <w:r w:rsidRPr="00435992">
              <w:rPr>
                <w:sz w:val="22"/>
                <w:szCs w:val="22"/>
              </w:rPr>
              <w:t>податку на прибуток відповідно до платіжних інструкцій, наданих ліцензіатом</w:t>
            </w:r>
            <w:r w:rsidRPr="00A0220A">
              <w:rPr>
                <w:sz w:val="22"/>
                <w:szCs w:val="22"/>
              </w:rPr>
              <w:t>, у частині надання послуг з постачання електричної енергії споживачам постачальником «останньої надії», що перевищують відповідні суми, враховані в погодженому кошторисі витрат у звітному році;</w:t>
            </w:r>
            <w:r w:rsidRPr="00A0220A">
              <w:rPr>
                <w:b/>
                <w:sz w:val="22"/>
                <w:szCs w:val="22"/>
              </w:rPr>
              <w:t>»</w:t>
            </w:r>
            <w:r w:rsidRPr="00A0220A">
              <w:rPr>
                <w:sz w:val="22"/>
                <w:szCs w:val="22"/>
              </w:rPr>
              <w:t>.</w:t>
            </w:r>
          </w:p>
          <w:p w:rsidR="007F4594" w:rsidRDefault="007F4594" w:rsidP="007F4594">
            <w:pPr>
              <w:jc w:val="both"/>
              <w:rPr>
                <w:sz w:val="22"/>
                <w:szCs w:val="22"/>
              </w:rPr>
            </w:pPr>
          </w:p>
          <w:p w:rsidR="007F4594" w:rsidRPr="00A0220A" w:rsidRDefault="007F4594" w:rsidP="007F4594">
            <w:pPr>
              <w:jc w:val="both"/>
              <w:rPr>
                <w:sz w:val="22"/>
                <w:szCs w:val="22"/>
              </w:rPr>
            </w:pPr>
            <w:r w:rsidRPr="00A0220A">
              <w:rPr>
                <w:sz w:val="22"/>
                <w:szCs w:val="22"/>
              </w:rPr>
              <w:t>Обґрунтовані перевитрати за статтею «внески на регулювання» фіксуються в підпункті 2 пункту 6 Методики.</w:t>
            </w:r>
          </w:p>
          <w:p w:rsidR="007F4594" w:rsidRDefault="007F4594" w:rsidP="007F4594">
            <w:pPr>
              <w:jc w:val="both"/>
              <w:rPr>
                <w:sz w:val="22"/>
                <w:szCs w:val="22"/>
              </w:rPr>
            </w:pPr>
          </w:p>
          <w:p w:rsidR="007F4594" w:rsidRDefault="007F4594" w:rsidP="007F4594">
            <w:pPr>
              <w:jc w:val="both"/>
              <w:rPr>
                <w:sz w:val="22"/>
                <w:szCs w:val="22"/>
              </w:rPr>
            </w:pPr>
            <w:r w:rsidRPr="00A0220A">
              <w:rPr>
                <w:sz w:val="22"/>
                <w:szCs w:val="22"/>
              </w:rPr>
              <w:t>У зв’язку з частковим врахуванням у підпункті 1 пункту 6 пропонується відповідним чином уточнити положення підпункту 1 пункту 4 Методики.</w:t>
            </w:r>
          </w:p>
          <w:p w:rsidR="007F4594" w:rsidRDefault="007F4594" w:rsidP="007F4594">
            <w:pPr>
              <w:jc w:val="both"/>
              <w:rPr>
                <w:b/>
                <w:sz w:val="22"/>
                <w:szCs w:val="22"/>
              </w:rPr>
            </w:pPr>
          </w:p>
          <w:p w:rsidR="007F4594" w:rsidRDefault="007F4594" w:rsidP="007F4594">
            <w:pPr>
              <w:jc w:val="both"/>
              <w:rPr>
                <w:b/>
                <w:sz w:val="22"/>
                <w:szCs w:val="22"/>
              </w:rPr>
            </w:pPr>
          </w:p>
          <w:p w:rsidR="007F4594" w:rsidRDefault="007F4594" w:rsidP="007F4594">
            <w:pPr>
              <w:jc w:val="both"/>
              <w:rPr>
                <w:b/>
                <w:sz w:val="22"/>
                <w:szCs w:val="22"/>
              </w:rPr>
            </w:pPr>
          </w:p>
          <w:p w:rsidR="007F4594" w:rsidRDefault="007F4594" w:rsidP="007F4594">
            <w:pPr>
              <w:jc w:val="both"/>
              <w:rPr>
                <w:b/>
                <w:sz w:val="22"/>
                <w:szCs w:val="22"/>
              </w:rPr>
            </w:pPr>
          </w:p>
          <w:p w:rsidR="007F4594" w:rsidRDefault="007F4594" w:rsidP="007F4594">
            <w:pPr>
              <w:jc w:val="both"/>
              <w:rPr>
                <w:b/>
                <w:sz w:val="22"/>
                <w:szCs w:val="22"/>
              </w:rPr>
            </w:pPr>
          </w:p>
          <w:p w:rsidR="007F4594" w:rsidRDefault="007F4594" w:rsidP="007F4594">
            <w:pPr>
              <w:jc w:val="both"/>
              <w:rPr>
                <w:b/>
                <w:sz w:val="22"/>
                <w:szCs w:val="22"/>
              </w:rPr>
            </w:pPr>
          </w:p>
          <w:p w:rsidR="007F4594" w:rsidRDefault="007F4594" w:rsidP="007F4594">
            <w:pPr>
              <w:jc w:val="both"/>
              <w:rPr>
                <w:b/>
                <w:sz w:val="22"/>
                <w:szCs w:val="22"/>
              </w:rPr>
            </w:pPr>
          </w:p>
          <w:p w:rsidR="007F4594" w:rsidRDefault="007F4594" w:rsidP="007F4594">
            <w:pPr>
              <w:jc w:val="both"/>
              <w:rPr>
                <w:b/>
                <w:sz w:val="22"/>
                <w:szCs w:val="22"/>
              </w:rPr>
            </w:pPr>
          </w:p>
          <w:p w:rsidR="007F4594" w:rsidRDefault="007F4594" w:rsidP="007F4594">
            <w:pPr>
              <w:jc w:val="both"/>
              <w:rPr>
                <w:b/>
                <w:sz w:val="22"/>
                <w:szCs w:val="22"/>
              </w:rPr>
            </w:pPr>
          </w:p>
          <w:p w:rsidR="007F4594" w:rsidRDefault="007F4594" w:rsidP="007F4594">
            <w:pPr>
              <w:jc w:val="both"/>
              <w:rPr>
                <w:b/>
                <w:sz w:val="22"/>
                <w:szCs w:val="22"/>
              </w:rPr>
            </w:pPr>
          </w:p>
          <w:p w:rsidR="007F4594" w:rsidRDefault="007F4594" w:rsidP="007F4594">
            <w:pPr>
              <w:jc w:val="both"/>
              <w:rPr>
                <w:b/>
                <w:sz w:val="22"/>
                <w:szCs w:val="22"/>
              </w:rPr>
            </w:pPr>
          </w:p>
          <w:p w:rsidR="007F4594" w:rsidRDefault="007F4594" w:rsidP="007F4594">
            <w:pPr>
              <w:jc w:val="both"/>
              <w:rPr>
                <w:b/>
                <w:sz w:val="22"/>
                <w:szCs w:val="22"/>
              </w:rPr>
            </w:pPr>
          </w:p>
          <w:p w:rsidR="007F4594" w:rsidRDefault="007F4594" w:rsidP="007F4594">
            <w:pPr>
              <w:jc w:val="both"/>
              <w:rPr>
                <w:b/>
                <w:sz w:val="22"/>
                <w:szCs w:val="22"/>
              </w:rPr>
            </w:pPr>
          </w:p>
          <w:p w:rsidR="007F4594" w:rsidRDefault="007F4594" w:rsidP="007F4594">
            <w:pPr>
              <w:jc w:val="both"/>
              <w:rPr>
                <w:b/>
                <w:sz w:val="22"/>
                <w:szCs w:val="22"/>
              </w:rPr>
            </w:pPr>
          </w:p>
          <w:p w:rsidR="007F4594" w:rsidRDefault="007F4594" w:rsidP="007F4594">
            <w:pPr>
              <w:jc w:val="both"/>
              <w:rPr>
                <w:b/>
                <w:sz w:val="22"/>
                <w:szCs w:val="22"/>
              </w:rPr>
            </w:pPr>
          </w:p>
          <w:p w:rsidR="007F4594" w:rsidRDefault="007F4594" w:rsidP="007F4594">
            <w:pPr>
              <w:jc w:val="both"/>
              <w:rPr>
                <w:b/>
                <w:sz w:val="22"/>
                <w:szCs w:val="22"/>
              </w:rPr>
            </w:pPr>
          </w:p>
          <w:p w:rsidR="007F4594" w:rsidRDefault="007F4594" w:rsidP="007F4594">
            <w:pPr>
              <w:jc w:val="both"/>
              <w:rPr>
                <w:b/>
                <w:sz w:val="22"/>
                <w:szCs w:val="22"/>
              </w:rPr>
            </w:pPr>
          </w:p>
          <w:p w:rsidR="007F4594" w:rsidRDefault="007F4594" w:rsidP="007F4594">
            <w:pPr>
              <w:jc w:val="both"/>
              <w:rPr>
                <w:b/>
                <w:sz w:val="22"/>
                <w:szCs w:val="22"/>
              </w:rPr>
            </w:pPr>
          </w:p>
          <w:p w:rsidR="007F4594" w:rsidRPr="009D3827" w:rsidRDefault="007F4594" w:rsidP="007F4594">
            <w:pPr>
              <w:jc w:val="both"/>
              <w:rPr>
                <w:b/>
                <w:sz w:val="22"/>
                <w:szCs w:val="22"/>
              </w:rPr>
            </w:pPr>
          </w:p>
        </w:tc>
      </w:tr>
      <w:tr w:rsidR="007F4594" w:rsidRPr="009D3827" w:rsidTr="00276080">
        <w:trPr>
          <w:trHeight w:val="595"/>
        </w:trPr>
        <w:tc>
          <w:tcPr>
            <w:tcW w:w="5065" w:type="dxa"/>
            <w:shd w:val="clear" w:color="auto" w:fill="auto"/>
          </w:tcPr>
          <w:p w:rsidR="007F4594" w:rsidRDefault="007F4594" w:rsidP="007F4594">
            <w:pPr>
              <w:ind w:firstLine="308"/>
              <w:jc w:val="both"/>
              <w:rPr>
                <w:i/>
                <w:sz w:val="22"/>
                <w:szCs w:val="22"/>
                <w:shd w:val="clear" w:color="auto" w:fill="FFFFFF"/>
              </w:rPr>
            </w:pPr>
          </w:p>
          <w:p w:rsidR="007F4594" w:rsidRDefault="007F4594" w:rsidP="007F4594">
            <w:pPr>
              <w:ind w:firstLine="308"/>
              <w:jc w:val="both"/>
              <w:rPr>
                <w:i/>
                <w:sz w:val="22"/>
                <w:szCs w:val="22"/>
                <w:shd w:val="clear" w:color="auto" w:fill="FFFFFF"/>
              </w:rPr>
            </w:pPr>
          </w:p>
          <w:p w:rsidR="007F4594" w:rsidRPr="002F0815" w:rsidRDefault="007F4594" w:rsidP="007F4594">
            <w:pPr>
              <w:ind w:firstLine="308"/>
              <w:jc w:val="both"/>
              <w:rPr>
                <w:sz w:val="22"/>
                <w:szCs w:val="22"/>
                <w:shd w:val="clear" w:color="auto" w:fill="FFFFFF"/>
              </w:rPr>
            </w:pPr>
            <w:r w:rsidRPr="002F0815">
              <w:rPr>
                <w:sz w:val="22"/>
                <w:szCs w:val="22"/>
                <w:shd w:val="clear" w:color="auto" w:fill="FFFFFF"/>
              </w:rPr>
              <w:t xml:space="preserve">6. Об’єктивними чинниками економії (недофінансування) або перевитрат кошторису витрат постачальника «останньої надії» на провадження ним операційної діяльності на </w:t>
            </w:r>
            <w:r w:rsidRPr="002F0815">
              <w:rPr>
                <w:sz w:val="22"/>
                <w:szCs w:val="22"/>
                <w:shd w:val="clear" w:color="auto" w:fill="FFFFFF"/>
              </w:rPr>
              <w:lastRenderedPageBreak/>
              <w:t>виконання функції постачальника «останньої надії» у звітному році вважаються:</w:t>
            </w:r>
          </w:p>
          <w:p w:rsidR="007F4594" w:rsidRPr="009D3827" w:rsidRDefault="007F4594" w:rsidP="007F4594">
            <w:pPr>
              <w:ind w:firstLine="308"/>
              <w:jc w:val="both"/>
              <w:rPr>
                <w:sz w:val="22"/>
                <w:szCs w:val="22"/>
                <w:shd w:val="clear" w:color="auto" w:fill="FFFFFF"/>
              </w:rPr>
            </w:pPr>
          </w:p>
          <w:p w:rsidR="007F4594" w:rsidRPr="009D3827" w:rsidRDefault="007F4594" w:rsidP="007F4594">
            <w:pPr>
              <w:ind w:firstLine="308"/>
              <w:jc w:val="both"/>
              <w:rPr>
                <w:sz w:val="22"/>
                <w:szCs w:val="22"/>
                <w:shd w:val="clear" w:color="auto" w:fill="FFFFFF"/>
              </w:rPr>
            </w:pPr>
            <w:r w:rsidRPr="009D3827">
              <w:rPr>
                <w:sz w:val="22"/>
                <w:szCs w:val="22"/>
                <w:shd w:val="clear" w:color="auto" w:fill="FFFFFF"/>
              </w:rPr>
              <w:t>&lt;…&gt;</w:t>
            </w:r>
          </w:p>
          <w:p w:rsidR="007F4594" w:rsidRPr="009D3827" w:rsidRDefault="007F4594" w:rsidP="007F4594">
            <w:pPr>
              <w:ind w:firstLine="308"/>
              <w:jc w:val="both"/>
              <w:rPr>
                <w:sz w:val="22"/>
                <w:szCs w:val="22"/>
                <w:shd w:val="clear" w:color="auto" w:fill="FFFFFF"/>
              </w:rPr>
            </w:pPr>
          </w:p>
          <w:p w:rsidR="007F4594" w:rsidRPr="007765C0" w:rsidRDefault="007F4594" w:rsidP="007F4594">
            <w:pPr>
              <w:ind w:firstLine="308"/>
              <w:jc w:val="both"/>
              <w:rPr>
                <w:sz w:val="22"/>
                <w:szCs w:val="22"/>
                <w:shd w:val="clear" w:color="auto" w:fill="FFFFFF"/>
              </w:rPr>
            </w:pPr>
            <w:r w:rsidRPr="007765C0">
              <w:rPr>
                <w:sz w:val="22"/>
                <w:szCs w:val="22"/>
              </w:rPr>
              <w:t>2) сума обґрунтованих перевитрат статей витрат кошторису витрат постачальника «останньої надії» на провадження ним операційної діяльності на виконання функції постачальника «останньої надії» у звітному році, що підтверджується копіями первинних документів</w:t>
            </w:r>
            <w:r>
              <w:rPr>
                <w:sz w:val="22"/>
                <w:szCs w:val="22"/>
              </w:rPr>
              <w:t>.</w:t>
            </w:r>
          </w:p>
        </w:tc>
        <w:tc>
          <w:tcPr>
            <w:tcW w:w="5066" w:type="dxa"/>
            <w:shd w:val="clear" w:color="auto" w:fill="auto"/>
          </w:tcPr>
          <w:p w:rsidR="007F4594" w:rsidRPr="00A32689" w:rsidRDefault="007F4594" w:rsidP="007F4594">
            <w:pPr>
              <w:ind w:firstLine="308"/>
              <w:jc w:val="both"/>
              <w:rPr>
                <w:i/>
                <w:sz w:val="22"/>
                <w:szCs w:val="22"/>
                <w:shd w:val="clear" w:color="auto" w:fill="FFFFFF"/>
              </w:rPr>
            </w:pPr>
            <w:r w:rsidRPr="00A32689">
              <w:rPr>
                <w:i/>
                <w:sz w:val="22"/>
                <w:szCs w:val="22"/>
                <w:shd w:val="clear" w:color="auto" w:fill="FFFFFF"/>
              </w:rPr>
              <w:lastRenderedPageBreak/>
              <w:t>ДПЗД «УКРІНТЕРЕНЕРГО»</w:t>
            </w:r>
          </w:p>
          <w:p w:rsidR="007F4594" w:rsidRDefault="007F4594" w:rsidP="007F4594">
            <w:pPr>
              <w:ind w:firstLine="308"/>
              <w:jc w:val="both"/>
              <w:rPr>
                <w:i/>
                <w:sz w:val="22"/>
                <w:szCs w:val="22"/>
                <w:shd w:val="clear" w:color="auto" w:fill="FFFFFF"/>
              </w:rPr>
            </w:pPr>
          </w:p>
          <w:p w:rsidR="007F4594" w:rsidRPr="002F0815" w:rsidRDefault="007F4594" w:rsidP="007F4594">
            <w:pPr>
              <w:ind w:firstLine="308"/>
              <w:jc w:val="both"/>
              <w:rPr>
                <w:sz w:val="22"/>
                <w:szCs w:val="22"/>
                <w:shd w:val="clear" w:color="auto" w:fill="FFFFFF"/>
              </w:rPr>
            </w:pPr>
            <w:r w:rsidRPr="002F0815">
              <w:rPr>
                <w:sz w:val="22"/>
                <w:szCs w:val="22"/>
                <w:shd w:val="clear" w:color="auto" w:fill="FFFFFF"/>
              </w:rPr>
              <w:t xml:space="preserve">6. Об’єктивними чинниками економії (недофінансування) або перевитрат кошторису витрат постачальника «останньої надії» на провадження ним операційної діяльності на </w:t>
            </w:r>
            <w:r w:rsidRPr="002F0815">
              <w:rPr>
                <w:sz w:val="22"/>
                <w:szCs w:val="22"/>
                <w:shd w:val="clear" w:color="auto" w:fill="FFFFFF"/>
              </w:rPr>
              <w:lastRenderedPageBreak/>
              <w:t>виконання функції постачальника «останньої надії» у звітному році вважаються:</w:t>
            </w:r>
          </w:p>
          <w:p w:rsidR="007F4594" w:rsidRPr="009D3827" w:rsidRDefault="007F4594" w:rsidP="007F4594">
            <w:pPr>
              <w:ind w:firstLine="308"/>
              <w:jc w:val="both"/>
              <w:rPr>
                <w:sz w:val="22"/>
                <w:szCs w:val="22"/>
                <w:shd w:val="clear" w:color="auto" w:fill="FFFFFF"/>
              </w:rPr>
            </w:pPr>
          </w:p>
          <w:p w:rsidR="007F4594" w:rsidRPr="009D3827" w:rsidRDefault="007F4594" w:rsidP="007F4594">
            <w:pPr>
              <w:ind w:firstLine="308"/>
              <w:jc w:val="both"/>
              <w:rPr>
                <w:sz w:val="22"/>
                <w:szCs w:val="22"/>
                <w:shd w:val="clear" w:color="auto" w:fill="FFFFFF"/>
              </w:rPr>
            </w:pPr>
            <w:r w:rsidRPr="009D3827">
              <w:rPr>
                <w:sz w:val="22"/>
                <w:szCs w:val="22"/>
                <w:shd w:val="clear" w:color="auto" w:fill="FFFFFF"/>
              </w:rPr>
              <w:t>&lt;…&gt;</w:t>
            </w:r>
          </w:p>
          <w:p w:rsidR="007F4594" w:rsidRPr="007765C0" w:rsidRDefault="007F4594" w:rsidP="007F4594">
            <w:pPr>
              <w:ind w:firstLine="308"/>
              <w:jc w:val="both"/>
              <w:rPr>
                <w:sz w:val="22"/>
                <w:szCs w:val="22"/>
                <w:shd w:val="clear" w:color="auto" w:fill="FFFFFF"/>
              </w:rPr>
            </w:pPr>
          </w:p>
          <w:p w:rsidR="007F4594" w:rsidRPr="007765C0" w:rsidRDefault="007F4594" w:rsidP="007F4594">
            <w:pPr>
              <w:ind w:firstLine="308"/>
              <w:jc w:val="both"/>
              <w:rPr>
                <w:sz w:val="22"/>
                <w:szCs w:val="22"/>
              </w:rPr>
            </w:pPr>
            <w:r w:rsidRPr="007765C0">
              <w:rPr>
                <w:sz w:val="22"/>
                <w:szCs w:val="22"/>
              </w:rPr>
              <w:t>2) сума обґрунтованих перевитрат статей витрат кошторису витрат постачальника «останньої надії» на провадження ним операційної діяльності на виконання функції постачальника «останньої надії» у звітному році, що підтверджується копіями первинних документів.</w:t>
            </w:r>
          </w:p>
          <w:p w:rsidR="007F4594" w:rsidRDefault="007F4594" w:rsidP="007F4594">
            <w:pPr>
              <w:ind w:firstLine="308"/>
              <w:jc w:val="both"/>
              <w:rPr>
                <w:b/>
                <w:bCs/>
                <w:sz w:val="22"/>
                <w:szCs w:val="22"/>
              </w:rPr>
            </w:pPr>
            <w:r w:rsidRPr="007765C0">
              <w:rPr>
                <w:b/>
                <w:bCs/>
                <w:sz w:val="22"/>
                <w:szCs w:val="22"/>
              </w:rPr>
              <w:t>Обґрунтованими є перевитрати статей кошторису витрат постачальника «останньої надії», якщо без цих витрат унеможливлюється виконання функцій постачальника «останньої надії» та досягнення цілей зазначених в Листі очікувань власника.</w:t>
            </w:r>
          </w:p>
          <w:p w:rsidR="007F4594" w:rsidRPr="009D3827" w:rsidRDefault="007F4594" w:rsidP="007F4594">
            <w:pPr>
              <w:ind w:firstLine="308"/>
              <w:jc w:val="both"/>
              <w:rPr>
                <w:i/>
                <w:sz w:val="22"/>
                <w:szCs w:val="22"/>
                <w:shd w:val="clear" w:color="auto" w:fill="FFFFFF"/>
              </w:rPr>
            </w:pPr>
          </w:p>
          <w:p w:rsidR="007F4594" w:rsidRPr="00E013DC" w:rsidRDefault="007F4594" w:rsidP="007F4594">
            <w:pPr>
              <w:ind w:firstLine="308"/>
              <w:jc w:val="both"/>
              <w:rPr>
                <w:i/>
                <w:sz w:val="22"/>
                <w:szCs w:val="22"/>
                <w:shd w:val="clear" w:color="auto" w:fill="FFFFFF"/>
              </w:rPr>
            </w:pPr>
            <w:r w:rsidRPr="00E013DC">
              <w:rPr>
                <w:i/>
                <w:sz w:val="22"/>
                <w:szCs w:val="22"/>
                <w:shd w:val="clear" w:color="auto" w:fill="FFFFFF"/>
              </w:rPr>
              <w:t>ОБҐРУНТУВАННЯ:</w:t>
            </w:r>
          </w:p>
          <w:p w:rsidR="007F4594" w:rsidRPr="00E013DC" w:rsidRDefault="007F4594" w:rsidP="007F4594">
            <w:pPr>
              <w:ind w:firstLine="308"/>
              <w:jc w:val="both"/>
              <w:rPr>
                <w:i/>
                <w:sz w:val="22"/>
                <w:szCs w:val="22"/>
              </w:rPr>
            </w:pPr>
            <w:r w:rsidRPr="00E013DC">
              <w:rPr>
                <w:i/>
                <w:sz w:val="22"/>
                <w:szCs w:val="22"/>
              </w:rPr>
              <w:t>Загальне зауваження до цього пункту та до Методики: не визначено  чітких критеріїв оцінки обґрунтованості витрат. Оцінка комісією з перевірки додержання ліцензіатом нормативно-правових актів щодо провадження операційної діяльності постачальником «останньої надії» без встановлення в Методиці чітких критеріїв такої оцінки може вважатися суб’єктивною позицією члена(</w:t>
            </w:r>
            <w:proofErr w:type="spellStart"/>
            <w:r w:rsidRPr="00E013DC">
              <w:rPr>
                <w:i/>
                <w:sz w:val="22"/>
                <w:szCs w:val="22"/>
              </w:rPr>
              <w:t>ів</w:t>
            </w:r>
            <w:proofErr w:type="spellEnd"/>
            <w:r w:rsidRPr="00E013DC">
              <w:rPr>
                <w:i/>
                <w:sz w:val="22"/>
                <w:szCs w:val="22"/>
              </w:rPr>
              <w:t>) комісії з перевірки. Тому з метою  уникнення положень, що можуть містити    суб’єктивні позиції, пропонується у Методиці визначити перелік/опис вказаних критеріїв обґрунтованості.</w:t>
            </w:r>
          </w:p>
          <w:p w:rsidR="007F4594" w:rsidRPr="00E013DC" w:rsidRDefault="007F4594" w:rsidP="007F4594">
            <w:pPr>
              <w:ind w:firstLine="308"/>
              <w:jc w:val="both"/>
              <w:rPr>
                <w:i/>
                <w:sz w:val="22"/>
                <w:szCs w:val="22"/>
              </w:rPr>
            </w:pPr>
            <w:r w:rsidRPr="00E013DC">
              <w:rPr>
                <w:i/>
                <w:sz w:val="22"/>
                <w:szCs w:val="22"/>
              </w:rPr>
              <w:t>Сплата загальнодержавних податків та зборів є обов’язком постачальника «останньої надії» як суб’єкта господарювання.</w:t>
            </w:r>
          </w:p>
          <w:p w:rsidR="007F4594" w:rsidRPr="00E013DC" w:rsidRDefault="007F4594" w:rsidP="007F4594">
            <w:pPr>
              <w:ind w:firstLine="308"/>
              <w:jc w:val="both"/>
              <w:rPr>
                <w:i/>
                <w:sz w:val="22"/>
                <w:szCs w:val="22"/>
              </w:rPr>
            </w:pPr>
            <w:r w:rsidRPr="00E013DC">
              <w:rPr>
                <w:i/>
                <w:sz w:val="22"/>
                <w:szCs w:val="22"/>
              </w:rPr>
              <w:t xml:space="preserve">ДПЗД «Укрінтеренерго», як державне підприємство сплачує  до державного бюджету не дивіденди, а  частину чистого прибутку (доходу), що відраховується державними унітарними </w:t>
            </w:r>
            <w:r w:rsidRPr="00E013DC">
              <w:rPr>
                <w:i/>
                <w:sz w:val="22"/>
                <w:szCs w:val="22"/>
              </w:rPr>
              <w:lastRenderedPageBreak/>
              <w:t>підприємствами та їх об’єднаннями (постанова КМУ №138 від 23.02.2011). Крім цього ДПЗД «Укрінтеренерго» має сплачувати і податок на прибуток. Як ліцензіат ДПЗД «Укрінтеренерго» має сплачувати внесок на регулювання.</w:t>
            </w:r>
          </w:p>
          <w:p w:rsidR="007F4594" w:rsidRPr="00E013DC" w:rsidRDefault="007F4594" w:rsidP="007F4594">
            <w:pPr>
              <w:ind w:firstLine="308"/>
              <w:jc w:val="both"/>
              <w:rPr>
                <w:i/>
                <w:sz w:val="22"/>
                <w:szCs w:val="22"/>
              </w:rPr>
            </w:pPr>
            <w:r w:rsidRPr="00E013DC">
              <w:rPr>
                <w:i/>
                <w:sz w:val="22"/>
                <w:szCs w:val="22"/>
              </w:rPr>
              <w:t>Всі ці обов’язкові платежі сплачуються щокварталу.</w:t>
            </w:r>
          </w:p>
          <w:p w:rsidR="007F4594" w:rsidRPr="009D3827" w:rsidRDefault="007F4594" w:rsidP="007F4594">
            <w:pPr>
              <w:ind w:firstLine="308"/>
              <w:jc w:val="both"/>
              <w:rPr>
                <w:i/>
                <w:sz w:val="22"/>
                <w:szCs w:val="22"/>
                <w:shd w:val="clear" w:color="auto" w:fill="FFFFFF"/>
              </w:rPr>
            </w:pPr>
            <w:r w:rsidRPr="00E013DC">
              <w:rPr>
                <w:i/>
                <w:sz w:val="22"/>
                <w:szCs w:val="22"/>
              </w:rPr>
              <w:t>Специфіка діяльності постачальника «останньої надії» передбачає обов’язок реалізації споживачу електричної енергії, який втратив постачальника. При цьому споживач може в будь - який момент перейти на постачання до іншого постачальника. Тому чітко спрогнозувати дохід від реалізації електроенергії ДПЗД «Укрінтеренерго» не має можливості, а тому можуть виникати суттєві відхилення від запланованих в кошторисі сум. Кошторис витрат постачальника «останньої надії» є єдиним джерелом сплати згаданих вище обов’язкових платежів,  оскільки на період дії кошторису витрат постачальника «останньої надії» тариф ПОН встановлюється на нульовому рівні.</w:t>
            </w:r>
          </w:p>
        </w:tc>
        <w:tc>
          <w:tcPr>
            <w:tcW w:w="5066" w:type="dxa"/>
            <w:shd w:val="clear" w:color="auto" w:fill="auto"/>
            <w:vAlign w:val="center"/>
          </w:tcPr>
          <w:p w:rsidR="007F4594" w:rsidRPr="00E013DC" w:rsidRDefault="007F4594" w:rsidP="007F4594">
            <w:pPr>
              <w:jc w:val="both"/>
              <w:rPr>
                <w:b/>
                <w:bCs/>
                <w:sz w:val="24"/>
                <w:szCs w:val="24"/>
              </w:rPr>
            </w:pPr>
            <w:r w:rsidRPr="00E013DC">
              <w:rPr>
                <w:b/>
                <w:bCs/>
                <w:sz w:val="24"/>
                <w:szCs w:val="24"/>
              </w:rPr>
              <w:lastRenderedPageBreak/>
              <w:t>Не враховується</w:t>
            </w:r>
          </w:p>
          <w:p w:rsidR="007F4594" w:rsidRPr="009D3827" w:rsidRDefault="007F4594" w:rsidP="007F4594">
            <w:pPr>
              <w:jc w:val="both"/>
              <w:rPr>
                <w:b/>
                <w:sz w:val="22"/>
                <w:szCs w:val="22"/>
              </w:rPr>
            </w:pPr>
            <w:r w:rsidRPr="00E013DC">
              <w:rPr>
                <w:sz w:val="22"/>
                <w:szCs w:val="22"/>
              </w:rPr>
              <w:t xml:space="preserve">Формулювання є нечітким та </w:t>
            </w:r>
            <w:proofErr w:type="spellStart"/>
            <w:r w:rsidRPr="00E013DC">
              <w:rPr>
                <w:sz w:val="22"/>
                <w:szCs w:val="22"/>
              </w:rPr>
              <w:t>суб</w:t>
            </w:r>
            <w:proofErr w:type="spellEnd"/>
            <w:r w:rsidRPr="00EB305A">
              <w:rPr>
                <w:sz w:val="22"/>
                <w:szCs w:val="22"/>
                <w:lang w:val="ru-RU"/>
              </w:rPr>
              <w:t>’</w:t>
            </w:r>
            <w:proofErr w:type="spellStart"/>
            <w:r w:rsidRPr="00E013DC">
              <w:rPr>
                <w:sz w:val="22"/>
                <w:szCs w:val="22"/>
              </w:rPr>
              <w:t>єктивним</w:t>
            </w:r>
            <w:proofErr w:type="spellEnd"/>
            <w:r w:rsidRPr="00E013DC">
              <w:rPr>
                <w:sz w:val="22"/>
                <w:szCs w:val="22"/>
              </w:rPr>
              <w:t>. У разі обґрунтованої потреби за зверненням постачальника «останньої надії» складові кошторису витрат можуть бути скориговані  протягом року</w:t>
            </w:r>
            <w:r>
              <w:rPr>
                <w:sz w:val="22"/>
                <w:szCs w:val="22"/>
              </w:rPr>
              <w:t>.</w:t>
            </w:r>
          </w:p>
        </w:tc>
      </w:tr>
      <w:tr w:rsidR="007F4594" w:rsidRPr="009D3827" w:rsidTr="00276080">
        <w:trPr>
          <w:trHeight w:val="595"/>
        </w:trPr>
        <w:tc>
          <w:tcPr>
            <w:tcW w:w="5065" w:type="dxa"/>
            <w:shd w:val="clear" w:color="auto" w:fill="auto"/>
          </w:tcPr>
          <w:p w:rsidR="007F4594" w:rsidRDefault="007F4594" w:rsidP="007F4594">
            <w:pPr>
              <w:ind w:firstLine="308"/>
              <w:jc w:val="both"/>
              <w:rPr>
                <w:i/>
                <w:sz w:val="22"/>
                <w:szCs w:val="22"/>
                <w:shd w:val="clear" w:color="auto" w:fill="FFFFFF"/>
              </w:rPr>
            </w:pPr>
          </w:p>
          <w:p w:rsidR="007F4594" w:rsidRDefault="007F4594" w:rsidP="007F4594">
            <w:pPr>
              <w:ind w:firstLine="308"/>
              <w:jc w:val="both"/>
              <w:rPr>
                <w:i/>
                <w:sz w:val="22"/>
                <w:szCs w:val="22"/>
                <w:shd w:val="clear" w:color="auto" w:fill="FFFFFF"/>
              </w:rPr>
            </w:pPr>
          </w:p>
          <w:p w:rsidR="007F4594" w:rsidRPr="002F0815" w:rsidRDefault="007F4594" w:rsidP="007F4594">
            <w:pPr>
              <w:ind w:firstLine="308"/>
              <w:jc w:val="both"/>
              <w:rPr>
                <w:sz w:val="22"/>
                <w:szCs w:val="22"/>
                <w:shd w:val="clear" w:color="auto" w:fill="FFFFFF"/>
              </w:rPr>
            </w:pPr>
            <w:r w:rsidRPr="002F0815">
              <w:rPr>
                <w:sz w:val="22"/>
                <w:szCs w:val="22"/>
                <w:shd w:val="clear" w:color="auto" w:fill="FFFFFF"/>
              </w:rPr>
              <w:t>6. Об’єктивними чинниками економії (недофінансування) або перевитрат кошторису витрат постачальника «останньої надії» на провадження ним операційної діяльності на виконання функції постачальника «останньої надії» у звітному році вважаються:</w:t>
            </w:r>
          </w:p>
          <w:p w:rsidR="007F4594" w:rsidRPr="009D3827" w:rsidRDefault="007F4594" w:rsidP="007F4594">
            <w:pPr>
              <w:ind w:firstLine="308"/>
              <w:jc w:val="both"/>
              <w:rPr>
                <w:sz w:val="22"/>
                <w:szCs w:val="22"/>
                <w:shd w:val="clear" w:color="auto" w:fill="FFFFFF"/>
              </w:rPr>
            </w:pPr>
          </w:p>
          <w:p w:rsidR="007F4594" w:rsidRPr="009D3827" w:rsidRDefault="007F4594" w:rsidP="007F4594">
            <w:pPr>
              <w:ind w:firstLine="308"/>
              <w:jc w:val="both"/>
              <w:rPr>
                <w:sz w:val="22"/>
                <w:szCs w:val="22"/>
                <w:shd w:val="clear" w:color="auto" w:fill="FFFFFF"/>
              </w:rPr>
            </w:pPr>
            <w:r w:rsidRPr="009D3827">
              <w:rPr>
                <w:sz w:val="22"/>
                <w:szCs w:val="22"/>
                <w:shd w:val="clear" w:color="auto" w:fill="FFFFFF"/>
              </w:rPr>
              <w:t>&lt;…&gt;</w:t>
            </w:r>
          </w:p>
          <w:p w:rsidR="007F4594" w:rsidRPr="009D3827" w:rsidRDefault="007F4594" w:rsidP="007F4594">
            <w:pPr>
              <w:ind w:firstLine="308"/>
              <w:jc w:val="both"/>
              <w:rPr>
                <w:sz w:val="22"/>
                <w:szCs w:val="22"/>
                <w:shd w:val="clear" w:color="auto" w:fill="FFFFFF"/>
              </w:rPr>
            </w:pPr>
          </w:p>
          <w:p w:rsidR="007F4594" w:rsidRPr="009D3827" w:rsidRDefault="007F4594" w:rsidP="007F4594">
            <w:pPr>
              <w:ind w:firstLine="308"/>
              <w:jc w:val="both"/>
              <w:rPr>
                <w:sz w:val="22"/>
                <w:szCs w:val="22"/>
                <w:shd w:val="clear" w:color="auto" w:fill="FFFFFF"/>
              </w:rPr>
            </w:pPr>
            <w:r>
              <w:rPr>
                <w:sz w:val="22"/>
                <w:szCs w:val="22"/>
                <w:shd w:val="clear" w:color="auto" w:fill="FFFFFF"/>
              </w:rPr>
              <w:t>Положення відсутнє</w:t>
            </w:r>
          </w:p>
        </w:tc>
        <w:tc>
          <w:tcPr>
            <w:tcW w:w="5066" w:type="dxa"/>
            <w:shd w:val="clear" w:color="auto" w:fill="auto"/>
          </w:tcPr>
          <w:p w:rsidR="007F4594" w:rsidRPr="00A32689" w:rsidRDefault="007F4594" w:rsidP="007F4594">
            <w:pPr>
              <w:ind w:firstLine="308"/>
              <w:jc w:val="both"/>
              <w:rPr>
                <w:i/>
                <w:sz w:val="22"/>
                <w:szCs w:val="22"/>
                <w:shd w:val="clear" w:color="auto" w:fill="FFFFFF"/>
              </w:rPr>
            </w:pPr>
            <w:r w:rsidRPr="00A32689">
              <w:rPr>
                <w:i/>
                <w:sz w:val="22"/>
                <w:szCs w:val="22"/>
                <w:shd w:val="clear" w:color="auto" w:fill="FFFFFF"/>
              </w:rPr>
              <w:t>ДПЗД «УКРІНТЕРЕНЕРГО»</w:t>
            </w:r>
          </w:p>
          <w:p w:rsidR="007F4594" w:rsidRDefault="007F4594" w:rsidP="007F4594">
            <w:pPr>
              <w:ind w:firstLine="308"/>
              <w:jc w:val="both"/>
              <w:rPr>
                <w:i/>
                <w:sz w:val="22"/>
                <w:szCs w:val="22"/>
                <w:shd w:val="clear" w:color="auto" w:fill="FFFFFF"/>
              </w:rPr>
            </w:pPr>
          </w:p>
          <w:p w:rsidR="007F4594" w:rsidRPr="002F0815" w:rsidRDefault="007F4594" w:rsidP="007F4594">
            <w:pPr>
              <w:ind w:firstLine="308"/>
              <w:jc w:val="both"/>
              <w:rPr>
                <w:sz w:val="22"/>
                <w:szCs w:val="22"/>
                <w:shd w:val="clear" w:color="auto" w:fill="FFFFFF"/>
              </w:rPr>
            </w:pPr>
            <w:r w:rsidRPr="002F0815">
              <w:rPr>
                <w:sz w:val="22"/>
                <w:szCs w:val="22"/>
                <w:shd w:val="clear" w:color="auto" w:fill="FFFFFF"/>
              </w:rPr>
              <w:t>6. Об’єктивними чинниками економії (недофінансування) або перевитрат кошторису витрат постачальника «останньої надії» на провадження ним операційної діяльності на виконання функції постачальника «останньої надії» у звітному році вважаються:</w:t>
            </w:r>
          </w:p>
          <w:p w:rsidR="007F4594" w:rsidRPr="009D3827" w:rsidRDefault="007F4594" w:rsidP="007F4594">
            <w:pPr>
              <w:ind w:firstLine="308"/>
              <w:jc w:val="both"/>
              <w:rPr>
                <w:sz w:val="22"/>
                <w:szCs w:val="22"/>
                <w:shd w:val="clear" w:color="auto" w:fill="FFFFFF"/>
              </w:rPr>
            </w:pPr>
          </w:p>
          <w:p w:rsidR="007F4594" w:rsidRPr="009D3827" w:rsidRDefault="007F4594" w:rsidP="007F4594">
            <w:pPr>
              <w:ind w:firstLine="308"/>
              <w:jc w:val="both"/>
              <w:rPr>
                <w:sz w:val="22"/>
                <w:szCs w:val="22"/>
                <w:shd w:val="clear" w:color="auto" w:fill="FFFFFF"/>
              </w:rPr>
            </w:pPr>
            <w:r w:rsidRPr="009D3827">
              <w:rPr>
                <w:sz w:val="22"/>
                <w:szCs w:val="22"/>
                <w:shd w:val="clear" w:color="auto" w:fill="FFFFFF"/>
              </w:rPr>
              <w:t>&lt;…&gt;</w:t>
            </w:r>
          </w:p>
          <w:p w:rsidR="007F4594" w:rsidRPr="009B44B9" w:rsidRDefault="007F4594" w:rsidP="007F4594">
            <w:pPr>
              <w:ind w:firstLine="308"/>
              <w:jc w:val="both"/>
              <w:rPr>
                <w:b/>
                <w:bCs/>
                <w:sz w:val="22"/>
                <w:szCs w:val="22"/>
              </w:rPr>
            </w:pPr>
            <w:r w:rsidRPr="009B44B9">
              <w:rPr>
                <w:b/>
                <w:bCs/>
                <w:sz w:val="22"/>
                <w:szCs w:val="22"/>
              </w:rPr>
              <w:t>3) сума обґрунтованих витрат постачальника «останньої надії» на виконання рішень Регулятора у звітному році, що підтверджується копіями первинних документів.</w:t>
            </w:r>
          </w:p>
          <w:p w:rsidR="007F4594" w:rsidRPr="00E013DC" w:rsidRDefault="007F4594" w:rsidP="007F4594">
            <w:pPr>
              <w:ind w:firstLine="308"/>
              <w:jc w:val="both"/>
              <w:rPr>
                <w:i/>
                <w:sz w:val="22"/>
                <w:szCs w:val="22"/>
                <w:shd w:val="clear" w:color="auto" w:fill="FFFFFF"/>
              </w:rPr>
            </w:pPr>
          </w:p>
          <w:p w:rsidR="007F4594" w:rsidRPr="00E013DC" w:rsidRDefault="007F4594" w:rsidP="007F4594">
            <w:pPr>
              <w:ind w:firstLine="308"/>
              <w:jc w:val="both"/>
              <w:rPr>
                <w:i/>
                <w:sz w:val="22"/>
                <w:szCs w:val="22"/>
                <w:shd w:val="clear" w:color="auto" w:fill="FFFFFF"/>
              </w:rPr>
            </w:pPr>
            <w:r w:rsidRPr="00E013DC">
              <w:rPr>
                <w:i/>
                <w:sz w:val="22"/>
                <w:szCs w:val="22"/>
                <w:shd w:val="clear" w:color="auto" w:fill="FFFFFF"/>
              </w:rPr>
              <w:t>ОБҐРУНТУВАННЯ:</w:t>
            </w:r>
          </w:p>
          <w:p w:rsidR="007F4594" w:rsidRPr="00E013DC" w:rsidRDefault="007F4594" w:rsidP="007F4594">
            <w:pPr>
              <w:ind w:firstLine="308"/>
              <w:jc w:val="both"/>
              <w:rPr>
                <w:i/>
                <w:sz w:val="22"/>
                <w:szCs w:val="22"/>
              </w:rPr>
            </w:pPr>
            <w:r w:rsidRPr="00E013DC">
              <w:rPr>
                <w:i/>
                <w:sz w:val="22"/>
                <w:szCs w:val="22"/>
              </w:rPr>
              <w:lastRenderedPageBreak/>
              <w:t>Загальне зауваження до цього пункту та до Методики: не визначено  чітких критеріїв оцінки обґрунтованості витрат. Оцінка комісією з перевірки додержання ліцензіатом нормативно-правових актів щодо провадження операційної діяльності постачальником «останньої надії» без встановлення в Методиці чітких критеріїв такої оцінки може вважатися суб’єктивною позицією члена(</w:t>
            </w:r>
            <w:proofErr w:type="spellStart"/>
            <w:r w:rsidRPr="00E013DC">
              <w:rPr>
                <w:i/>
                <w:sz w:val="22"/>
                <w:szCs w:val="22"/>
              </w:rPr>
              <w:t>ів</w:t>
            </w:r>
            <w:proofErr w:type="spellEnd"/>
            <w:r w:rsidRPr="00E013DC">
              <w:rPr>
                <w:i/>
                <w:sz w:val="22"/>
                <w:szCs w:val="22"/>
              </w:rPr>
              <w:t>) комісії з перевірки. Тому з метою  уникнення положень, що можуть містити    суб’єктивні позиції, пропонується у Методиці визначити перелік/опис вказаних критеріїв обґрунтованості.</w:t>
            </w:r>
          </w:p>
          <w:p w:rsidR="007F4594" w:rsidRPr="00E013DC" w:rsidRDefault="007F4594" w:rsidP="007F4594">
            <w:pPr>
              <w:ind w:firstLine="308"/>
              <w:jc w:val="both"/>
              <w:rPr>
                <w:i/>
                <w:sz w:val="22"/>
                <w:szCs w:val="22"/>
              </w:rPr>
            </w:pPr>
            <w:r w:rsidRPr="00E013DC">
              <w:rPr>
                <w:i/>
                <w:sz w:val="22"/>
                <w:szCs w:val="22"/>
              </w:rPr>
              <w:t>Сплата загальнодержавних податків та зборів є обов’язком постачальника «останньої надії» як суб’єкта господарювання.</w:t>
            </w:r>
          </w:p>
          <w:p w:rsidR="007F4594" w:rsidRPr="00E013DC" w:rsidRDefault="007F4594" w:rsidP="007F4594">
            <w:pPr>
              <w:ind w:firstLine="308"/>
              <w:jc w:val="both"/>
              <w:rPr>
                <w:i/>
                <w:sz w:val="22"/>
                <w:szCs w:val="22"/>
              </w:rPr>
            </w:pPr>
            <w:r w:rsidRPr="00E013DC">
              <w:rPr>
                <w:i/>
                <w:sz w:val="22"/>
                <w:szCs w:val="22"/>
              </w:rPr>
              <w:t>ДПЗД «Укрінтеренерго», як державне підприємство сплачує  до державного бюджету не дивіденди, а  частину чистого прибутку (доходу), що відраховується державними унітарними підприємствами та їх об’єднаннями (постанова КМУ №138 від 23.02.2011). Крім цього ДПЗД «Укрінтеренерго» має сплачувати і податок на прибуток. Як ліцензіат ДПЗД «Укрінтеренерго» має сплачувати внесок на регулювання.</w:t>
            </w:r>
          </w:p>
          <w:p w:rsidR="007F4594" w:rsidRPr="00E013DC" w:rsidRDefault="007F4594" w:rsidP="007F4594">
            <w:pPr>
              <w:ind w:firstLine="308"/>
              <w:jc w:val="both"/>
              <w:rPr>
                <w:i/>
                <w:sz w:val="22"/>
                <w:szCs w:val="22"/>
              </w:rPr>
            </w:pPr>
            <w:r w:rsidRPr="00E013DC">
              <w:rPr>
                <w:i/>
                <w:sz w:val="22"/>
                <w:szCs w:val="22"/>
              </w:rPr>
              <w:t>Всі ці обов’язкові платежі сплачуються щокварталу.</w:t>
            </w:r>
          </w:p>
          <w:p w:rsidR="007F4594" w:rsidRPr="009D3827" w:rsidRDefault="007F4594" w:rsidP="007F4594">
            <w:pPr>
              <w:ind w:firstLine="308"/>
              <w:jc w:val="both"/>
              <w:rPr>
                <w:i/>
                <w:sz w:val="22"/>
                <w:szCs w:val="22"/>
                <w:shd w:val="clear" w:color="auto" w:fill="FFFFFF"/>
              </w:rPr>
            </w:pPr>
            <w:r w:rsidRPr="00E013DC">
              <w:rPr>
                <w:i/>
                <w:sz w:val="22"/>
                <w:szCs w:val="22"/>
              </w:rPr>
              <w:t xml:space="preserve">Специфіка діяльності постачальника «останньої надії» передбачає обов’язок реалізації споживачу електричної енергії, який втратив постачальника. При цьому споживач може в будь - який момент перейти на постачання до іншого постачальника. Тому чітко спрогнозувати дохід від реалізації електроенергії ДПЗД «Укрінтеренерго» не має можливості, а тому можуть виникати суттєві відхилення від запланованих в кошторисі сум. Кошторис витрат постачальника «останньої надії» є єдиним джерелом сплати згаданих вище обов’язкових платежів,  оскільки на період дії </w:t>
            </w:r>
            <w:r w:rsidRPr="00E013DC">
              <w:rPr>
                <w:i/>
                <w:sz w:val="22"/>
                <w:szCs w:val="22"/>
              </w:rPr>
              <w:lastRenderedPageBreak/>
              <w:t>кошторису витрат постачальника «останньої надії» тариф ПОН встановлюється на нульовому рівні</w:t>
            </w:r>
            <w:r w:rsidRPr="00694FB6">
              <w:rPr>
                <w:sz w:val="22"/>
                <w:szCs w:val="22"/>
              </w:rPr>
              <w:t>.</w:t>
            </w:r>
          </w:p>
        </w:tc>
        <w:tc>
          <w:tcPr>
            <w:tcW w:w="5066" w:type="dxa"/>
            <w:shd w:val="clear" w:color="auto" w:fill="auto"/>
            <w:vAlign w:val="center"/>
          </w:tcPr>
          <w:p w:rsidR="007F4594" w:rsidRPr="00435992" w:rsidRDefault="007F4594" w:rsidP="007F4594">
            <w:pPr>
              <w:jc w:val="both"/>
              <w:rPr>
                <w:sz w:val="24"/>
                <w:szCs w:val="24"/>
              </w:rPr>
            </w:pPr>
          </w:p>
          <w:p w:rsidR="007F4594" w:rsidRPr="00435992" w:rsidRDefault="007F4594" w:rsidP="007F4594">
            <w:pPr>
              <w:jc w:val="both"/>
              <w:rPr>
                <w:sz w:val="24"/>
                <w:szCs w:val="24"/>
              </w:rPr>
            </w:pPr>
          </w:p>
          <w:p w:rsidR="007F4594" w:rsidRPr="00435992" w:rsidRDefault="007F4594" w:rsidP="007F4594">
            <w:pPr>
              <w:jc w:val="both"/>
              <w:rPr>
                <w:sz w:val="24"/>
                <w:szCs w:val="24"/>
              </w:rPr>
            </w:pPr>
          </w:p>
          <w:p w:rsidR="007F4594" w:rsidRPr="00435992" w:rsidRDefault="007F4594" w:rsidP="007F4594">
            <w:pPr>
              <w:jc w:val="both"/>
              <w:rPr>
                <w:sz w:val="24"/>
                <w:szCs w:val="24"/>
              </w:rPr>
            </w:pPr>
          </w:p>
          <w:p w:rsidR="007F4594" w:rsidRPr="00435992" w:rsidRDefault="007F4594" w:rsidP="007F4594">
            <w:pPr>
              <w:jc w:val="both"/>
              <w:rPr>
                <w:sz w:val="24"/>
                <w:szCs w:val="24"/>
              </w:rPr>
            </w:pPr>
          </w:p>
          <w:p w:rsidR="007F4594" w:rsidRPr="00435992" w:rsidRDefault="007F4594" w:rsidP="007F4594">
            <w:pPr>
              <w:jc w:val="both"/>
              <w:rPr>
                <w:b/>
                <w:sz w:val="24"/>
                <w:szCs w:val="24"/>
              </w:rPr>
            </w:pPr>
            <w:r w:rsidRPr="00435992">
              <w:rPr>
                <w:b/>
                <w:sz w:val="24"/>
                <w:szCs w:val="24"/>
              </w:rPr>
              <w:t xml:space="preserve">Не враховано </w:t>
            </w:r>
          </w:p>
          <w:p w:rsidR="007F4594" w:rsidRPr="00435992" w:rsidRDefault="007F4594" w:rsidP="007F4594">
            <w:pPr>
              <w:jc w:val="both"/>
              <w:rPr>
                <w:sz w:val="24"/>
                <w:szCs w:val="24"/>
              </w:rPr>
            </w:pPr>
            <w:r w:rsidRPr="00435992">
              <w:rPr>
                <w:sz w:val="24"/>
                <w:szCs w:val="24"/>
              </w:rPr>
              <w:t xml:space="preserve">Необґрунтований непідтверджений та спірний перелік таких витрат </w:t>
            </w:r>
          </w:p>
          <w:p w:rsidR="007F4594" w:rsidRPr="00435992"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Pr="009D3827" w:rsidRDefault="007F4594" w:rsidP="007F4594">
            <w:pPr>
              <w:rPr>
                <w:b/>
                <w:sz w:val="22"/>
                <w:szCs w:val="22"/>
              </w:rPr>
            </w:pPr>
          </w:p>
        </w:tc>
      </w:tr>
      <w:tr w:rsidR="007F4594" w:rsidRPr="009D3827" w:rsidTr="00276080">
        <w:trPr>
          <w:trHeight w:val="595"/>
        </w:trPr>
        <w:tc>
          <w:tcPr>
            <w:tcW w:w="5065" w:type="dxa"/>
            <w:shd w:val="clear" w:color="auto" w:fill="auto"/>
          </w:tcPr>
          <w:p w:rsidR="007F4594" w:rsidRDefault="007F4594" w:rsidP="007F4594">
            <w:pPr>
              <w:ind w:firstLine="308"/>
              <w:jc w:val="both"/>
              <w:rPr>
                <w:sz w:val="22"/>
                <w:szCs w:val="22"/>
                <w:shd w:val="clear" w:color="auto" w:fill="FFFFFF"/>
              </w:rPr>
            </w:pPr>
          </w:p>
          <w:p w:rsidR="007F4594" w:rsidRPr="00F15F8A" w:rsidRDefault="007F4594" w:rsidP="007F4594">
            <w:pPr>
              <w:ind w:firstLine="308"/>
              <w:jc w:val="both"/>
              <w:rPr>
                <w:sz w:val="22"/>
                <w:szCs w:val="22"/>
                <w:shd w:val="clear" w:color="auto" w:fill="FFFFFF"/>
              </w:rPr>
            </w:pPr>
            <w:r w:rsidRPr="00F15F8A">
              <w:rPr>
                <w:sz w:val="22"/>
                <w:szCs w:val="22"/>
                <w:shd w:val="clear" w:color="auto" w:fill="FFFFFF"/>
              </w:rPr>
              <w:t>7. Підсумкова сума економії (недофінансування) або перевитрат кошторису витрат постачальника «останньої надії» у звітному році визначається як різниця між сумою, розрахованою відповідно до пункту 5 цього додатка, та сумою об’єктивних чинників економії (недофінансування) або перевитрат кошторису витрат постачальника «останньої надії» на провадження ним операційної діяльності на виконання функції постачальника «останньої надії», зазначених у пункті 6 цього додатка.</w:t>
            </w:r>
          </w:p>
          <w:p w:rsidR="007F4594" w:rsidRPr="009D3827" w:rsidRDefault="007F4594" w:rsidP="007F4594">
            <w:pPr>
              <w:ind w:firstLine="308"/>
              <w:jc w:val="both"/>
              <w:rPr>
                <w:sz w:val="22"/>
                <w:szCs w:val="22"/>
                <w:shd w:val="clear" w:color="auto" w:fill="FFFFFF"/>
              </w:rPr>
            </w:pPr>
            <w:r w:rsidRPr="00F15F8A">
              <w:rPr>
                <w:sz w:val="22"/>
                <w:szCs w:val="22"/>
                <w:shd w:val="clear" w:color="auto" w:fill="FFFFFF"/>
              </w:rPr>
              <w:t>Вказана сума враховується НКРЕКП під час розгляду поданого на погодження кошторису витрат постачальника «останньої надії» на провадження ним операційної діяльності на виконання функції постачальника «останньої надії» на прогнозний рік.</w:t>
            </w:r>
          </w:p>
        </w:tc>
        <w:tc>
          <w:tcPr>
            <w:tcW w:w="5066" w:type="dxa"/>
            <w:shd w:val="clear" w:color="auto" w:fill="auto"/>
          </w:tcPr>
          <w:p w:rsidR="007F4594" w:rsidRPr="00525202" w:rsidRDefault="007F4594" w:rsidP="007F4594">
            <w:pPr>
              <w:ind w:firstLine="308"/>
              <w:jc w:val="both"/>
              <w:rPr>
                <w:i/>
                <w:sz w:val="22"/>
                <w:szCs w:val="22"/>
                <w:shd w:val="clear" w:color="auto" w:fill="FFFFFF"/>
              </w:rPr>
            </w:pPr>
            <w:r w:rsidRPr="00525202">
              <w:rPr>
                <w:i/>
                <w:sz w:val="22"/>
                <w:szCs w:val="22"/>
                <w:shd w:val="clear" w:color="auto" w:fill="FFFFFF"/>
              </w:rPr>
              <w:t>ДПЗД «УКРІНТЕРЕНЕРГО»</w:t>
            </w:r>
          </w:p>
          <w:p w:rsidR="007F4594" w:rsidRPr="00525202" w:rsidRDefault="007F4594" w:rsidP="007F4594">
            <w:pPr>
              <w:ind w:firstLine="308"/>
              <w:jc w:val="both"/>
              <w:rPr>
                <w:sz w:val="22"/>
                <w:szCs w:val="22"/>
              </w:rPr>
            </w:pPr>
            <w:r w:rsidRPr="00525202">
              <w:rPr>
                <w:sz w:val="22"/>
                <w:szCs w:val="22"/>
              </w:rPr>
              <w:t xml:space="preserve">7. </w:t>
            </w:r>
            <w:r w:rsidRPr="00525202">
              <w:rPr>
                <w:sz w:val="22"/>
                <w:szCs w:val="22"/>
                <w:shd w:val="clear" w:color="auto" w:fill="FFFFFF"/>
              </w:rPr>
              <w:t>Підсумкова</w:t>
            </w:r>
            <w:r w:rsidRPr="00525202">
              <w:rPr>
                <w:sz w:val="22"/>
                <w:szCs w:val="22"/>
              </w:rPr>
              <w:t xml:space="preserve"> сума економії (недофінансування) або перевитрат кошторису витрат постачальника «останньої надії» у звітному році визначається як різниця між сумою, розрахованою відповідно до пункту 5 цього додатка, та сумою об’єктивних чинників економії (недофінансування) або перевитрат кошторису витрат постачальника «останньої надії» на провадження ним операційної діяльності на виконання функції постачальника «останньої надії»,</w:t>
            </w:r>
            <w:r>
              <w:rPr>
                <w:sz w:val="22"/>
                <w:szCs w:val="22"/>
              </w:rPr>
              <w:t xml:space="preserve"> </w:t>
            </w:r>
            <w:r w:rsidRPr="00525202">
              <w:rPr>
                <w:sz w:val="22"/>
                <w:szCs w:val="22"/>
              </w:rPr>
              <w:t>зазначених у пункті 6 цього додатка.</w:t>
            </w:r>
          </w:p>
          <w:p w:rsidR="007F4594" w:rsidRPr="00525202" w:rsidRDefault="007F4594" w:rsidP="007F4594">
            <w:pPr>
              <w:ind w:firstLine="308"/>
              <w:jc w:val="both"/>
              <w:rPr>
                <w:b/>
                <w:bCs/>
                <w:sz w:val="22"/>
                <w:szCs w:val="22"/>
              </w:rPr>
            </w:pPr>
            <w:r w:rsidRPr="00525202">
              <w:rPr>
                <w:b/>
                <w:bCs/>
                <w:sz w:val="22"/>
                <w:szCs w:val="22"/>
              </w:rPr>
              <w:t>Підсумкова сума економії (недофінансування) або перевитрат статей   кошторису витрат постачальника «останньої надії» є обґрунтованою якщо без цих витрат не є можливим здійснення  операційної діяльності та виконання функцій постачальника «останньої надії», зокрема, витрат на сплату загальнодержавних податків та обов’язкових зборів та внесків на регулювання.</w:t>
            </w:r>
          </w:p>
          <w:p w:rsidR="007F4594" w:rsidRPr="00525202" w:rsidRDefault="007F4594" w:rsidP="007F4594">
            <w:pPr>
              <w:ind w:firstLine="308"/>
              <w:jc w:val="both"/>
              <w:rPr>
                <w:sz w:val="22"/>
                <w:szCs w:val="22"/>
              </w:rPr>
            </w:pPr>
            <w:r w:rsidRPr="00525202">
              <w:rPr>
                <w:sz w:val="22"/>
                <w:szCs w:val="22"/>
              </w:rPr>
              <w:t>Вказана сума враховується НКРЕКП під час розгляду поданого на погодження кошторису витрат постачальника «останньої надії» на провадження ним операційної діяльності на виконання функції постачальника «останньої надії» на прогнозний рік.</w:t>
            </w:r>
          </w:p>
          <w:p w:rsidR="007F4594" w:rsidRPr="00525202" w:rsidRDefault="007F4594" w:rsidP="007F4594">
            <w:pPr>
              <w:ind w:firstLine="308"/>
              <w:jc w:val="both"/>
              <w:rPr>
                <w:i/>
                <w:sz w:val="22"/>
                <w:szCs w:val="22"/>
                <w:shd w:val="clear" w:color="auto" w:fill="FFFFFF"/>
              </w:rPr>
            </w:pPr>
          </w:p>
          <w:p w:rsidR="007F4594" w:rsidRPr="006D76A5" w:rsidRDefault="007F4594" w:rsidP="007F4594">
            <w:pPr>
              <w:ind w:firstLine="308"/>
              <w:jc w:val="both"/>
              <w:rPr>
                <w:i/>
                <w:sz w:val="22"/>
                <w:szCs w:val="22"/>
                <w:shd w:val="clear" w:color="auto" w:fill="FFFFFF"/>
              </w:rPr>
            </w:pPr>
            <w:r w:rsidRPr="006D76A5">
              <w:rPr>
                <w:i/>
                <w:sz w:val="22"/>
                <w:szCs w:val="22"/>
                <w:shd w:val="clear" w:color="auto" w:fill="FFFFFF"/>
              </w:rPr>
              <w:t>ОБҐРУНТУВАННЯ:</w:t>
            </w:r>
          </w:p>
          <w:p w:rsidR="007F4594" w:rsidRPr="00525202" w:rsidRDefault="007F4594" w:rsidP="007F4594">
            <w:pPr>
              <w:ind w:firstLine="308"/>
              <w:jc w:val="both"/>
              <w:rPr>
                <w:i/>
                <w:sz w:val="22"/>
                <w:szCs w:val="22"/>
                <w:shd w:val="clear" w:color="auto" w:fill="FFFFFF"/>
              </w:rPr>
            </w:pPr>
            <w:r w:rsidRPr="006D76A5">
              <w:rPr>
                <w:i/>
                <w:sz w:val="22"/>
                <w:szCs w:val="22"/>
              </w:rPr>
              <w:t>Обґрунтування є аналогічним обґрунтуванню, наведеному до підпункту 2 пункту 6 проєкту Методики.</w:t>
            </w:r>
          </w:p>
        </w:tc>
        <w:tc>
          <w:tcPr>
            <w:tcW w:w="5066" w:type="dxa"/>
            <w:shd w:val="clear" w:color="auto" w:fill="auto"/>
            <w:vAlign w:val="center"/>
          </w:tcPr>
          <w:p w:rsidR="007F4594" w:rsidRDefault="007F4594" w:rsidP="007F4594">
            <w:pPr>
              <w:jc w:val="both"/>
              <w:rPr>
                <w:b/>
                <w:bCs/>
                <w:sz w:val="24"/>
                <w:szCs w:val="24"/>
                <w:highlight w:val="cyan"/>
              </w:rPr>
            </w:pPr>
          </w:p>
          <w:p w:rsidR="007F4594" w:rsidRDefault="007F4594" w:rsidP="007F4594">
            <w:pPr>
              <w:jc w:val="both"/>
              <w:rPr>
                <w:b/>
                <w:bCs/>
                <w:sz w:val="24"/>
                <w:szCs w:val="24"/>
              </w:rPr>
            </w:pPr>
          </w:p>
          <w:p w:rsidR="007F4594" w:rsidRDefault="007F4594" w:rsidP="007F4594">
            <w:pPr>
              <w:jc w:val="both"/>
              <w:rPr>
                <w:b/>
                <w:bCs/>
                <w:sz w:val="24"/>
                <w:szCs w:val="24"/>
              </w:rPr>
            </w:pPr>
          </w:p>
          <w:p w:rsidR="007F4594" w:rsidRPr="00E013DC" w:rsidRDefault="007F4594" w:rsidP="007F4594">
            <w:pPr>
              <w:jc w:val="both"/>
              <w:rPr>
                <w:b/>
                <w:bCs/>
                <w:sz w:val="24"/>
                <w:szCs w:val="24"/>
              </w:rPr>
            </w:pPr>
          </w:p>
          <w:p w:rsidR="007F4594" w:rsidRPr="00E013DC" w:rsidRDefault="007F4594" w:rsidP="007F4594">
            <w:pPr>
              <w:jc w:val="both"/>
              <w:rPr>
                <w:b/>
                <w:bCs/>
                <w:sz w:val="24"/>
                <w:szCs w:val="24"/>
              </w:rPr>
            </w:pPr>
            <w:r w:rsidRPr="00E013DC">
              <w:rPr>
                <w:b/>
                <w:bCs/>
                <w:sz w:val="24"/>
                <w:szCs w:val="24"/>
              </w:rPr>
              <w:t>Не враховується</w:t>
            </w:r>
          </w:p>
          <w:p w:rsidR="007F4594" w:rsidRPr="004B6446" w:rsidRDefault="007F4594" w:rsidP="007F4594">
            <w:pPr>
              <w:jc w:val="both"/>
              <w:rPr>
                <w:sz w:val="24"/>
                <w:szCs w:val="24"/>
              </w:rPr>
            </w:pPr>
            <w:r w:rsidRPr="004B6446">
              <w:rPr>
                <w:sz w:val="24"/>
                <w:szCs w:val="24"/>
              </w:rPr>
              <w:t xml:space="preserve">Необґрунтований непідтверджений та спірний перелік таких витрат </w:t>
            </w:r>
          </w:p>
          <w:p w:rsidR="007F4594" w:rsidRPr="004B6446" w:rsidRDefault="007F4594" w:rsidP="007F4594">
            <w:pPr>
              <w:jc w:val="both"/>
              <w:rPr>
                <w:sz w:val="22"/>
                <w:szCs w:val="22"/>
                <w:shd w:val="clear" w:color="auto" w:fill="FFFFFF"/>
              </w:rPr>
            </w:pPr>
            <w:r w:rsidRPr="004B6446">
              <w:rPr>
                <w:sz w:val="22"/>
                <w:szCs w:val="22"/>
                <w:shd w:val="clear" w:color="auto" w:fill="FFFFFF"/>
              </w:rPr>
              <w:t>Передбачено пунктом 6 цієї Методики. Визначення об’єктивних чинників економії (недофінансування) або перевитрат кошторису витрат постачальника «останньої надії» на провадження ним операційної діяльності на виконання функції постачальника «останньої надії» у звітному році вважаються:</w:t>
            </w:r>
          </w:p>
          <w:p w:rsidR="007F4594" w:rsidRPr="004B6446" w:rsidRDefault="007F4594" w:rsidP="007F4594">
            <w:pPr>
              <w:jc w:val="both"/>
              <w:rPr>
                <w:sz w:val="22"/>
                <w:szCs w:val="22"/>
                <w:shd w:val="clear" w:color="auto" w:fill="FFFFFF"/>
                <w:lang w:val="en-US"/>
              </w:rPr>
            </w:pPr>
            <w:r w:rsidRPr="004B6446">
              <w:rPr>
                <w:sz w:val="22"/>
                <w:szCs w:val="22"/>
                <w:shd w:val="clear" w:color="auto" w:fill="FFFFFF"/>
                <w:lang w:val="en-US"/>
              </w:rPr>
              <w:t>…</w:t>
            </w:r>
          </w:p>
          <w:p w:rsidR="007F4594" w:rsidRPr="009D3827" w:rsidRDefault="007F4594" w:rsidP="007F4594">
            <w:pPr>
              <w:ind w:firstLine="308"/>
              <w:jc w:val="both"/>
              <w:rPr>
                <w:sz w:val="22"/>
                <w:szCs w:val="22"/>
                <w:shd w:val="clear" w:color="auto" w:fill="FFFFFF"/>
              </w:rPr>
            </w:pPr>
          </w:p>
          <w:p w:rsidR="007F4594" w:rsidRPr="009D3827" w:rsidRDefault="007F4594" w:rsidP="007F4594">
            <w:pPr>
              <w:jc w:val="both"/>
              <w:rPr>
                <w:b/>
                <w:sz w:val="22"/>
                <w:szCs w:val="22"/>
              </w:rPr>
            </w:pPr>
          </w:p>
        </w:tc>
      </w:tr>
      <w:tr w:rsidR="007F4594" w:rsidRPr="009D3827" w:rsidTr="00276080">
        <w:trPr>
          <w:trHeight w:val="595"/>
        </w:trPr>
        <w:tc>
          <w:tcPr>
            <w:tcW w:w="5065" w:type="dxa"/>
            <w:shd w:val="clear" w:color="auto" w:fill="auto"/>
          </w:tcPr>
          <w:p w:rsidR="007F4594" w:rsidRDefault="007F4594" w:rsidP="007F4594">
            <w:pPr>
              <w:ind w:firstLine="308"/>
              <w:jc w:val="both"/>
              <w:rPr>
                <w:sz w:val="22"/>
                <w:szCs w:val="22"/>
                <w:shd w:val="clear" w:color="auto" w:fill="FFFFFF"/>
              </w:rPr>
            </w:pPr>
          </w:p>
          <w:p w:rsidR="007F4594" w:rsidRDefault="007F4594" w:rsidP="007F4594">
            <w:pPr>
              <w:ind w:firstLine="308"/>
              <w:jc w:val="both"/>
              <w:rPr>
                <w:sz w:val="22"/>
                <w:szCs w:val="22"/>
                <w:shd w:val="clear" w:color="auto" w:fill="FFFFFF"/>
              </w:rPr>
            </w:pPr>
          </w:p>
          <w:p w:rsidR="007F4594" w:rsidRPr="009D3827" w:rsidRDefault="007F4594" w:rsidP="007F4594">
            <w:pPr>
              <w:ind w:firstLine="308"/>
              <w:jc w:val="both"/>
              <w:rPr>
                <w:sz w:val="22"/>
                <w:szCs w:val="22"/>
                <w:shd w:val="clear" w:color="auto" w:fill="FFFFFF"/>
              </w:rPr>
            </w:pPr>
            <w:r>
              <w:rPr>
                <w:sz w:val="22"/>
                <w:szCs w:val="22"/>
                <w:shd w:val="clear" w:color="auto" w:fill="FFFFFF"/>
              </w:rPr>
              <w:t>Положення відсутнє</w:t>
            </w:r>
          </w:p>
        </w:tc>
        <w:tc>
          <w:tcPr>
            <w:tcW w:w="5066" w:type="dxa"/>
            <w:shd w:val="clear" w:color="auto" w:fill="auto"/>
          </w:tcPr>
          <w:p w:rsidR="007F4594" w:rsidRPr="00182F0F" w:rsidRDefault="007F4594" w:rsidP="007F4594">
            <w:pPr>
              <w:ind w:firstLine="308"/>
              <w:jc w:val="both"/>
              <w:rPr>
                <w:i/>
                <w:sz w:val="22"/>
                <w:szCs w:val="22"/>
                <w:shd w:val="clear" w:color="auto" w:fill="FFFFFF"/>
              </w:rPr>
            </w:pPr>
            <w:r w:rsidRPr="00182F0F">
              <w:rPr>
                <w:i/>
                <w:sz w:val="22"/>
                <w:szCs w:val="22"/>
                <w:shd w:val="clear" w:color="auto" w:fill="FFFFFF"/>
              </w:rPr>
              <w:t>ДПЗД «УКРІНТЕРЕНЕРГО»</w:t>
            </w:r>
          </w:p>
          <w:p w:rsidR="007F4594" w:rsidRPr="00182F0F" w:rsidRDefault="007F4594" w:rsidP="007F4594">
            <w:pPr>
              <w:ind w:firstLine="308"/>
              <w:jc w:val="both"/>
              <w:rPr>
                <w:i/>
                <w:sz w:val="22"/>
                <w:szCs w:val="22"/>
                <w:shd w:val="clear" w:color="auto" w:fill="FFFFFF"/>
              </w:rPr>
            </w:pPr>
          </w:p>
          <w:p w:rsidR="007F4594" w:rsidRPr="00182F0F" w:rsidRDefault="007F4594" w:rsidP="007F4594">
            <w:pPr>
              <w:ind w:firstLine="308"/>
              <w:jc w:val="both"/>
              <w:rPr>
                <w:b/>
                <w:bCs/>
                <w:sz w:val="22"/>
                <w:szCs w:val="22"/>
              </w:rPr>
            </w:pPr>
            <w:r w:rsidRPr="00182F0F">
              <w:rPr>
                <w:b/>
                <w:bCs/>
                <w:sz w:val="22"/>
                <w:szCs w:val="22"/>
              </w:rPr>
              <w:t xml:space="preserve">8. У разі якщо за результатом перевірки  здійснення ліцензованої діяльності у  періоді, що </w:t>
            </w:r>
            <w:r w:rsidRPr="00182F0F">
              <w:rPr>
                <w:b/>
                <w:bCs/>
                <w:sz w:val="22"/>
                <w:szCs w:val="22"/>
              </w:rPr>
              <w:lastRenderedPageBreak/>
              <w:t>є періодом перевірки, нараховані суми податків, зборів та інших обов’язкових платежів, зокрема, частини чистого прибутку (доходу), що відраховується державними унітарними підприємствами та їх об’єднаннями, податку на прибуток та внесків на регулювання більше ніж зазначені суми, що включені до кошторису постачальника «останньої надії», різниця між  цими сумами враховується (підлягає включенню) НКРЕКП під час розгляду поданого на погодження кошторису витрат постачальника «останньої надії» на провадження ним операційної діяльності на виконання функції постачальника «останньої надії» на прогнозний рік.</w:t>
            </w:r>
          </w:p>
          <w:p w:rsidR="007F4594" w:rsidRPr="00182F0F" w:rsidRDefault="007F4594" w:rsidP="007F4594">
            <w:pPr>
              <w:ind w:firstLine="308"/>
              <w:jc w:val="both"/>
              <w:rPr>
                <w:i/>
                <w:sz w:val="22"/>
                <w:szCs w:val="22"/>
                <w:shd w:val="clear" w:color="auto" w:fill="FFFFFF"/>
              </w:rPr>
            </w:pPr>
          </w:p>
          <w:p w:rsidR="007F4594" w:rsidRPr="00182F0F" w:rsidRDefault="007F4594" w:rsidP="007F4594">
            <w:pPr>
              <w:ind w:firstLine="308"/>
              <w:jc w:val="both"/>
              <w:rPr>
                <w:i/>
                <w:sz w:val="22"/>
                <w:szCs w:val="22"/>
                <w:shd w:val="clear" w:color="auto" w:fill="FFFFFF"/>
              </w:rPr>
            </w:pPr>
            <w:r>
              <w:rPr>
                <w:i/>
                <w:sz w:val="22"/>
                <w:szCs w:val="22"/>
                <w:shd w:val="clear" w:color="auto" w:fill="FFFFFF"/>
              </w:rPr>
              <w:t>ОБҐРУНТУВАННЯ</w:t>
            </w:r>
            <w:r w:rsidRPr="00182F0F">
              <w:rPr>
                <w:i/>
                <w:sz w:val="22"/>
                <w:szCs w:val="22"/>
                <w:shd w:val="clear" w:color="auto" w:fill="FFFFFF"/>
              </w:rPr>
              <w:t>:</w:t>
            </w:r>
          </w:p>
          <w:p w:rsidR="007F4594" w:rsidRPr="00BD6DD8" w:rsidRDefault="007F4594" w:rsidP="007F4594">
            <w:pPr>
              <w:ind w:firstLine="308"/>
              <w:jc w:val="both"/>
              <w:rPr>
                <w:i/>
                <w:sz w:val="22"/>
                <w:szCs w:val="22"/>
              </w:rPr>
            </w:pPr>
            <w:r w:rsidRPr="00BD6DD8">
              <w:rPr>
                <w:i/>
                <w:sz w:val="22"/>
                <w:szCs w:val="22"/>
              </w:rPr>
              <w:t xml:space="preserve">Включення до кошторису витрат постачальника «останньої надії» на наступний прогнозний рік </w:t>
            </w:r>
            <w:proofErr w:type="spellStart"/>
            <w:r w:rsidRPr="00BD6DD8">
              <w:rPr>
                <w:i/>
                <w:sz w:val="22"/>
                <w:szCs w:val="22"/>
              </w:rPr>
              <w:t>недофінансованих</w:t>
            </w:r>
            <w:proofErr w:type="spellEnd"/>
            <w:r w:rsidRPr="00BD6DD8">
              <w:rPr>
                <w:i/>
                <w:sz w:val="22"/>
                <w:szCs w:val="22"/>
              </w:rPr>
              <w:t xml:space="preserve"> сум податків, зборів та інших обов’язкових платежів, що виникли за результатами перевірки здійснення ліцензованої діяльності у періоді перевірки, забезпечить своєчасне виконання податкових зобов’язань та дозволить уникнути виникнення податкового боргу і застосування штрафних санкцій за несвоєчасну сплату податків.</w:t>
            </w:r>
          </w:p>
          <w:p w:rsidR="007F4594" w:rsidRPr="00182F0F" w:rsidRDefault="007F4594" w:rsidP="007F4594">
            <w:pPr>
              <w:ind w:firstLine="308"/>
              <w:jc w:val="both"/>
              <w:rPr>
                <w:i/>
                <w:sz w:val="22"/>
                <w:szCs w:val="22"/>
                <w:shd w:val="clear" w:color="auto" w:fill="FFFFFF"/>
              </w:rPr>
            </w:pPr>
            <w:r w:rsidRPr="00BD6DD8">
              <w:rPr>
                <w:i/>
                <w:sz w:val="22"/>
                <w:szCs w:val="22"/>
              </w:rPr>
              <w:t>Кошторис витрат постачальника «останньої надії» є єдиним джерелом сплати згаданих вище обов’язкових платежів, оскільки на період дії кошторису витрат ПОН, тариф ПОН встановлюється на нульовому рівні.</w:t>
            </w:r>
          </w:p>
        </w:tc>
        <w:tc>
          <w:tcPr>
            <w:tcW w:w="5066" w:type="dxa"/>
            <w:shd w:val="clear" w:color="auto" w:fill="auto"/>
            <w:vAlign w:val="center"/>
          </w:tcPr>
          <w:p w:rsidR="007F4594" w:rsidRPr="006D76A5" w:rsidRDefault="007F4594" w:rsidP="007F4594">
            <w:pPr>
              <w:jc w:val="both"/>
              <w:rPr>
                <w:b/>
                <w:bCs/>
                <w:sz w:val="24"/>
                <w:szCs w:val="24"/>
              </w:rPr>
            </w:pPr>
            <w:r w:rsidRPr="006D76A5">
              <w:rPr>
                <w:b/>
                <w:bCs/>
                <w:sz w:val="24"/>
                <w:szCs w:val="24"/>
              </w:rPr>
              <w:lastRenderedPageBreak/>
              <w:t>Не враховується</w:t>
            </w:r>
          </w:p>
          <w:p w:rsidR="007F4594" w:rsidRPr="006D76A5" w:rsidRDefault="007F4594" w:rsidP="007F4594">
            <w:pPr>
              <w:jc w:val="both"/>
              <w:rPr>
                <w:sz w:val="22"/>
                <w:szCs w:val="22"/>
              </w:rPr>
            </w:pPr>
            <w:r w:rsidRPr="006D76A5">
              <w:rPr>
                <w:sz w:val="22"/>
                <w:szCs w:val="22"/>
              </w:rPr>
              <w:t>Запропонована норма за своєю суттю дублює пункт 7 Методики.</w:t>
            </w:r>
          </w:p>
          <w:p w:rsidR="007F4594" w:rsidRPr="004B6446" w:rsidRDefault="007F4594" w:rsidP="007F4594">
            <w:pPr>
              <w:jc w:val="both"/>
              <w:rPr>
                <w:sz w:val="22"/>
                <w:szCs w:val="22"/>
              </w:rPr>
            </w:pPr>
            <w:r w:rsidRPr="004B6446">
              <w:rPr>
                <w:sz w:val="22"/>
                <w:szCs w:val="22"/>
              </w:rPr>
              <w:lastRenderedPageBreak/>
              <w:t>У разі обґрунтованої потреби за зверненням постачальника «останньої надії» складові кошторису витрат можуть бути скориговані.</w:t>
            </w:r>
          </w:p>
          <w:p w:rsidR="007F4594" w:rsidRPr="004B6446" w:rsidRDefault="007F4594" w:rsidP="007F4594">
            <w:pPr>
              <w:jc w:val="both"/>
              <w:rPr>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Default="007F4594" w:rsidP="007F4594">
            <w:pPr>
              <w:rPr>
                <w:b/>
                <w:sz w:val="22"/>
                <w:szCs w:val="22"/>
              </w:rPr>
            </w:pPr>
          </w:p>
          <w:p w:rsidR="007F4594" w:rsidRPr="009D3827" w:rsidRDefault="007F4594" w:rsidP="007F4594">
            <w:pPr>
              <w:rPr>
                <w:b/>
                <w:sz w:val="22"/>
                <w:szCs w:val="22"/>
              </w:rPr>
            </w:pPr>
          </w:p>
        </w:tc>
      </w:tr>
    </w:tbl>
    <w:p w:rsidR="00EE02C3" w:rsidRDefault="00EE02C3" w:rsidP="00276080">
      <w:pPr>
        <w:rPr>
          <w:b/>
          <w:sz w:val="22"/>
          <w:szCs w:val="22"/>
        </w:rPr>
      </w:pPr>
      <w:bookmarkStart w:id="8" w:name="n5489"/>
      <w:bookmarkEnd w:id="8"/>
    </w:p>
    <w:p w:rsidR="0063264B" w:rsidRDefault="0063264B" w:rsidP="00276080">
      <w:pPr>
        <w:rPr>
          <w:b/>
          <w:sz w:val="22"/>
          <w:szCs w:val="22"/>
        </w:rPr>
      </w:pPr>
    </w:p>
    <w:p w:rsidR="0063264B" w:rsidRDefault="0063264B" w:rsidP="00276080">
      <w:pPr>
        <w:rPr>
          <w:b/>
          <w:sz w:val="22"/>
          <w:szCs w:val="22"/>
        </w:rPr>
      </w:pPr>
    </w:p>
    <w:p w:rsidR="0063264B" w:rsidRDefault="0063264B" w:rsidP="00276080">
      <w:pPr>
        <w:rPr>
          <w:b/>
          <w:sz w:val="22"/>
          <w:szCs w:val="22"/>
        </w:rPr>
      </w:pPr>
    </w:p>
    <w:p w:rsidR="0063264B" w:rsidRDefault="0063264B" w:rsidP="00276080">
      <w:pPr>
        <w:rPr>
          <w:b/>
          <w:sz w:val="22"/>
          <w:szCs w:val="22"/>
        </w:rPr>
      </w:pPr>
    </w:p>
    <w:p w:rsidR="0063264B" w:rsidRDefault="0063264B" w:rsidP="00276080">
      <w:pPr>
        <w:rPr>
          <w:b/>
          <w:sz w:val="22"/>
          <w:szCs w:val="22"/>
        </w:rPr>
      </w:pPr>
    </w:p>
    <w:p w:rsidR="0063264B" w:rsidRDefault="0063264B" w:rsidP="00276080">
      <w:pPr>
        <w:rPr>
          <w:b/>
          <w:sz w:val="22"/>
          <w:szCs w:val="22"/>
        </w:rPr>
      </w:pPr>
    </w:p>
    <w:p w:rsidR="0063264B" w:rsidRDefault="0063264B" w:rsidP="00276080">
      <w:pPr>
        <w:rPr>
          <w:b/>
          <w:sz w:val="22"/>
          <w:szCs w:val="22"/>
        </w:rPr>
      </w:pPr>
    </w:p>
    <w:p w:rsidR="0063264B" w:rsidRDefault="0063264B" w:rsidP="00276080">
      <w:pPr>
        <w:rPr>
          <w:b/>
          <w:sz w:val="22"/>
          <w:szCs w:val="22"/>
        </w:rPr>
      </w:pPr>
    </w:p>
    <w:p w:rsidR="0063264B" w:rsidRDefault="0063264B" w:rsidP="00276080">
      <w:pPr>
        <w:rPr>
          <w:b/>
          <w:sz w:val="22"/>
          <w:szCs w:val="22"/>
        </w:rPr>
      </w:pPr>
    </w:p>
    <w:p w:rsidR="00276080" w:rsidRPr="009D3827" w:rsidRDefault="00276080" w:rsidP="00276080">
      <w:pPr>
        <w:rPr>
          <w:b/>
          <w:sz w:val="22"/>
          <w:szCs w:val="22"/>
        </w:rPr>
      </w:pPr>
      <w:r w:rsidRPr="009D3827">
        <w:rPr>
          <w:b/>
          <w:sz w:val="22"/>
          <w:szCs w:val="22"/>
        </w:rPr>
        <w:t>Пропозиції Програми Забезпечення енергопостачання, підвищення стійкості та сполучення (SPARC) до п. 4.3 та 4.5.1.</w:t>
      </w:r>
    </w:p>
    <w:p w:rsidR="00276080" w:rsidRPr="009D3827" w:rsidRDefault="00276080" w:rsidP="00276080">
      <w:pPr>
        <w:rPr>
          <w:b/>
          <w:sz w:val="22"/>
          <w:szCs w:val="22"/>
        </w:rPr>
      </w:pPr>
    </w:p>
    <w:p w:rsidR="00276080" w:rsidRPr="009D3827" w:rsidRDefault="00276080" w:rsidP="00276080">
      <w:pPr>
        <w:rPr>
          <w:b/>
          <w:bCs/>
          <w:sz w:val="22"/>
          <w:szCs w:val="22"/>
          <w:shd w:val="clear" w:color="auto" w:fill="FFFFFF"/>
        </w:rPr>
      </w:pPr>
      <w:r w:rsidRPr="009D3827">
        <w:rPr>
          <w:b/>
          <w:bCs/>
          <w:sz w:val="22"/>
          <w:szCs w:val="22"/>
          <w:shd w:val="clear" w:color="auto" w:fill="FFFFFF"/>
        </w:rPr>
        <w:t>Таблиця 5.</w:t>
      </w:r>
    </w:p>
    <w:tbl>
      <w:tblPr>
        <w:tblW w:w="15317" w:type="dxa"/>
        <w:tblInd w:w="-10" w:type="dxa"/>
        <w:tblLook w:val="04A0" w:firstRow="1" w:lastRow="0" w:firstColumn="1" w:lastColumn="0" w:noHBand="0" w:noVBand="1"/>
      </w:tblPr>
      <w:tblGrid>
        <w:gridCol w:w="1637"/>
        <w:gridCol w:w="1340"/>
        <w:gridCol w:w="2347"/>
        <w:gridCol w:w="2896"/>
        <w:gridCol w:w="2199"/>
        <w:gridCol w:w="2418"/>
        <w:gridCol w:w="2480"/>
      </w:tblGrid>
      <w:tr w:rsidR="00276080" w:rsidRPr="009D3827" w:rsidTr="0063264B">
        <w:trPr>
          <w:trHeight w:val="864"/>
        </w:trPr>
        <w:tc>
          <w:tcPr>
            <w:tcW w:w="1637" w:type="dxa"/>
            <w:vMerge w:val="restart"/>
            <w:tcBorders>
              <w:top w:val="single" w:sz="8" w:space="0" w:color="auto"/>
              <w:left w:val="single" w:sz="8" w:space="0" w:color="auto"/>
              <w:bottom w:val="single" w:sz="8" w:space="0" w:color="000000"/>
              <w:right w:val="single" w:sz="4" w:space="0" w:color="auto"/>
            </w:tcBorders>
            <w:noWrap/>
            <w:vAlign w:val="center"/>
            <w:hideMark/>
          </w:tcPr>
          <w:p w:rsidR="00276080" w:rsidRPr="009D3827" w:rsidRDefault="00276080" w:rsidP="008C21AB">
            <w:pPr>
              <w:jc w:val="center"/>
              <w:rPr>
                <w:bCs/>
                <w:sz w:val="22"/>
                <w:szCs w:val="22"/>
                <w:lang w:eastAsia="uk-UA"/>
              </w:rPr>
            </w:pPr>
            <w:r w:rsidRPr="009D3827">
              <w:rPr>
                <w:bCs/>
                <w:sz w:val="22"/>
                <w:szCs w:val="22"/>
                <w:lang w:eastAsia="uk-UA"/>
              </w:rPr>
              <w:t>Рік</w:t>
            </w:r>
          </w:p>
        </w:tc>
        <w:tc>
          <w:tcPr>
            <w:tcW w:w="1340" w:type="dxa"/>
            <w:vMerge w:val="restart"/>
            <w:tcBorders>
              <w:top w:val="single" w:sz="8" w:space="0" w:color="auto"/>
              <w:left w:val="single" w:sz="4" w:space="0" w:color="auto"/>
              <w:bottom w:val="single" w:sz="8" w:space="0" w:color="000000"/>
              <w:right w:val="single" w:sz="4" w:space="0" w:color="auto"/>
            </w:tcBorders>
            <w:noWrap/>
            <w:vAlign w:val="center"/>
            <w:hideMark/>
          </w:tcPr>
          <w:p w:rsidR="00276080" w:rsidRPr="009D3827" w:rsidRDefault="00276080" w:rsidP="008C21AB">
            <w:pPr>
              <w:jc w:val="center"/>
              <w:rPr>
                <w:bCs/>
                <w:sz w:val="22"/>
                <w:szCs w:val="22"/>
                <w:lang w:eastAsia="uk-UA"/>
              </w:rPr>
            </w:pPr>
            <w:r w:rsidRPr="009D3827">
              <w:rPr>
                <w:bCs/>
                <w:sz w:val="22"/>
                <w:szCs w:val="22"/>
                <w:lang w:eastAsia="uk-UA"/>
              </w:rPr>
              <w:t>Клас напруги</w:t>
            </w:r>
          </w:p>
        </w:tc>
        <w:tc>
          <w:tcPr>
            <w:tcW w:w="2347" w:type="dxa"/>
            <w:tcBorders>
              <w:top w:val="single" w:sz="8" w:space="0" w:color="auto"/>
              <w:left w:val="nil"/>
              <w:bottom w:val="single" w:sz="4" w:space="0" w:color="auto"/>
              <w:right w:val="single" w:sz="4" w:space="0" w:color="auto"/>
            </w:tcBorders>
            <w:vAlign w:val="center"/>
            <w:hideMark/>
          </w:tcPr>
          <w:p w:rsidR="00276080" w:rsidRPr="009D3827" w:rsidRDefault="00276080" w:rsidP="008C21AB">
            <w:pPr>
              <w:jc w:val="center"/>
              <w:rPr>
                <w:bCs/>
                <w:sz w:val="22"/>
                <w:szCs w:val="22"/>
                <w:lang w:eastAsia="uk-UA"/>
              </w:rPr>
            </w:pPr>
            <w:r w:rsidRPr="009D3827">
              <w:rPr>
                <w:bCs/>
                <w:sz w:val="22"/>
                <w:szCs w:val="22"/>
                <w:lang w:eastAsia="uk-UA"/>
              </w:rPr>
              <w:t xml:space="preserve">Економічні коефіцієнти прогнозованих технологічних витрат електроенергії </w:t>
            </w:r>
            <w:r w:rsidRPr="009D3827">
              <w:rPr>
                <w:sz w:val="22"/>
                <w:szCs w:val="22"/>
              </w:rPr>
              <w:t>(ЕКПТВЕ*100)</w:t>
            </w:r>
          </w:p>
        </w:tc>
        <w:tc>
          <w:tcPr>
            <w:tcW w:w="2896" w:type="dxa"/>
            <w:tcBorders>
              <w:top w:val="single" w:sz="8" w:space="0" w:color="auto"/>
              <w:left w:val="nil"/>
              <w:bottom w:val="single" w:sz="4" w:space="0" w:color="auto"/>
              <w:right w:val="single" w:sz="4" w:space="0" w:color="auto"/>
            </w:tcBorders>
            <w:vAlign w:val="center"/>
            <w:hideMark/>
          </w:tcPr>
          <w:p w:rsidR="00276080" w:rsidRPr="009D3827" w:rsidRDefault="00276080" w:rsidP="008C21AB">
            <w:pPr>
              <w:jc w:val="center"/>
              <w:rPr>
                <w:i/>
                <w:sz w:val="22"/>
                <w:szCs w:val="22"/>
              </w:rPr>
            </w:pPr>
            <w:r w:rsidRPr="009D3827">
              <w:rPr>
                <w:sz w:val="22"/>
                <w:szCs w:val="22"/>
              </w:rPr>
              <w:t xml:space="preserve">Фактичні витрати електроенергії  </w:t>
            </w:r>
            <w:r w:rsidRPr="009D3827">
              <w:rPr>
                <w:i/>
                <w:sz w:val="22"/>
                <w:szCs w:val="22"/>
              </w:rPr>
              <w:t>(як співвідношення до фактичних обсягів розподілу електричної енергії)</w:t>
            </w:r>
          </w:p>
          <w:p w:rsidR="00276080" w:rsidRPr="009D3827" w:rsidRDefault="00276080" w:rsidP="008C21AB">
            <w:pPr>
              <w:rPr>
                <w:sz w:val="22"/>
                <w:szCs w:val="22"/>
              </w:rPr>
            </w:pPr>
          </w:p>
        </w:tc>
        <w:tc>
          <w:tcPr>
            <w:tcW w:w="2199" w:type="dxa"/>
            <w:tcBorders>
              <w:top w:val="single" w:sz="8" w:space="0" w:color="auto"/>
              <w:left w:val="nil"/>
              <w:bottom w:val="single" w:sz="4" w:space="0" w:color="auto"/>
              <w:right w:val="single" w:sz="4" w:space="0" w:color="auto"/>
            </w:tcBorders>
            <w:noWrap/>
            <w:vAlign w:val="center"/>
            <w:hideMark/>
          </w:tcPr>
          <w:p w:rsidR="00276080" w:rsidRPr="009D3827" w:rsidRDefault="00276080" w:rsidP="008C21AB">
            <w:pPr>
              <w:jc w:val="center"/>
              <w:rPr>
                <w:bCs/>
                <w:sz w:val="22"/>
                <w:szCs w:val="22"/>
                <w:lang w:eastAsia="uk-UA"/>
              </w:rPr>
            </w:pPr>
            <w:r w:rsidRPr="009D3827">
              <w:rPr>
                <w:bCs/>
                <w:sz w:val="22"/>
                <w:szCs w:val="22"/>
                <w:lang w:eastAsia="uk-UA"/>
              </w:rPr>
              <w:t>Різниця</w:t>
            </w:r>
          </w:p>
        </w:tc>
        <w:tc>
          <w:tcPr>
            <w:tcW w:w="2418" w:type="dxa"/>
            <w:tcBorders>
              <w:top w:val="single" w:sz="4" w:space="0" w:color="auto"/>
              <w:left w:val="nil"/>
              <w:bottom w:val="single" w:sz="4" w:space="0" w:color="auto"/>
              <w:right w:val="single" w:sz="4" w:space="0" w:color="auto"/>
            </w:tcBorders>
          </w:tcPr>
          <w:p w:rsidR="00276080" w:rsidRPr="009D3827" w:rsidRDefault="00276080" w:rsidP="008C21AB">
            <w:pPr>
              <w:jc w:val="center"/>
              <w:rPr>
                <w:b/>
                <w:bCs/>
                <w:iCs/>
                <w:color w:val="000000" w:themeColor="text1"/>
                <w:sz w:val="22"/>
                <w:szCs w:val="22"/>
                <w:lang w:eastAsia="uk-UA"/>
              </w:rPr>
            </w:pPr>
            <w:r w:rsidRPr="009D3827">
              <w:rPr>
                <w:b/>
                <w:bCs/>
                <w:sz w:val="22"/>
                <w:szCs w:val="22"/>
              </w:rPr>
              <w:t>Показник ефективності технологічних витрат електроенергії на 1 класі напруги</w:t>
            </w:r>
          </w:p>
        </w:tc>
        <w:tc>
          <w:tcPr>
            <w:tcW w:w="2480" w:type="dxa"/>
            <w:tcBorders>
              <w:top w:val="single" w:sz="4" w:space="0" w:color="auto"/>
              <w:left w:val="single" w:sz="4" w:space="0" w:color="auto"/>
              <w:bottom w:val="single" w:sz="4" w:space="0" w:color="auto"/>
              <w:right w:val="single" w:sz="4" w:space="0" w:color="auto"/>
            </w:tcBorders>
            <w:noWrap/>
            <w:vAlign w:val="center"/>
            <w:hideMark/>
          </w:tcPr>
          <w:p w:rsidR="00276080" w:rsidRPr="009D3827" w:rsidRDefault="00276080" w:rsidP="0063264B">
            <w:pPr>
              <w:ind w:left="269" w:hanging="269"/>
              <w:jc w:val="center"/>
              <w:rPr>
                <w:b/>
                <w:sz w:val="22"/>
                <w:szCs w:val="22"/>
                <w:lang w:eastAsia="uk-UA"/>
              </w:rPr>
            </w:pPr>
            <w:r w:rsidRPr="009D3827">
              <w:rPr>
                <w:b/>
                <w:iCs/>
                <w:color w:val="000000" w:themeColor="text1"/>
                <w:sz w:val="22"/>
                <w:szCs w:val="22"/>
                <w:lang w:eastAsia="uk-UA"/>
              </w:rPr>
              <w:t>Відсоток зміни фактичних витрат до фактичних показників попереднього року %</w:t>
            </w:r>
          </w:p>
        </w:tc>
      </w:tr>
      <w:tr w:rsidR="00276080" w:rsidRPr="009D3827" w:rsidTr="0063264B">
        <w:trPr>
          <w:trHeight w:val="300"/>
        </w:trPr>
        <w:tc>
          <w:tcPr>
            <w:tcW w:w="1637" w:type="dxa"/>
            <w:vMerge/>
            <w:tcBorders>
              <w:top w:val="single" w:sz="8" w:space="0" w:color="auto"/>
              <w:left w:val="single" w:sz="8" w:space="0" w:color="auto"/>
              <w:bottom w:val="single" w:sz="8" w:space="0" w:color="000000"/>
              <w:right w:val="single" w:sz="4" w:space="0" w:color="auto"/>
            </w:tcBorders>
            <w:vAlign w:val="center"/>
            <w:hideMark/>
          </w:tcPr>
          <w:p w:rsidR="00276080" w:rsidRPr="009D3827" w:rsidRDefault="00276080" w:rsidP="008C21AB">
            <w:pPr>
              <w:rPr>
                <w:b/>
                <w:bCs/>
                <w:sz w:val="22"/>
                <w:szCs w:val="22"/>
                <w:lang w:eastAsia="uk-UA"/>
              </w:rPr>
            </w:pPr>
          </w:p>
        </w:tc>
        <w:tc>
          <w:tcPr>
            <w:tcW w:w="1340" w:type="dxa"/>
            <w:vMerge/>
            <w:tcBorders>
              <w:top w:val="single" w:sz="8" w:space="0" w:color="auto"/>
              <w:left w:val="single" w:sz="4" w:space="0" w:color="auto"/>
              <w:bottom w:val="single" w:sz="8" w:space="0" w:color="000000"/>
              <w:right w:val="single" w:sz="4" w:space="0" w:color="auto"/>
            </w:tcBorders>
            <w:vAlign w:val="center"/>
            <w:hideMark/>
          </w:tcPr>
          <w:p w:rsidR="00276080" w:rsidRPr="009D3827" w:rsidRDefault="00276080" w:rsidP="008C21AB">
            <w:pPr>
              <w:rPr>
                <w:b/>
                <w:bCs/>
                <w:sz w:val="22"/>
                <w:szCs w:val="22"/>
                <w:lang w:eastAsia="uk-UA"/>
              </w:rPr>
            </w:pPr>
          </w:p>
        </w:tc>
        <w:tc>
          <w:tcPr>
            <w:tcW w:w="2347" w:type="dxa"/>
            <w:tcBorders>
              <w:top w:val="nil"/>
              <w:left w:val="nil"/>
              <w:bottom w:val="single" w:sz="8" w:space="0" w:color="auto"/>
              <w:right w:val="single" w:sz="4" w:space="0" w:color="auto"/>
            </w:tcBorders>
            <w:noWrap/>
            <w:vAlign w:val="center"/>
            <w:hideMark/>
          </w:tcPr>
          <w:p w:rsidR="00276080" w:rsidRPr="009D3827" w:rsidRDefault="00276080" w:rsidP="008C21AB">
            <w:pPr>
              <w:jc w:val="center"/>
              <w:rPr>
                <w:sz w:val="22"/>
                <w:szCs w:val="22"/>
                <w:lang w:eastAsia="uk-UA"/>
              </w:rPr>
            </w:pPr>
            <w:r w:rsidRPr="009D3827">
              <w:rPr>
                <w:sz w:val="22"/>
                <w:szCs w:val="22"/>
                <w:lang w:eastAsia="uk-UA"/>
              </w:rPr>
              <w:t>%</w:t>
            </w:r>
          </w:p>
        </w:tc>
        <w:tc>
          <w:tcPr>
            <w:tcW w:w="2896" w:type="dxa"/>
            <w:tcBorders>
              <w:top w:val="nil"/>
              <w:left w:val="nil"/>
              <w:bottom w:val="single" w:sz="8" w:space="0" w:color="auto"/>
              <w:right w:val="single" w:sz="4" w:space="0" w:color="auto"/>
            </w:tcBorders>
            <w:noWrap/>
            <w:vAlign w:val="bottom"/>
            <w:hideMark/>
          </w:tcPr>
          <w:p w:rsidR="00276080" w:rsidRPr="009D3827" w:rsidRDefault="00276080" w:rsidP="008C21AB">
            <w:pPr>
              <w:jc w:val="center"/>
              <w:rPr>
                <w:sz w:val="22"/>
                <w:szCs w:val="22"/>
                <w:lang w:eastAsia="uk-UA"/>
              </w:rPr>
            </w:pPr>
            <w:r w:rsidRPr="009D3827">
              <w:rPr>
                <w:sz w:val="22"/>
                <w:szCs w:val="22"/>
                <w:lang w:eastAsia="uk-UA"/>
              </w:rPr>
              <w:t>%</w:t>
            </w:r>
          </w:p>
        </w:tc>
        <w:tc>
          <w:tcPr>
            <w:tcW w:w="2199" w:type="dxa"/>
            <w:tcBorders>
              <w:top w:val="nil"/>
              <w:left w:val="nil"/>
              <w:bottom w:val="single" w:sz="8" w:space="0" w:color="auto"/>
              <w:right w:val="single" w:sz="4" w:space="0" w:color="auto"/>
            </w:tcBorders>
            <w:noWrap/>
            <w:vAlign w:val="bottom"/>
            <w:hideMark/>
          </w:tcPr>
          <w:p w:rsidR="00276080" w:rsidRPr="009D3827" w:rsidRDefault="00276080" w:rsidP="008C21AB">
            <w:pPr>
              <w:jc w:val="center"/>
              <w:rPr>
                <w:sz w:val="22"/>
                <w:szCs w:val="22"/>
                <w:lang w:eastAsia="uk-UA"/>
              </w:rPr>
            </w:pPr>
            <w:r w:rsidRPr="009D3827">
              <w:rPr>
                <w:sz w:val="22"/>
                <w:szCs w:val="22"/>
                <w:lang w:eastAsia="uk-UA"/>
              </w:rPr>
              <w:t>%</w:t>
            </w:r>
          </w:p>
        </w:tc>
        <w:tc>
          <w:tcPr>
            <w:tcW w:w="2418" w:type="dxa"/>
            <w:tcBorders>
              <w:top w:val="single" w:sz="4" w:space="0" w:color="auto"/>
              <w:left w:val="nil"/>
              <w:bottom w:val="single" w:sz="4" w:space="0" w:color="auto"/>
              <w:right w:val="single" w:sz="4" w:space="0" w:color="auto"/>
            </w:tcBorders>
          </w:tcPr>
          <w:p w:rsidR="00276080" w:rsidRPr="009D3827" w:rsidRDefault="00276080" w:rsidP="008C21AB">
            <w:pPr>
              <w:jc w:val="center"/>
              <w:rPr>
                <w:sz w:val="22"/>
                <w:szCs w:val="22"/>
                <w:lang w:eastAsia="uk-UA"/>
              </w:rPr>
            </w:pPr>
            <w:r w:rsidRPr="009D3827">
              <w:rPr>
                <w:sz w:val="22"/>
                <w:szCs w:val="22"/>
                <w:lang w:eastAsia="uk-UA"/>
              </w:rPr>
              <w:t>%</w:t>
            </w:r>
          </w:p>
        </w:tc>
        <w:tc>
          <w:tcPr>
            <w:tcW w:w="2480" w:type="dxa"/>
            <w:tcBorders>
              <w:top w:val="single" w:sz="4" w:space="0" w:color="auto"/>
              <w:left w:val="single" w:sz="4" w:space="0" w:color="auto"/>
              <w:bottom w:val="single" w:sz="4" w:space="0" w:color="auto"/>
              <w:right w:val="single" w:sz="4" w:space="0" w:color="auto"/>
            </w:tcBorders>
            <w:noWrap/>
            <w:vAlign w:val="bottom"/>
            <w:hideMark/>
          </w:tcPr>
          <w:p w:rsidR="00276080" w:rsidRPr="009D3827" w:rsidRDefault="00276080" w:rsidP="008C21AB">
            <w:pPr>
              <w:jc w:val="center"/>
              <w:rPr>
                <w:sz w:val="22"/>
                <w:szCs w:val="22"/>
                <w:lang w:eastAsia="uk-UA"/>
              </w:rPr>
            </w:pPr>
            <w:r w:rsidRPr="009D3827">
              <w:rPr>
                <w:sz w:val="22"/>
                <w:szCs w:val="22"/>
                <w:lang w:eastAsia="uk-UA"/>
              </w:rPr>
              <w:t>%</w:t>
            </w:r>
          </w:p>
        </w:tc>
      </w:tr>
      <w:tr w:rsidR="00276080" w:rsidRPr="009D3827" w:rsidTr="0063264B">
        <w:trPr>
          <w:trHeight w:val="300"/>
        </w:trPr>
        <w:tc>
          <w:tcPr>
            <w:tcW w:w="1637" w:type="dxa"/>
            <w:vMerge w:val="restart"/>
            <w:tcBorders>
              <w:top w:val="single" w:sz="8" w:space="0" w:color="auto"/>
              <w:left w:val="single" w:sz="8" w:space="0" w:color="auto"/>
              <w:right w:val="single" w:sz="4" w:space="0" w:color="auto"/>
            </w:tcBorders>
            <w:vAlign w:val="center"/>
          </w:tcPr>
          <w:p w:rsidR="00276080" w:rsidRPr="009D3827" w:rsidRDefault="00276080" w:rsidP="008C21AB">
            <w:pPr>
              <w:jc w:val="center"/>
              <w:rPr>
                <w:sz w:val="22"/>
                <w:szCs w:val="22"/>
              </w:rPr>
            </w:pPr>
            <w:r w:rsidRPr="009D3827">
              <w:rPr>
                <w:sz w:val="22"/>
                <w:szCs w:val="22"/>
              </w:rPr>
              <w:t>Рік до переходу до стимулюючого регулювання</w:t>
            </w:r>
          </w:p>
        </w:tc>
        <w:tc>
          <w:tcPr>
            <w:tcW w:w="1340" w:type="dxa"/>
            <w:tcBorders>
              <w:top w:val="single" w:sz="8" w:space="0" w:color="auto"/>
              <w:left w:val="single" w:sz="4" w:space="0" w:color="auto"/>
              <w:bottom w:val="single" w:sz="8" w:space="0" w:color="000000"/>
              <w:right w:val="single" w:sz="4" w:space="0" w:color="auto"/>
            </w:tcBorders>
            <w:vAlign w:val="bottom"/>
          </w:tcPr>
          <w:p w:rsidR="00276080" w:rsidRPr="009D3827" w:rsidRDefault="00276080" w:rsidP="008C21AB">
            <w:pPr>
              <w:rPr>
                <w:sz w:val="22"/>
                <w:szCs w:val="22"/>
                <w:lang w:eastAsia="uk-UA"/>
              </w:rPr>
            </w:pPr>
            <w:r w:rsidRPr="009D3827">
              <w:rPr>
                <w:sz w:val="22"/>
                <w:szCs w:val="22"/>
                <w:lang w:eastAsia="uk-UA"/>
              </w:rPr>
              <w:t>1 клас</w:t>
            </w:r>
          </w:p>
        </w:tc>
        <w:tc>
          <w:tcPr>
            <w:tcW w:w="2347" w:type="dxa"/>
            <w:tcBorders>
              <w:top w:val="nil"/>
              <w:left w:val="nil"/>
              <w:bottom w:val="single" w:sz="8" w:space="0" w:color="auto"/>
              <w:right w:val="single" w:sz="4" w:space="0" w:color="auto"/>
            </w:tcBorders>
            <w:noWrap/>
            <w:vAlign w:val="center"/>
          </w:tcPr>
          <w:p w:rsidR="00276080" w:rsidRPr="009D3827" w:rsidRDefault="00276080" w:rsidP="008C21AB">
            <w:pPr>
              <w:jc w:val="center"/>
              <w:rPr>
                <w:sz w:val="22"/>
                <w:szCs w:val="22"/>
                <w:lang w:eastAsia="uk-UA"/>
              </w:rPr>
            </w:pPr>
          </w:p>
        </w:tc>
        <w:tc>
          <w:tcPr>
            <w:tcW w:w="2896" w:type="dxa"/>
            <w:tcBorders>
              <w:top w:val="nil"/>
              <w:left w:val="nil"/>
              <w:bottom w:val="single" w:sz="8" w:space="0" w:color="auto"/>
              <w:right w:val="single" w:sz="4" w:space="0" w:color="auto"/>
            </w:tcBorders>
            <w:noWrap/>
            <w:vAlign w:val="bottom"/>
          </w:tcPr>
          <w:p w:rsidR="00276080" w:rsidRPr="009D3827" w:rsidRDefault="00276080" w:rsidP="008C21AB">
            <w:pPr>
              <w:jc w:val="center"/>
              <w:rPr>
                <w:sz w:val="22"/>
                <w:szCs w:val="22"/>
                <w:lang w:eastAsia="uk-UA"/>
              </w:rPr>
            </w:pPr>
          </w:p>
        </w:tc>
        <w:tc>
          <w:tcPr>
            <w:tcW w:w="2199" w:type="dxa"/>
            <w:tcBorders>
              <w:top w:val="nil"/>
              <w:left w:val="nil"/>
              <w:bottom w:val="single" w:sz="8" w:space="0" w:color="auto"/>
              <w:right w:val="single" w:sz="4" w:space="0" w:color="auto"/>
            </w:tcBorders>
            <w:noWrap/>
            <w:vAlign w:val="bottom"/>
          </w:tcPr>
          <w:p w:rsidR="00276080" w:rsidRPr="009D3827" w:rsidRDefault="00276080" w:rsidP="008C21AB">
            <w:pPr>
              <w:jc w:val="center"/>
              <w:rPr>
                <w:sz w:val="22"/>
                <w:szCs w:val="22"/>
                <w:lang w:eastAsia="uk-UA"/>
              </w:rPr>
            </w:pPr>
          </w:p>
        </w:tc>
        <w:tc>
          <w:tcPr>
            <w:tcW w:w="2418" w:type="dxa"/>
            <w:tcBorders>
              <w:top w:val="single" w:sz="4" w:space="0" w:color="auto"/>
              <w:left w:val="nil"/>
              <w:bottom w:val="single" w:sz="4" w:space="0" w:color="auto"/>
              <w:right w:val="single" w:sz="4" w:space="0" w:color="auto"/>
            </w:tcBorders>
            <w:vAlign w:val="bottom"/>
          </w:tcPr>
          <w:p w:rsidR="00276080" w:rsidRPr="009D3827" w:rsidRDefault="00276080" w:rsidP="008C21AB">
            <w:pPr>
              <w:jc w:val="center"/>
              <w:rPr>
                <w:sz w:val="22"/>
                <w:szCs w:val="22"/>
                <w:lang w:eastAsia="uk-UA"/>
              </w:rPr>
            </w:pPr>
            <w:r w:rsidRPr="009D3827">
              <w:rPr>
                <w:sz w:val="22"/>
                <w:szCs w:val="22"/>
                <w:lang w:eastAsia="uk-UA"/>
              </w:rPr>
              <w:t>-</w:t>
            </w:r>
          </w:p>
        </w:tc>
        <w:tc>
          <w:tcPr>
            <w:tcW w:w="2480" w:type="dxa"/>
            <w:tcBorders>
              <w:top w:val="single" w:sz="4" w:space="0" w:color="auto"/>
              <w:left w:val="single" w:sz="4" w:space="0" w:color="auto"/>
              <w:bottom w:val="single" w:sz="4" w:space="0" w:color="auto"/>
              <w:right w:val="single" w:sz="4" w:space="0" w:color="auto"/>
            </w:tcBorders>
            <w:noWrap/>
            <w:vAlign w:val="bottom"/>
          </w:tcPr>
          <w:p w:rsidR="00276080" w:rsidRPr="009D3827" w:rsidRDefault="00276080" w:rsidP="008C21AB">
            <w:pPr>
              <w:jc w:val="center"/>
              <w:rPr>
                <w:sz w:val="22"/>
                <w:szCs w:val="22"/>
                <w:lang w:eastAsia="uk-UA"/>
              </w:rPr>
            </w:pPr>
            <w:r w:rsidRPr="009D3827">
              <w:rPr>
                <w:sz w:val="22"/>
                <w:szCs w:val="22"/>
                <w:lang w:eastAsia="uk-UA"/>
              </w:rPr>
              <w:t>-</w:t>
            </w:r>
          </w:p>
        </w:tc>
      </w:tr>
      <w:tr w:rsidR="00276080" w:rsidRPr="009D3827" w:rsidTr="0063264B">
        <w:trPr>
          <w:trHeight w:val="300"/>
        </w:trPr>
        <w:tc>
          <w:tcPr>
            <w:tcW w:w="1637" w:type="dxa"/>
            <w:vMerge/>
            <w:tcBorders>
              <w:left w:val="single" w:sz="8" w:space="0" w:color="auto"/>
              <w:bottom w:val="single" w:sz="8" w:space="0" w:color="000000"/>
              <w:right w:val="single" w:sz="4" w:space="0" w:color="auto"/>
            </w:tcBorders>
            <w:vAlign w:val="center"/>
          </w:tcPr>
          <w:p w:rsidR="00276080" w:rsidRPr="009D3827" w:rsidRDefault="00276080" w:rsidP="008C21AB">
            <w:pPr>
              <w:rPr>
                <w:b/>
                <w:bCs/>
                <w:sz w:val="22"/>
                <w:szCs w:val="22"/>
                <w:lang w:eastAsia="uk-UA"/>
              </w:rPr>
            </w:pPr>
          </w:p>
        </w:tc>
        <w:tc>
          <w:tcPr>
            <w:tcW w:w="1340" w:type="dxa"/>
            <w:tcBorders>
              <w:top w:val="single" w:sz="8" w:space="0" w:color="auto"/>
              <w:left w:val="single" w:sz="4" w:space="0" w:color="auto"/>
              <w:bottom w:val="single" w:sz="8" w:space="0" w:color="000000"/>
              <w:right w:val="single" w:sz="4" w:space="0" w:color="auto"/>
            </w:tcBorders>
            <w:vAlign w:val="bottom"/>
          </w:tcPr>
          <w:p w:rsidR="00276080" w:rsidRPr="009D3827" w:rsidRDefault="00276080" w:rsidP="008C21AB">
            <w:pPr>
              <w:rPr>
                <w:sz w:val="22"/>
                <w:szCs w:val="22"/>
                <w:lang w:eastAsia="uk-UA"/>
              </w:rPr>
            </w:pPr>
            <w:r w:rsidRPr="009D3827">
              <w:rPr>
                <w:sz w:val="22"/>
                <w:szCs w:val="22"/>
                <w:lang w:eastAsia="uk-UA"/>
              </w:rPr>
              <w:t>2 клас</w:t>
            </w:r>
          </w:p>
        </w:tc>
        <w:tc>
          <w:tcPr>
            <w:tcW w:w="2347" w:type="dxa"/>
            <w:tcBorders>
              <w:top w:val="nil"/>
              <w:left w:val="nil"/>
              <w:bottom w:val="single" w:sz="8" w:space="0" w:color="auto"/>
              <w:right w:val="single" w:sz="4" w:space="0" w:color="auto"/>
            </w:tcBorders>
            <w:noWrap/>
            <w:vAlign w:val="center"/>
          </w:tcPr>
          <w:p w:rsidR="00276080" w:rsidRPr="009D3827" w:rsidRDefault="00276080" w:rsidP="008C21AB">
            <w:pPr>
              <w:jc w:val="center"/>
              <w:rPr>
                <w:sz w:val="22"/>
                <w:szCs w:val="22"/>
                <w:lang w:eastAsia="uk-UA"/>
              </w:rPr>
            </w:pPr>
          </w:p>
        </w:tc>
        <w:tc>
          <w:tcPr>
            <w:tcW w:w="2896" w:type="dxa"/>
            <w:tcBorders>
              <w:top w:val="nil"/>
              <w:left w:val="nil"/>
              <w:bottom w:val="single" w:sz="8" w:space="0" w:color="auto"/>
              <w:right w:val="single" w:sz="4" w:space="0" w:color="auto"/>
            </w:tcBorders>
            <w:noWrap/>
            <w:vAlign w:val="bottom"/>
          </w:tcPr>
          <w:p w:rsidR="00276080" w:rsidRPr="009D3827" w:rsidRDefault="00276080" w:rsidP="008C21AB">
            <w:pPr>
              <w:jc w:val="center"/>
              <w:rPr>
                <w:sz w:val="22"/>
                <w:szCs w:val="22"/>
                <w:lang w:eastAsia="uk-UA"/>
              </w:rPr>
            </w:pPr>
          </w:p>
        </w:tc>
        <w:tc>
          <w:tcPr>
            <w:tcW w:w="2199" w:type="dxa"/>
            <w:tcBorders>
              <w:top w:val="nil"/>
              <w:left w:val="nil"/>
              <w:bottom w:val="single" w:sz="8" w:space="0" w:color="auto"/>
              <w:right w:val="single" w:sz="4" w:space="0" w:color="auto"/>
            </w:tcBorders>
            <w:noWrap/>
            <w:vAlign w:val="bottom"/>
          </w:tcPr>
          <w:p w:rsidR="00276080" w:rsidRPr="009D3827" w:rsidRDefault="00276080" w:rsidP="008C21AB">
            <w:pPr>
              <w:jc w:val="center"/>
              <w:rPr>
                <w:sz w:val="22"/>
                <w:szCs w:val="22"/>
                <w:lang w:eastAsia="uk-UA"/>
              </w:rPr>
            </w:pPr>
          </w:p>
        </w:tc>
        <w:tc>
          <w:tcPr>
            <w:tcW w:w="2418" w:type="dxa"/>
            <w:tcBorders>
              <w:top w:val="single" w:sz="4" w:space="0" w:color="auto"/>
              <w:left w:val="nil"/>
              <w:bottom w:val="single" w:sz="4" w:space="0" w:color="auto"/>
              <w:right w:val="single" w:sz="4" w:space="0" w:color="auto"/>
            </w:tcBorders>
            <w:vAlign w:val="bottom"/>
          </w:tcPr>
          <w:p w:rsidR="00276080" w:rsidRPr="009D3827" w:rsidRDefault="00276080" w:rsidP="008C21AB">
            <w:pPr>
              <w:jc w:val="center"/>
              <w:rPr>
                <w:sz w:val="22"/>
                <w:szCs w:val="22"/>
                <w:lang w:eastAsia="uk-UA"/>
              </w:rPr>
            </w:pPr>
            <w:r w:rsidRPr="009D3827">
              <w:rPr>
                <w:sz w:val="22"/>
                <w:szCs w:val="22"/>
                <w:lang w:eastAsia="uk-UA"/>
              </w:rPr>
              <w:t>-</w:t>
            </w:r>
          </w:p>
        </w:tc>
        <w:tc>
          <w:tcPr>
            <w:tcW w:w="2480" w:type="dxa"/>
            <w:tcBorders>
              <w:top w:val="single" w:sz="4" w:space="0" w:color="auto"/>
              <w:left w:val="single" w:sz="4" w:space="0" w:color="auto"/>
              <w:bottom w:val="single" w:sz="4" w:space="0" w:color="auto"/>
              <w:right w:val="single" w:sz="4" w:space="0" w:color="auto"/>
            </w:tcBorders>
            <w:noWrap/>
            <w:vAlign w:val="bottom"/>
          </w:tcPr>
          <w:p w:rsidR="00276080" w:rsidRPr="009D3827" w:rsidRDefault="00276080" w:rsidP="008C21AB">
            <w:pPr>
              <w:jc w:val="center"/>
              <w:rPr>
                <w:sz w:val="22"/>
                <w:szCs w:val="22"/>
                <w:lang w:eastAsia="uk-UA"/>
              </w:rPr>
            </w:pPr>
            <w:r w:rsidRPr="009D3827">
              <w:rPr>
                <w:sz w:val="22"/>
                <w:szCs w:val="22"/>
                <w:lang w:eastAsia="uk-UA"/>
              </w:rPr>
              <w:t>-</w:t>
            </w:r>
          </w:p>
        </w:tc>
      </w:tr>
      <w:tr w:rsidR="00276080" w:rsidRPr="009D3827" w:rsidTr="0063264B">
        <w:trPr>
          <w:trHeight w:val="288"/>
        </w:trPr>
        <w:tc>
          <w:tcPr>
            <w:tcW w:w="1637" w:type="dxa"/>
            <w:vMerge w:val="restart"/>
            <w:tcBorders>
              <w:top w:val="nil"/>
              <w:left w:val="single" w:sz="8" w:space="0" w:color="auto"/>
              <w:bottom w:val="single" w:sz="4" w:space="0" w:color="auto"/>
              <w:right w:val="single" w:sz="4" w:space="0" w:color="auto"/>
            </w:tcBorders>
            <w:noWrap/>
            <w:vAlign w:val="center"/>
            <w:hideMark/>
          </w:tcPr>
          <w:p w:rsidR="00276080" w:rsidRPr="009D3827" w:rsidRDefault="00276080" w:rsidP="008C21AB">
            <w:pPr>
              <w:jc w:val="center"/>
              <w:rPr>
                <w:sz w:val="22"/>
                <w:szCs w:val="22"/>
                <w:lang w:eastAsia="uk-UA"/>
              </w:rPr>
            </w:pPr>
            <w:r w:rsidRPr="009D3827">
              <w:rPr>
                <w:sz w:val="22"/>
                <w:szCs w:val="22"/>
              </w:rPr>
              <w:t>1 рік першого регуляторного періоду</w:t>
            </w:r>
          </w:p>
        </w:tc>
        <w:tc>
          <w:tcPr>
            <w:tcW w:w="1340" w:type="dxa"/>
            <w:tcBorders>
              <w:top w:val="nil"/>
              <w:left w:val="nil"/>
              <w:bottom w:val="single" w:sz="4" w:space="0" w:color="auto"/>
              <w:right w:val="single" w:sz="4" w:space="0" w:color="auto"/>
            </w:tcBorders>
            <w:noWrap/>
            <w:vAlign w:val="bottom"/>
            <w:hideMark/>
          </w:tcPr>
          <w:p w:rsidR="00276080" w:rsidRPr="009D3827" w:rsidRDefault="00276080" w:rsidP="008C21AB">
            <w:pPr>
              <w:rPr>
                <w:sz w:val="22"/>
                <w:szCs w:val="22"/>
                <w:lang w:eastAsia="uk-UA"/>
              </w:rPr>
            </w:pPr>
            <w:r w:rsidRPr="009D3827">
              <w:rPr>
                <w:sz w:val="22"/>
                <w:szCs w:val="22"/>
                <w:lang w:eastAsia="uk-UA"/>
              </w:rPr>
              <w:t>1 клас</w:t>
            </w:r>
          </w:p>
        </w:tc>
        <w:tc>
          <w:tcPr>
            <w:tcW w:w="2347" w:type="dxa"/>
            <w:tcBorders>
              <w:top w:val="nil"/>
              <w:left w:val="nil"/>
              <w:bottom w:val="single" w:sz="4" w:space="0" w:color="auto"/>
              <w:right w:val="single" w:sz="4" w:space="0" w:color="auto"/>
            </w:tcBorders>
            <w:noWrap/>
            <w:vAlign w:val="bottom"/>
            <w:hideMark/>
          </w:tcPr>
          <w:p w:rsidR="00276080" w:rsidRPr="009D3827" w:rsidRDefault="00276080" w:rsidP="008C21AB">
            <w:pPr>
              <w:jc w:val="center"/>
              <w:rPr>
                <w:sz w:val="22"/>
                <w:szCs w:val="22"/>
                <w:lang w:eastAsia="uk-UA"/>
              </w:rPr>
            </w:pPr>
          </w:p>
        </w:tc>
        <w:tc>
          <w:tcPr>
            <w:tcW w:w="2896" w:type="dxa"/>
            <w:tcBorders>
              <w:top w:val="nil"/>
              <w:left w:val="nil"/>
              <w:bottom w:val="single" w:sz="4" w:space="0" w:color="auto"/>
              <w:right w:val="single" w:sz="4" w:space="0" w:color="auto"/>
            </w:tcBorders>
            <w:noWrap/>
            <w:vAlign w:val="bottom"/>
            <w:hideMark/>
          </w:tcPr>
          <w:p w:rsidR="00276080" w:rsidRPr="009D3827" w:rsidRDefault="00276080" w:rsidP="008C21AB">
            <w:pPr>
              <w:jc w:val="center"/>
              <w:rPr>
                <w:sz w:val="22"/>
                <w:szCs w:val="22"/>
                <w:lang w:eastAsia="uk-UA"/>
              </w:rPr>
            </w:pPr>
          </w:p>
        </w:tc>
        <w:tc>
          <w:tcPr>
            <w:tcW w:w="2199" w:type="dxa"/>
            <w:tcBorders>
              <w:top w:val="nil"/>
              <w:left w:val="nil"/>
              <w:bottom w:val="single" w:sz="4" w:space="0" w:color="auto"/>
              <w:right w:val="single" w:sz="4" w:space="0" w:color="auto"/>
            </w:tcBorders>
            <w:noWrap/>
            <w:vAlign w:val="bottom"/>
            <w:hideMark/>
          </w:tcPr>
          <w:p w:rsidR="00276080" w:rsidRPr="009D3827" w:rsidRDefault="00276080" w:rsidP="008C21AB">
            <w:pPr>
              <w:jc w:val="center"/>
              <w:rPr>
                <w:sz w:val="22"/>
                <w:szCs w:val="22"/>
                <w:lang w:eastAsia="uk-UA"/>
              </w:rPr>
            </w:pPr>
          </w:p>
        </w:tc>
        <w:tc>
          <w:tcPr>
            <w:tcW w:w="2418" w:type="dxa"/>
            <w:tcBorders>
              <w:top w:val="single" w:sz="4" w:space="0" w:color="auto"/>
              <w:left w:val="nil"/>
              <w:bottom w:val="single" w:sz="4" w:space="0" w:color="auto"/>
              <w:right w:val="single" w:sz="4" w:space="0" w:color="auto"/>
            </w:tcBorders>
          </w:tcPr>
          <w:p w:rsidR="00276080" w:rsidRPr="009D3827" w:rsidRDefault="00276080" w:rsidP="008C21AB">
            <w:pPr>
              <w:jc w:val="center"/>
              <w:rPr>
                <w:sz w:val="22"/>
                <w:szCs w:val="22"/>
                <w:lang w:eastAsia="uk-UA"/>
              </w:rPr>
            </w:pPr>
            <w:r w:rsidRPr="009D3827">
              <w:rPr>
                <w:sz w:val="22"/>
                <w:szCs w:val="22"/>
                <w:lang w:eastAsia="uk-UA"/>
              </w:rPr>
              <w:t>1%</w:t>
            </w:r>
          </w:p>
        </w:tc>
        <w:tc>
          <w:tcPr>
            <w:tcW w:w="2480" w:type="dxa"/>
            <w:tcBorders>
              <w:top w:val="single" w:sz="4" w:space="0" w:color="auto"/>
              <w:left w:val="single" w:sz="4" w:space="0" w:color="auto"/>
              <w:bottom w:val="single" w:sz="4" w:space="0" w:color="auto"/>
              <w:right w:val="single" w:sz="4" w:space="0" w:color="auto"/>
            </w:tcBorders>
            <w:noWrap/>
            <w:vAlign w:val="bottom"/>
            <w:hideMark/>
          </w:tcPr>
          <w:p w:rsidR="00276080" w:rsidRPr="009D3827" w:rsidRDefault="00276080" w:rsidP="008C21AB">
            <w:pPr>
              <w:jc w:val="center"/>
              <w:rPr>
                <w:sz w:val="22"/>
                <w:szCs w:val="22"/>
                <w:lang w:eastAsia="uk-UA"/>
              </w:rPr>
            </w:pPr>
          </w:p>
        </w:tc>
      </w:tr>
      <w:tr w:rsidR="00276080" w:rsidRPr="009D3827" w:rsidTr="0063264B">
        <w:trPr>
          <w:trHeight w:val="431"/>
        </w:trPr>
        <w:tc>
          <w:tcPr>
            <w:tcW w:w="1637" w:type="dxa"/>
            <w:vMerge/>
            <w:tcBorders>
              <w:top w:val="nil"/>
              <w:left w:val="single" w:sz="8" w:space="0" w:color="auto"/>
              <w:bottom w:val="single" w:sz="4" w:space="0" w:color="auto"/>
              <w:right w:val="single" w:sz="4" w:space="0" w:color="auto"/>
            </w:tcBorders>
            <w:vAlign w:val="center"/>
            <w:hideMark/>
          </w:tcPr>
          <w:p w:rsidR="00276080" w:rsidRPr="009D3827" w:rsidRDefault="00276080" w:rsidP="008C21AB">
            <w:pPr>
              <w:rPr>
                <w:sz w:val="22"/>
                <w:szCs w:val="22"/>
                <w:lang w:eastAsia="uk-UA"/>
              </w:rPr>
            </w:pPr>
          </w:p>
        </w:tc>
        <w:tc>
          <w:tcPr>
            <w:tcW w:w="1340" w:type="dxa"/>
            <w:tcBorders>
              <w:top w:val="nil"/>
              <w:left w:val="nil"/>
              <w:bottom w:val="single" w:sz="4" w:space="0" w:color="auto"/>
              <w:right w:val="single" w:sz="4" w:space="0" w:color="auto"/>
            </w:tcBorders>
            <w:noWrap/>
            <w:vAlign w:val="bottom"/>
            <w:hideMark/>
          </w:tcPr>
          <w:p w:rsidR="00276080" w:rsidRPr="009D3827" w:rsidRDefault="00276080" w:rsidP="008C21AB">
            <w:pPr>
              <w:rPr>
                <w:sz w:val="22"/>
                <w:szCs w:val="22"/>
                <w:lang w:eastAsia="uk-UA"/>
              </w:rPr>
            </w:pPr>
            <w:r w:rsidRPr="009D3827">
              <w:rPr>
                <w:sz w:val="22"/>
                <w:szCs w:val="22"/>
                <w:lang w:eastAsia="uk-UA"/>
              </w:rPr>
              <w:t>2 клас</w:t>
            </w:r>
          </w:p>
        </w:tc>
        <w:tc>
          <w:tcPr>
            <w:tcW w:w="2347" w:type="dxa"/>
            <w:tcBorders>
              <w:top w:val="nil"/>
              <w:left w:val="nil"/>
              <w:bottom w:val="single" w:sz="4" w:space="0" w:color="auto"/>
              <w:right w:val="single" w:sz="4" w:space="0" w:color="auto"/>
            </w:tcBorders>
            <w:noWrap/>
            <w:vAlign w:val="bottom"/>
            <w:hideMark/>
          </w:tcPr>
          <w:p w:rsidR="00276080" w:rsidRPr="009D3827" w:rsidRDefault="00276080" w:rsidP="008C21AB">
            <w:pPr>
              <w:jc w:val="center"/>
              <w:rPr>
                <w:sz w:val="22"/>
                <w:szCs w:val="22"/>
                <w:lang w:eastAsia="uk-UA"/>
              </w:rPr>
            </w:pPr>
          </w:p>
        </w:tc>
        <w:tc>
          <w:tcPr>
            <w:tcW w:w="2896" w:type="dxa"/>
            <w:tcBorders>
              <w:top w:val="nil"/>
              <w:left w:val="nil"/>
              <w:bottom w:val="single" w:sz="4" w:space="0" w:color="auto"/>
              <w:right w:val="single" w:sz="4" w:space="0" w:color="auto"/>
            </w:tcBorders>
            <w:noWrap/>
            <w:vAlign w:val="bottom"/>
            <w:hideMark/>
          </w:tcPr>
          <w:p w:rsidR="00276080" w:rsidRPr="009D3827" w:rsidRDefault="00276080" w:rsidP="008C21AB">
            <w:pPr>
              <w:jc w:val="center"/>
              <w:rPr>
                <w:sz w:val="22"/>
                <w:szCs w:val="22"/>
                <w:lang w:eastAsia="uk-UA"/>
              </w:rPr>
            </w:pPr>
          </w:p>
        </w:tc>
        <w:tc>
          <w:tcPr>
            <w:tcW w:w="2199" w:type="dxa"/>
            <w:tcBorders>
              <w:top w:val="nil"/>
              <w:left w:val="nil"/>
              <w:bottom w:val="single" w:sz="4" w:space="0" w:color="auto"/>
              <w:right w:val="single" w:sz="4" w:space="0" w:color="auto"/>
            </w:tcBorders>
            <w:noWrap/>
            <w:vAlign w:val="bottom"/>
            <w:hideMark/>
          </w:tcPr>
          <w:p w:rsidR="00276080" w:rsidRPr="009D3827" w:rsidRDefault="00276080" w:rsidP="008C21AB">
            <w:pPr>
              <w:jc w:val="center"/>
              <w:rPr>
                <w:sz w:val="22"/>
                <w:szCs w:val="22"/>
                <w:lang w:eastAsia="uk-UA"/>
              </w:rPr>
            </w:pPr>
          </w:p>
        </w:tc>
        <w:tc>
          <w:tcPr>
            <w:tcW w:w="2418" w:type="dxa"/>
            <w:tcBorders>
              <w:top w:val="single" w:sz="4" w:space="0" w:color="auto"/>
              <w:left w:val="nil"/>
              <w:bottom w:val="single" w:sz="4" w:space="0" w:color="auto"/>
              <w:right w:val="single" w:sz="4" w:space="0" w:color="auto"/>
            </w:tcBorders>
          </w:tcPr>
          <w:p w:rsidR="00276080" w:rsidRPr="009D3827" w:rsidRDefault="00276080" w:rsidP="008C21AB">
            <w:pPr>
              <w:jc w:val="center"/>
              <w:rPr>
                <w:sz w:val="22"/>
                <w:szCs w:val="22"/>
                <w:lang w:eastAsia="uk-UA"/>
              </w:rPr>
            </w:pPr>
            <w:r w:rsidRPr="009D3827">
              <w:rPr>
                <w:sz w:val="22"/>
                <w:szCs w:val="22"/>
                <w:lang w:eastAsia="uk-UA"/>
              </w:rPr>
              <w:t>3.5%</w:t>
            </w:r>
          </w:p>
        </w:tc>
        <w:tc>
          <w:tcPr>
            <w:tcW w:w="2480" w:type="dxa"/>
            <w:tcBorders>
              <w:top w:val="single" w:sz="4" w:space="0" w:color="auto"/>
              <w:left w:val="single" w:sz="4" w:space="0" w:color="auto"/>
              <w:bottom w:val="single" w:sz="4" w:space="0" w:color="auto"/>
              <w:right w:val="single" w:sz="4" w:space="0" w:color="auto"/>
            </w:tcBorders>
            <w:noWrap/>
            <w:vAlign w:val="bottom"/>
            <w:hideMark/>
          </w:tcPr>
          <w:p w:rsidR="00276080" w:rsidRPr="009D3827" w:rsidRDefault="00276080" w:rsidP="008C21AB">
            <w:pPr>
              <w:jc w:val="center"/>
              <w:rPr>
                <w:sz w:val="22"/>
                <w:szCs w:val="22"/>
                <w:lang w:eastAsia="uk-UA"/>
              </w:rPr>
            </w:pPr>
          </w:p>
        </w:tc>
      </w:tr>
      <w:tr w:rsidR="00276080" w:rsidRPr="009D3827" w:rsidTr="0063264B">
        <w:trPr>
          <w:trHeight w:val="288"/>
        </w:trPr>
        <w:tc>
          <w:tcPr>
            <w:tcW w:w="1637" w:type="dxa"/>
            <w:vMerge w:val="restart"/>
            <w:tcBorders>
              <w:top w:val="nil"/>
              <w:left w:val="single" w:sz="8" w:space="0" w:color="auto"/>
              <w:bottom w:val="single" w:sz="4" w:space="0" w:color="auto"/>
              <w:right w:val="single" w:sz="4" w:space="0" w:color="auto"/>
            </w:tcBorders>
            <w:noWrap/>
            <w:vAlign w:val="center"/>
            <w:hideMark/>
          </w:tcPr>
          <w:p w:rsidR="00276080" w:rsidRPr="009D3827" w:rsidRDefault="00276080" w:rsidP="008C21AB">
            <w:pPr>
              <w:jc w:val="center"/>
              <w:rPr>
                <w:sz w:val="22"/>
                <w:szCs w:val="22"/>
                <w:lang w:eastAsia="uk-UA"/>
              </w:rPr>
            </w:pPr>
            <w:r w:rsidRPr="009D3827">
              <w:rPr>
                <w:sz w:val="22"/>
                <w:szCs w:val="22"/>
              </w:rPr>
              <w:t>2 рік першого регуляторного періоду</w:t>
            </w:r>
          </w:p>
        </w:tc>
        <w:tc>
          <w:tcPr>
            <w:tcW w:w="1340" w:type="dxa"/>
            <w:tcBorders>
              <w:top w:val="nil"/>
              <w:left w:val="nil"/>
              <w:bottom w:val="single" w:sz="4" w:space="0" w:color="auto"/>
              <w:right w:val="single" w:sz="4" w:space="0" w:color="auto"/>
            </w:tcBorders>
            <w:noWrap/>
            <w:vAlign w:val="bottom"/>
            <w:hideMark/>
          </w:tcPr>
          <w:p w:rsidR="00276080" w:rsidRPr="009D3827" w:rsidRDefault="00276080" w:rsidP="008C21AB">
            <w:pPr>
              <w:rPr>
                <w:sz w:val="22"/>
                <w:szCs w:val="22"/>
                <w:lang w:eastAsia="uk-UA"/>
              </w:rPr>
            </w:pPr>
            <w:r w:rsidRPr="009D3827">
              <w:rPr>
                <w:sz w:val="22"/>
                <w:szCs w:val="22"/>
                <w:lang w:eastAsia="uk-UA"/>
              </w:rPr>
              <w:t>1 клас</w:t>
            </w:r>
          </w:p>
        </w:tc>
        <w:tc>
          <w:tcPr>
            <w:tcW w:w="2347" w:type="dxa"/>
            <w:tcBorders>
              <w:top w:val="nil"/>
              <w:left w:val="nil"/>
              <w:bottom w:val="single" w:sz="4" w:space="0" w:color="auto"/>
              <w:right w:val="single" w:sz="4" w:space="0" w:color="auto"/>
            </w:tcBorders>
            <w:noWrap/>
            <w:vAlign w:val="bottom"/>
            <w:hideMark/>
          </w:tcPr>
          <w:p w:rsidR="00276080" w:rsidRPr="009D3827" w:rsidRDefault="00276080" w:rsidP="008C21AB">
            <w:pPr>
              <w:jc w:val="center"/>
              <w:rPr>
                <w:sz w:val="22"/>
                <w:szCs w:val="22"/>
                <w:lang w:eastAsia="uk-UA"/>
              </w:rPr>
            </w:pPr>
          </w:p>
        </w:tc>
        <w:tc>
          <w:tcPr>
            <w:tcW w:w="2896" w:type="dxa"/>
            <w:tcBorders>
              <w:top w:val="nil"/>
              <w:left w:val="nil"/>
              <w:bottom w:val="single" w:sz="4" w:space="0" w:color="auto"/>
              <w:right w:val="single" w:sz="4" w:space="0" w:color="auto"/>
            </w:tcBorders>
            <w:noWrap/>
            <w:vAlign w:val="bottom"/>
            <w:hideMark/>
          </w:tcPr>
          <w:p w:rsidR="00276080" w:rsidRPr="009D3827" w:rsidRDefault="00276080" w:rsidP="008C21AB">
            <w:pPr>
              <w:jc w:val="center"/>
              <w:rPr>
                <w:sz w:val="22"/>
                <w:szCs w:val="22"/>
                <w:lang w:eastAsia="uk-UA"/>
              </w:rPr>
            </w:pPr>
          </w:p>
        </w:tc>
        <w:tc>
          <w:tcPr>
            <w:tcW w:w="2199" w:type="dxa"/>
            <w:tcBorders>
              <w:top w:val="nil"/>
              <w:left w:val="nil"/>
              <w:bottom w:val="single" w:sz="4" w:space="0" w:color="auto"/>
              <w:right w:val="single" w:sz="4" w:space="0" w:color="auto"/>
            </w:tcBorders>
            <w:noWrap/>
            <w:vAlign w:val="bottom"/>
            <w:hideMark/>
          </w:tcPr>
          <w:p w:rsidR="00276080" w:rsidRPr="009D3827" w:rsidRDefault="00276080" w:rsidP="008C21AB">
            <w:pPr>
              <w:jc w:val="center"/>
              <w:rPr>
                <w:sz w:val="22"/>
                <w:szCs w:val="22"/>
                <w:lang w:eastAsia="uk-UA"/>
              </w:rPr>
            </w:pPr>
          </w:p>
        </w:tc>
        <w:tc>
          <w:tcPr>
            <w:tcW w:w="2418" w:type="dxa"/>
            <w:tcBorders>
              <w:top w:val="single" w:sz="4" w:space="0" w:color="auto"/>
              <w:left w:val="nil"/>
              <w:bottom w:val="single" w:sz="4" w:space="0" w:color="auto"/>
              <w:right w:val="single" w:sz="4" w:space="0" w:color="auto"/>
            </w:tcBorders>
          </w:tcPr>
          <w:p w:rsidR="00276080" w:rsidRPr="009D3827" w:rsidRDefault="00276080" w:rsidP="008C21AB">
            <w:pPr>
              <w:jc w:val="center"/>
              <w:rPr>
                <w:sz w:val="22"/>
                <w:szCs w:val="22"/>
                <w:lang w:eastAsia="uk-UA"/>
              </w:rPr>
            </w:pPr>
            <w:r w:rsidRPr="009D3827">
              <w:rPr>
                <w:sz w:val="22"/>
                <w:szCs w:val="22"/>
                <w:lang w:eastAsia="uk-UA"/>
              </w:rPr>
              <w:t>1%</w:t>
            </w:r>
          </w:p>
        </w:tc>
        <w:tc>
          <w:tcPr>
            <w:tcW w:w="2480" w:type="dxa"/>
            <w:tcBorders>
              <w:top w:val="single" w:sz="4" w:space="0" w:color="auto"/>
              <w:left w:val="single" w:sz="4" w:space="0" w:color="auto"/>
              <w:bottom w:val="single" w:sz="4" w:space="0" w:color="auto"/>
              <w:right w:val="single" w:sz="4" w:space="0" w:color="auto"/>
            </w:tcBorders>
            <w:noWrap/>
            <w:vAlign w:val="bottom"/>
            <w:hideMark/>
          </w:tcPr>
          <w:p w:rsidR="00276080" w:rsidRPr="009D3827" w:rsidRDefault="00276080" w:rsidP="008C21AB">
            <w:pPr>
              <w:jc w:val="center"/>
              <w:rPr>
                <w:sz w:val="22"/>
                <w:szCs w:val="22"/>
                <w:lang w:eastAsia="uk-UA"/>
              </w:rPr>
            </w:pPr>
          </w:p>
        </w:tc>
      </w:tr>
      <w:tr w:rsidR="00276080" w:rsidRPr="009D3827" w:rsidTr="0063264B">
        <w:trPr>
          <w:trHeight w:val="288"/>
        </w:trPr>
        <w:tc>
          <w:tcPr>
            <w:tcW w:w="1637" w:type="dxa"/>
            <w:vMerge/>
            <w:tcBorders>
              <w:top w:val="nil"/>
              <w:left w:val="single" w:sz="8" w:space="0" w:color="auto"/>
              <w:bottom w:val="single" w:sz="4" w:space="0" w:color="auto"/>
              <w:right w:val="single" w:sz="4" w:space="0" w:color="auto"/>
            </w:tcBorders>
            <w:vAlign w:val="center"/>
            <w:hideMark/>
          </w:tcPr>
          <w:p w:rsidR="00276080" w:rsidRPr="009D3827" w:rsidRDefault="00276080" w:rsidP="008C21AB">
            <w:pPr>
              <w:rPr>
                <w:sz w:val="22"/>
                <w:szCs w:val="22"/>
                <w:lang w:eastAsia="uk-UA"/>
              </w:rPr>
            </w:pPr>
          </w:p>
        </w:tc>
        <w:tc>
          <w:tcPr>
            <w:tcW w:w="1340" w:type="dxa"/>
            <w:tcBorders>
              <w:top w:val="nil"/>
              <w:left w:val="nil"/>
              <w:bottom w:val="single" w:sz="4" w:space="0" w:color="auto"/>
              <w:right w:val="single" w:sz="4" w:space="0" w:color="auto"/>
            </w:tcBorders>
            <w:noWrap/>
            <w:vAlign w:val="bottom"/>
            <w:hideMark/>
          </w:tcPr>
          <w:p w:rsidR="00276080" w:rsidRPr="009D3827" w:rsidRDefault="00276080" w:rsidP="008C21AB">
            <w:pPr>
              <w:rPr>
                <w:sz w:val="22"/>
                <w:szCs w:val="22"/>
                <w:lang w:eastAsia="uk-UA"/>
              </w:rPr>
            </w:pPr>
            <w:r w:rsidRPr="009D3827">
              <w:rPr>
                <w:sz w:val="22"/>
                <w:szCs w:val="22"/>
                <w:lang w:eastAsia="uk-UA"/>
              </w:rPr>
              <w:t>2 клас</w:t>
            </w:r>
          </w:p>
        </w:tc>
        <w:tc>
          <w:tcPr>
            <w:tcW w:w="2347" w:type="dxa"/>
            <w:tcBorders>
              <w:top w:val="nil"/>
              <w:left w:val="nil"/>
              <w:bottom w:val="single" w:sz="4" w:space="0" w:color="auto"/>
              <w:right w:val="single" w:sz="4" w:space="0" w:color="auto"/>
            </w:tcBorders>
            <w:noWrap/>
            <w:vAlign w:val="bottom"/>
            <w:hideMark/>
          </w:tcPr>
          <w:p w:rsidR="00276080" w:rsidRPr="009D3827" w:rsidRDefault="00276080" w:rsidP="008C21AB">
            <w:pPr>
              <w:jc w:val="center"/>
              <w:rPr>
                <w:sz w:val="22"/>
                <w:szCs w:val="22"/>
                <w:lang w:eastAsia="uk-UA"/>
              </w:rPr>
            </w:pPr>
          </w:p>
        </w:tc>
        <w:tc>
          <w:tcPr>
            <w:tcW w:w="2896" w:type="dxa"/>
            <w:tcBorders>
              <w:top w:val="nil"/>
              <w:left w:val="nil"/>
              <w:bottom w:val="single" w:sz="4" w:space="0" w:color="auto"/>
              <w:right w:val="single" w:sz="4" w:space="0" w:color="auto"/>
            </w:tcBorders>
            <w:noWrap/>
            <w:vAlign w:val="bottom"/>
            <w:hideMark/>
          </w:tcPr>
          <w:p w:rsidR="00276080" w:rsidRPr="009D3827" w:rsidRDefault="00276080" w:rsidP="008C21AB">
            <w:pPr>
              <w:jc w:val="center"/>
              <w:rPr>
                <w:sz w:val="22"/>
                <w:szCs w:val="22"/>
                <w:lang w:eastAsia="uk-UA"/>
              </w:rPr>
            </w:pPr>
          </w:p>
        </w:tc>
        <w:tc>
          <w:tcPr>
            <w:tcW w:w="2199" w:type="dxa"/>
            <w:tcBorders>
              <w:top w:val="nil"/>
              <w:left w:val="nil"/>
              <w:bottom w:val="single" w:sz="4" w:space="0" w:color="auto"/>
              <w:right w:val="single" w:sz="4" w:space="0" w:color="auto"/>
            </w:tcBorders>
            <w:noWrap/>
            <w:vAlign w:val="bottom"/>
            <w:hideMark/>
          </w:tcPr>
          <w:p w:rsidR="00276080" w:rsidRPr="009D3827" w:rsidRDefault="00276080" w:rsidP="008C21AB">
            <w:pPr>
              <w:jc w:val="center"/>
              <w:rPr>
                <w:sz w:val="22"/>
                <w:szCs w:val="22"/>
                <w:lang w:eastAsia="uk-UA"/>
              </w:rPr>
            </w:pPr>
          </w:p>
        </w:tc>
        <w:tc>
          <w:tcPr>
            <w:tcW w:w="2418" w:type="dxa"/>
            <w:tcBorders>
              <w:top w:val="single" w:sz="4" w:space="0" w:color="auto"/>
              <w:left w:val="nil"/>
              <w:bottom w:val="single" w:sz="4" w:space="0" w:color="auto"/>
              <w:right w:val="single" w:sz="4" w:space="0" w:color="auto"/>
            </w:tcBorders>
          </w:tcPr>
          <w:p w:rsidR="00276080" w:rsidRPr="009D3827" w:rsidRDefault="00276080" w:rsidP="008C21AB">
            <w:pPr>
              <w:jc w:val="center"/>
              <w:rPr>
                <w:sz w:val="22"/>
                <w:szCs w:val="22"/>
                <w:lang w:eastAsia="uk-UA"/>
              </w:rPr>
            </w:pPr>
            <w:r w:rsidRPr="009D3827">
              <w:rPr>
                <w:sz w:val="22"/>
                <w:szCs w:val="22"/>
                <w:lang w:eastAsia="uk-UA"/>
              </w:rPr>
              <w:t>3.5%</w:t>
            </w:r>
          </w:p>
        </w:tc>
        <w:tc>
          <w:tcPr>
            <w:tcW w:w="2480" w:type="dxa"/>
            <w:tcBorders>
              <w:top w:val="single" w:sz="4" w:space="0" w:color="auto"/>
              <w:left w:val="single" w:sz="4" w:space="0" w:color="auto"/>
              <w:bottom w:val="single" w:sz="4" w:space="0" w:color="auto"/>
              <w:right w:val="single" w:sz="4" w:space="0" w:color="auto"/>
            </w:tcBorders>
            <w:noWrap/>
            <w:vAlign w:val="bottom"/>
            <w:hideMark/>
          </w:tcPr>
          <w:p w:rsidR="00276080" w:rsidRPr="009D3827" w:rsidRDefault="00276080" w:rsidP="008C21AB">
            <w:pPr>
              <w:jc w:val="center"/>
              <w:rPr>
                <w:sz w:val="22"/>
                <w:szCs w:val="22"/>
                <w:lang w:eastAsia="uk-UA"/>
              </w:rPr>
            </w:pPr>
          </w:p>
        </w:tc>
      </w:tr>
      <w:tr w:rsidR="00276080" w:rsidRPr="009D3827" w:rsidTr="0063264B">
        <w:trPr>
          <w:trHeight w:val="288"/>
        </w:trPr>
        <w:tc>
          <w:tcPr>
            <w:tcW w:w="1637" w:type="dxa"/>
            <w:vMerge w:val="restart"/>
            <w:tcBorders>
              <w:top w:val="nil"/>
              <w:left w:val="single" w:sz="8" w:space="0" w:color="auto"/>
              <w:bottom w:val="single" w:sz="4" w:space="0" w:color="auto"/>
              <w:right w:val="single" w:sz="4" w:space="0" w:color="auto"/>
            </w:tcBorders>
            <w:noWrap/>
            <w:vAlign w:val="center"/>
            <w:hideMark/>
          </w:tcPr>
          <w:p w:rsidR="00276080" w:rsidRPr="009D3827" w:rsidRDefault="00276080" w:rsidP="008C21AB">
            <w:pPr>
              <w:jc w:val="center"/>
              <w:rPr>
                <w:sz w:val="22"/>
                <w:szCs w:val="22"/>
                <w:lang w:eastAsia="uk-UA"/>
              </w:rPr>
            </w:pPr>
            <w:r w:rsidRPr="009D3827">
              <w:rPr>
                <w:sz w:val="22"/>
                <w:szCs w:val="22"/>
              </w:rPr>
              <w:t>3 рік першого регуляторного періоду</w:t>
            </w:r>
          </w:p>
        </w:tc>
        <w:tc>
          <w:tcPr>
            <w:tcW w:w="1340" w:type="dxa"/>
            <w:tcBorders>
              <w:top w:val="nil"/>
              <w:left w:val="nil"/>
              <w:bottom w:val="single" w:sz="4" w:space="0" w:color="auto"/>
              <w:right w:val="single" w:sz="4" w:space="0" w:color="auto"/>
            </w:tcBorders>
            <w:noWrap/>
            <w:vAlign w:val="bottom"/>
            <w:hideMark/>
          </w:tcPr>
          <w:p w:rsidR="00276080" w:rsidRPr="009D3827" w:rsidRDefault="00276080" w:rsidP="008C21AB">
            <w:pPr>
              <w:rPr>
                <w:sz w:val="22"/>
                <w:szCs w:val="22"/>
                <w:lang w:eastAsia="uk-UA"/>
              </w:rPr>
            </w:pPr>
            <w:r w:rsidRPr="009D3827">
              <w:rPr>
                <w:sz w:val="22"/>
                <w:szCs w:val="22"/>
                <w:lang w:eastAsia="uk-UA"/>
              </w:rPr>
              <w:t>1 клас</w:t>
            </w:r>
          </w:p>
        </w:tc>
        <w:tc>
          <w:tcPr>
            <w:tcW w:w="2347" w:type="dxa"/>
            <w:tcBorders>
              <w:top w:val="nil"/>
              <w:left w:val="nil"/>
              <w:bottom w:val="single" w:sz="4" w:space="0" w:color="auto"/>
              <w:right w:val="single" w:sz="4" w:space="0" w:color="auto"/>
            </w:tcBorders>
            <w:noWrap/>
            <w:vAlign w:val="bottom"/>
            <w:hideMark/>
          </w:tcPr>
          <w:p w:rsidR="00276080" w:rsidRPr="009D3827" w:rsidRDefault="00276080" w:rsidP="008C21AB">
            <w:pPr>
              <w:jc w:val="center"/>
              <w:rPr>
                <w:sz w:val="22"/>
                <w:szCs w:val="22"/>
                <w:lang w:eastAsia="uk-UA"/>
              </w:rPr>
            </w:pPr>
          </w:p>
        </w:tc>
        <w:tc>
          <w:tcPr>
            <w:tcW w:w="2896" w:type="dxa"/>
            <w:tcBorders>
              <w:top w:val="nil"/>
              <w:left w:val="nil"/>
              <w:bottom w:val="single" w:sz="4" w:space="0" w:color="auto"/>
              <w:right w:val="single" w:sz="4" w:space="0" w:color="auto"/>
            </w:tcBorders>
            <w:noWrap/>
            <w:vAlign w:val="bottom"/>
            <w:hideMark/>
          </w:tcPr>
          <w:p w:rsidR="00276080" w:rsidRPr="009D3827" w:rsidRDefault="00276080" w:rsidP="008C21AB">
            <w:pPr>
              <w:jc w:val="center"/>
              <w:rPr>
                <w:sz w:val="22"/>
                <w:szCs w:val="22"/>
                <w:lang w:eastAsia="uk-UA"/>
              </w:rPr>
            </w:pPr>
          </w:p>
        </w:tc>
        <w:tc>
          <w:tcPr>
            <w:tcW w:w="2199" w:type="dxa"/>
            <w:tcBorders>
              <w:top w:val="nil"/>
              <w:left w:val="nil"/>
              <w:bottom w:val="single" w:sz="4" w:space="0" w:color="auto"/>
              <w:right w:val="single" w:sz="4" w:space="0" w:color="auto"/>
            </w:tcBorders>
            <w:noWrap/>
            <w:vAlign w:val="bottom"/>
            <w:hideMark/>
          </w:tcPr>
          <w:p w:rsidR="00276080" w:rsidRPr="009D3827" w:rsidRDefault="00276080" w:rsidP="008C21AB">
            <w:pPr>
              <w:jc w:val="center"/>
              <w:rPr>
                <w:sz w:val="22"/>
                <w:szCs w:val="22"/>
                <w:lang w:eastAsia="uk-UA"/>
              </w:rPr>
            </w:pPr>
          </w:p>
        </w:tc>
        <w:tc>
          <w:tcPr>
            <w:tcW w:w="2418" w:type="dxa"/>
            <w:tcBorders>
              <w:top w:val="single" w:sz="4" w:space="0" w:color="auto"/>
              <w:left w:val="nil"/>
              <w:bottom w:val="single" w:sz="4" w:space="0" w:color="auto"/>
              <w:right w:val="single" w:sz="4" w:space="0" w:color="auto"/>
            </w:tcBorders>
          </w:tcPr>
          <w:p w:rsidR="00276080" w:rsidRPr="009D3827" w:rsidRDefault="00276080" w:rsidP="008C21AB">
            <w:pPr>
              <w:jc w:val="center"/>
              <w:rPr>
                <w:sz w:val="22"/>
                <w:szCs w:val="22"/>
                <w:lang w:eastAsia="uk-UA"/>
              </w:rPr>
            </w:pPr>
            <w:r w:rsidRPr="009D3827">
              <w:rPr>
                <w:sz w:val="22"/>
                <w:szCs w:val="22"/>
                <w:lang w:eastAsia="uk-UA"/>
              </w:rPr>
              <w:t>0%</w:t>
            </w:r>
          </w:p>
        </w:tc>
        <w:tc>
          <w:tcPr>
            <w:tcW w:w="2480" w:type="dxa"/>
            <w:tcBorders>
              <w:top w:val="single" w:sz="4" w:space="0" w:color="auto"/>
              <w:left w:val="single" w:sz="4" w:space="0" w:color="auto"/>
              <w:bottom w:val="single" w:sz="4" w:space="0" w:color="auto"/>
              <w:right w:val="single" w:sz="4" w:space="0" w:color="auto"/>
            </w:tcBorders>
            <w:noWrap/>
            <w:vAlign w:val="bottom"/>
            <w:hideMark/>
          </w:tcPr>
          <w:p w:rsidR="00276080" w:rsidRPr="009D3827" w:rsidRDefault="00276080" w:rsidP="008C21AB">
            <w:pPr>
              <w:jc w:val="center"/>
              <w:rPr>
                <w:sz w:val="22"/>
                <w:szCs w:val="22"/>
                <w:lang w:eastAsia="uk-UA"/>
              </w:rPr>
            </w:pPr>
          </w:p>
        </w:tc>
      </w:tr>
      <w:tr w:rsidR="00276080" w:rsidRPr="009D3827" w:rsidTr="0063264B">
        <w:trPr>
          <w:trHeight w:val="288"/>
        </w:trPr>
        <w:tc>
          <w:tcPr>
            <w:tcW w:w="1637" w:type="dxa"/>
            <w:vMerge/>
            <w:tcBorders>
              <w:top w:val="nil"/>
              <w:left w:val="single" w:sz="8" w:space="0" w:color="auto"/>
              <w:bottom w:val="single" w:sz="4" w:space="0" w:color="auto"/>
              <w:right w:val="single" w:sz="4" w:space="0" w:color="auto"/>
            </w:tcBorders>
            <w:vAlign w:val="center"/>
            <w:hideMark/>
          </w:tcPr>
          <w:p w:rsidR="00276080" w:rsidRPr="009D3827" w:rsidRDefault="00276080" w:rsidP="008C21AB">
            <w:pPr>
              <w:rPr>
                <w:sz w:val="22"/>
                <w:szCs w:val="22"/>
                <w:lang w:eastAsia="uk-UA"/>
              </w:rPr>
            </w:pPr>
          </w:p>
        </w:tc>
        <w:tc>
          <w:tcPr>
            <w:tcW w:w="1340" w:type="dxa"/>
            <w:tcBorders>
              <w:top w:val="nil"/>
              <w:left w:val="nil"/>
              <w:bottom w:val="single" w:sz="4" w:space="0" w:color="auto"/>
              <w:right w:val="single" w:sz="4" w:space="0" w:color="auto"/>
            </w:tcBorders>
            <w:noWrap/>
            <w:vAlign w:val="bottom"/>
            <w:hideMark/>
          </w:tcPr>
          <w:p w:rsidR="00276080" w:rsidRPr="009D3827" w:rsidRDefault="00276080" w:rsidP="008C21AB">
            <w:pPr>
              <w:rPr>
                <w:sz w:val="22"/>
                <w:szCs w:val="22"/>
                <w:lang w:eastAsia="uk-UA"/>
              </w:rPr>
            </w:pPr>
            <w:r w:rsidRPr="009D3827">
              <w:rPr>
                <w:sz w:val="22"/>
                <w:szCs w:val="22"/>
                <w:lang w:eastAsia="uk-UA"/>
              </w:rPr>
              <w:t>2 клас</w:t>
            </w:r>
          </w:p>
        </w:tc>
        <w:tc>
          <w:tcPr>
            <w:tcW w:w="2347" w:type="dxa"/>
            <w:tcBorders>
              <w:top w:val="nil"/>
              <w:left w:val="nil"/>
              <w:bottom w:val="single" w:sz="4" w:space="0" w:color="auto"/>
              <w:right w:val="single" w:sz="4" w:space="0" w:color="auto"/>
            </w:tcBorders>
            <w:noWrap/>
            <w:vAlign w:val="bottom"/>
            <w:hideMark/>
          </w:tcPr>
          <w:p w:rsidR="00276080" w:rsidRPr="009D3827" w:rsidRDefault="00276080" w:rsidP="008C21AB">
            <w:pPr>
              <w:jc w:val="center"/>
              <w:rPr>
                <w:sz w:val="22"/>
                <w:szCs w:val="22"/>
                <w:lang w:eastAsia="uk-UA"/>
              </w:rPr>
            </w:pPr>
          </w:p>
        </w:tc>
        <w:tc>
          <w:tcPr>
            <w:tcW w:w="2896" w:type="dxa"/>
            <w:tcBorders>
              <w:top w:val="nil"/>
              <w:left w:val="nil"/>
              <w:bottom w:val="single" w:sz="4" w:space="0" w:color="auto"/>
              <w:right w:val="single" w:sz="4" w:space="0" w:color="auto"/>
            </w:tcBorders>
            <w:noWrap/>
            <w:vAlign w:val="bottom"/>
            <w:hideMark/>
          </w:tcPr>
          <w:p w:rsidR="00276080" w:rsidRPr="009D3827" w:rsidRDefault="00276080" w:rsidP="008C21AB">
            <w:pPr>
              <w:jc w:val="center"/>
              <w:rPr>
                <w:sz w:val="22"/>
                <w:szCs w:val="22"/>
                <w:lang w:eastAsia="uk-UA"/>
              </w:rPr>
            </w:pPr>
          </w:p>
        </w:tc>
        <w:tc>
          <w:tcPr>
            <w:tcW w:w="2199" w:type="dxa"/>
            <w:tcBorders>
              <w:top w:val="nil"/>
              <w:left w:val="nil"/>
              <w:bottom w:val="single" w:sz="4" w:space="0" w:color="auto"/>
              <w:right w:val="single" w:sz="4" w:space="0" w:color="auto"/>
            </w:tcBorders>
            <w:noWrap/>
            <w:vAlign w:val="bottom"/>
            <w:hideMark/>
          </w:tcPr>
          <w:p w:rsidR="00276080" w:rsidRPr="009D3827" w:rsidRDefault="00276080" w:rsidP="008C21AB">
            <w:pPr>
              <w:jc w:val="center"/>
              <w:rPr>
                <w:sz w:val="22"/>
                <w:szCs w:val="22"/>
                <w:lang w:eastAsia="uk-UA"/>
              </w:rPr>
            </w:pPr>
          </w:p>
        </w:tc>
        <w:tc>
          <w:tcPr>
            <w:tcW w:w="2418" w:type="dxa"/>
            <w:tcBorders>
              <w:top w:val="single" w:sz="4" w:space="0" w:color="auto"/>
              <w:left w:val="nil"/>
              <w:bottom w:val="single" w:sz="4" w:space="0" w:color="auto"/>
              <w:right w:val="single" w:sz="4" w:space="0" w:color="auto"/>
            </w:tcBorders>
          </w:tcPr>
          <w:p w:rsidR="00276080" w:rsidRPr="009D3827" w:rsidRDefault="00276080" w:rsidP="008C21AB">
            <w:pPr>
              <w:jc w:val="center"/>
              <w:rPr>
                <w:sz w:val="22"/>
                <w:szCs w:val="22"/>
                <w:lang w:eastAsia="uk-UA"/>
              </w:rPr>
            </w:pPr>
            <w:r w:rsidRPr="009D3827">
              <w:rPr>
                <w:sz w:val="22"/>
                <w:szCs w:val="22"/>
                <w:lang w:eastAsia="uk-UA"/>
              </w:rPr>
              <w:t>0%</w:t>
            </w:r>
          </w:p>
        </w:tc>
        <w:tc>
          <w:tcPr>
            <w:tcW w:w="2480" w:type="dxa"/>
            <w:tcBorders>
              <w:top w:val="single" w:sz="4" w:space="0" w:color="auto"/>
              <w:left w:val="single" w:sz="4" w:space="0" w:color="auto"/>
              <w:bottom w:val="single" w:sz="4" w:space="0" w:color="auto"/>
              <w:right w:val="single" w:sz="4" w:space="0" w:color="auto"/>
            </w:tcBorders>
            <w:noWrap/>
            <w:vAlign w:val="bottom"/>
            <w:hideMark/>
          </w:tcPr>
          <w:p w:rsidR="00276080" w:rsidRPr="009D3827" w:rsidRDefault="00276080" w:rsidP="008C21AB">
            <w:pPr>
              <w:jc w:val="center"/>
              <w:rPr>
                <w:sz w:val="22"/>
                <w:szCs w:val="22"/>
                <w:lang w:eastAsia="uk-UA"/>
              </w:rPr>
            </w:pPr>
          </w:p>
        </w:tc>
      </w:tr>
      <w:tr w:rsidR="00276080" w:rsidRPr="009D3827" w:rsidTr="0063264B">
        <w:trPr>
          <w:trHeight w:val="288"/>
        </w:trPr>
        <w:tc>
          <w:tcPr>
            <w:tcW w:w="1637" w:type="dxa"/>
            <w:vMerge w:val="restart"/>
            <w:tcBorders>
              <w:top w:val="nil"/>
              <w:left w:val="single" w:sz="8" w:space="0" w:color="auto"/>
              <w:bottom w:val="single" w:sz="4" w:space="0" w:color="auto"/>
              <w:right w:val="single" w:sz="4" w:space="0" w:color="auto"/>
            </w:tcBorders>
            <w:noWrap/>
            <w:vAlign w:val="center"/>
            <w:hideMark/>
          </w:tcPr>
          <w:p w:rsidR="00276080" w:rsidRPr="009D3827" w:rsidRDefault="00276080" w:rsidP="008C21AB">
            <w:pPr>
              <w:jc w:val="center"/>
              <w:rPr>
                <w:sz w:val="22"/>
                <w:szCs w:val="22"/>
                <w:lang w:eastAsia="uk-UA"/>
              </w:rPr>
            </w:pPr>
            <w:r w:rsidRPr="009D3827">
              <w:rPr>
                <w:sz w:val="22"/>
                <w:szCs w:val="22"/>
              </w:rPr>
              <w:t>4 рік першого регуляторного періоду</w:t>
            </w:r>
          </w:p>
        </w:tc>
        <w:tc>
          <w:tcPr>
            <w:tcW w:w="1340" w:type="dxa"/>
            <w:tcBorders>
              <w:top w:val="nil"/>
              <w:left w:val="nil"/>
              <w:bottom w:val="single" w:sz="4" w:space="0" w:color="auto"/>
              <w:right w:val="single" w:sz="4" w:space="0" w:color="auto"/>
            </w:tcBorders>
            <w:noWrap/>
            <w:vAlign w:val="bottom"/>
            <w:hideMark/>
          </w:tcPr>
          <w:p w:rsidR="00276080" w:rsidRPr="009D3827" w:rsidRDefault="00276080" w:rsidP="008C21AB">
            <w:pPr>
              <w:rPr>
                <w:sz w:val="22"/>
                <w:szCs w:val="22"/>
                <w:lang w:eastAsia="uk-UA"/>
              </w:rPr>
            </w:pPr>
            <w:r w:rsidRPr="009D3827">
              <w:rPr>
                <w:sz w:val="22"/>
                <w:szCs w:val="22"/>
                <w:lang w:eastAsia="uk-UA"/>
              </w:rPr>
              <w:t>1 клас</w:t>
            </w:r>
          </w:p>
        </w:tc>
        <w:tc>
          <w:tcPr>
            <w:tcW w:w="2347" w:type="dxa"/>
            <w:tcBorders>
              <w:top w:val="nil"/>
              <w:left w:val="nil"/>
              <w:bottom w:val="single" w:sz="4" w:space="0" w:color="auto"/>
              <w:right w:val="single" w:sz="4" w:space="0" w:color="auto"/>
            </w:tcBorders>
            <w:noWrap/>
            <w:vAlign w:val="bottom"/>
            <w:hideMark/>
          </w:tcPr>
          <w:p w:rsidR="00276080" w:rsidRPr="009D3827" w:rsidRDefault="00276080" w:rsidP="008C21AB">
            <w:pPr>
              <w:jc w:val="center"/>
              <w:rPr>
                <w:sz w:val="22"/>
                <w:szCs w:val="22"/>
                <w:lang w:eastAsia="uk-UA"/>
              </w:rPr>
            </w:pPr>
          </w:p>
        </w:tc>
        <w:tc>
          <w:tcPr>
            <w:tcW w:w="2896" w:type="dxa"/>
            <w:tcBorders>
              <w:top w:val="nil"/>
              <w:left w:val="nil"/>
              <w:bottom w:val="single" w:sz="4" w:space="0" w:color="auto"/>
              <w:right w:val="single" w:sz="4" w:space="0" w:color="auto"/>
            </w:tcBorders>
            <w:noWrap/>
            <w:vAlign w:val="bottom"/>
            <w:hideMark/>
          </w:tcPr>
          <w:p w:rsidR="00276080" w:rsidRPr="009D3827" w:rsidRDefault="00276080" w:rsidP="008C21AB">
            <w:pPr>
              <w:jc w:val="center"/>
              <w:rPr>
                <w:sz w:val="22"/>
                <w:szCs w:val="22"/>
                <w:lang w:eastAsia="uk-UA"/>
              </w:rPr>
            </w:pPr>
          </w:p>
        </w:tc>
        <w:tc>
          <w:tcPr>
            <w:tcW w:w="2199" w:type="dxa"/>
            <w:tcBorders>
              <w:top w:val="nil"/>
              <w:left w:val="nil"/>
              <w:bottom w:val="single" w:sz="4" w:space="0" w:color="auto"/>
              <w:right w:val="single" w:sz="4" w:space="0" w:color="auto"/>
            </w:tcBorders>
            <w:noWrap/>
            <w:vAlign w:val="bottom"/>
            <w:hideMark/>
          </w:tcPr>
          <w:p w:rsidR="00276080" w:rsidRPr="009D3827" w:rsidRDefault="00276080" w:rsidP="008C21AB">
            <w:pPr>
              <w:jc w:val="center"/>
              <w:rPr>
                <w:sz w:val="22"/>
                <w:szCs w:val="22"/>
                <w:lang w:eastAsia="uk-UA"/>
              </w:rPr>
            </w:pPr>
          </w:p>
        </w:tc>
        <w:tc>
          <w:tcPr>
            <w:tcW w:w="2418" w:type="dxa"/>
            <w:tcBorders>
              <w:top w:val="single" w:sz="4" w:space="0" w:color="auto"/>
              <w:left w:val="nil"/>
              <w:bottom w:val="single" w:sz="4" w:space="0" w:color="auto"/>
              <w:right w:val="single" w:sz="4" w:space="0" w:color="auto"/>
            </w:tcBorders>
          </w:tcPr>
          <w:p w:rsidR="00276080" w:rsidRPr="009D3827" w:rsidRDefault="00276080" w:rsidP="008C21AB">
            <w:pPr>
              <w:jc w:val="center"/>
              <w:rPr>
                <w:sz w:val="22"/>
                <w:szCs w:val="22"/>
                <w:lang w:eastAsia="uk-UA"/>
              </w:rPr>
            </w:pPr>
            <w:r w:rsidRPr="009D3827">
              <w:rPr>
                <w:sz w:val="22"/>
                <w:szCs w:val="22"/>
                <w:lang w:eastAsia="uk-UA"/>
              </w:rPr>
              <w:t>0%</w:t>
            </w:r>
          </w:p>
        </w:tc>
        <w:tc>
          <w:tcPr>
            <w:tcW w:w="2480" w:type="dxa"/>
            <w:tcBorders>
              <w:top w:val="single" w:sz="4" w:space="0" w:color="auto"/>
              <w:left w:val="single" w:sz="4" w:space="0" w:color="auto"/>
              <w:bottom w:val="single" w:sz="4" w:space="0" w:color="auto"/>
              <w:right w:val="single" w:sz="4" w:space="0" w:color="auto"/>
            </w:tcBorders>
            <w:noWrap/>
            <w:vAlign w:val="bottom"/>
            <w:hideMark/>
          </w:tcPr>
          <w:p w:rsidR="00276080" w:rsidRPr="009D3827" w:rsidRDefault="00276080" w:rsidP="008C21AB">
            <w:pPr>
              <w:jc w:val="center"/>
              <w:rPr>
                <w:sz w:val="22"/>
                <w:szCs w:val="22"/>
                <w:lang w:eastAsia="uk-UA"/>
              </w:rPr>
            </w:pPr>
          </w:p>
        </w:tc>
      </w:tr>
      <w:tr w:rsidR="00276080" w:rsidRPr="009D3827" w:rsidTr="0063264B">
        <w:trPr>
          <w:trHeight w:val="288"/>
        </w:trPr>
        <w:tc>
          <w:tcPr>
            <w:tcW w:w="1637" w:type="dxa"/>
            <w:vMerge/>
            <w:tcBorders>
              <w:top w:val="nil"/>
              <w:left w:val="single" w:sz="8" w:space="0" w:color="auto"/>
              <w:bottom w:val="single" w:sz="4" w:space="0" w:color="auto"/>
              <w:right w:val="single" w:sz="4" w:space="0" w:color="auto"/>
            </w:tcBorders>
            <w:vAlign w:val="center"/>
            <w:hideMark/>
          </w:tcPr>
          <w:p w:rsidR="00276080" w:rsidRPr="009D3827" w:rsidRDefault="00276080" w:rsidP="008C21AB">
            <w:pPr>
              <w:rPr>
                <w:sz w:val="22"/>
                <w:szCs w:val="22"/>
                <w:lang w:eastAsia="uk-UA"/>
              </w:rPr>
            </w:pPr>
          </w:p>
        </w:tc>
        <w:tc>
          <w:tcPr>
            <w:tcW w:w="1340" w:type="dxa"/>
            <w:tcBorders>
              <w:top w:val="nil"/>
              <w:left w:val="nil"/>
              <w:bottom w:val="single" w:sz="4" w:space="0" w:color="auto"/>
              <w:right w:val="single" w:sz="4" w:space="0" w:color="auto"/>
            </w:tcBorders>
            <w:noWrap/>
            <w:vAlign w:val="bottom"/>
            <w:hideMark/>
          </w:tcPr>
          <w:p w:rsidR="00276080" w:rsidRPr="009D3827" w:rsidRDefault="00276080" w:rsidP="008C21AB">
            <w:pPr>
              <w:rPr>
                <w:sz w:val="22"/>
                <w:szCs w:val="22"/>
                <w:lang w:eastAsia="uk-UA"/>
              </w:rPr>
            </w:pPr>
            <w:r w:rsidRPr="009D3827">
              <w:rPr>
                <w:sz w:val="22"/>
                <w:szCs w:val="22"/>
                <w:lang w:eastAsia="uk-UA"/>
              </w:rPr>
              <w:t>2 клас</w:t>
            </w:r>
          </w:p>
        </w:tc>
        <w:tc>
          <w:tcPr>
            <w:tcW w:w="2347" w:type="dxa"/>
            <w:tcBorders>
              <w:top w:val="nil"/>
              <w:left w:val="nil"/>
              <w:bottom w:val="single" w:sz="4" w:space="0" w:color="auto"/>
              <w:right w:val="single" w:sz="4" w:space="0" w:color="auto"/>
            </w:tcBorders>
            <w:noWrap/>
            <w:vAlign w:val="bottom"/>
            <w:hideMark/>
          </w:tcPr>
          <w:p w:rsidR="00276080" w:rsidRPr="009D3827" w:rsidRDefault="00276080" w:rsidP="008C21AB">
            <w:pPr>
              <w:jc w:val="center"/>
              <w:rPr>
                <w:sz w:val="22"/>
                <w:szCs w:val="22"/>
                <w:lang w:eastAsia="uk-UA"/>
              </w:rPr>
            </w:pPr>
          </w:p>
        </w:tc>
        <w:tc>
          <w:tcPr>
            <w:tcW w:w="2896" w:type="dxa"/>
            <w:tcBorders>
              <w:top w:val="nil"/>
              <w:left w:val="nil"/>
              <w:bottom w:val="single" w:sz="4" w:space="0" w:color="auto"/>
              <w:right w:val="single" w:sz="4" w:space="0" w:color="auto"/>
            </w:tcBorders>
            <w:noWrap/>
            <w:vAlign w:val="bottom"/>
            <w:hideMark/>
          </w:tcPr>
          <w:p w:rsidR="00276080" w:rsidRPr="009D3827" w:rsidRDefault="00276080" w:rsidP="008C21AB">
            <w:pPr>
              <w:jc w:val="center"/>
              <w:rPr>
                <w:sz w:val="22"/>
                <w:szCs w:val="22"/>
                <w:lang w:eastAsia="uk-UA"/>
              </w:rPr>
            </w:pPr>
          </w:p>
        </w:tc>
        <w:tc>
          <w:tcPr>
            <w:tcW w:w="2199" w:type="dxa"/>
            <w:tcBorders>
              <w:top w:val="nil"/>
              <w:left w:val="nil"/>
              <w:bottom w:val="single" w:sz="4" w:space="0" w:color="auto"/>
              <w:right w:val="single" w:sz="4" w:space="0" w:color="auto"/>
            </w:tcBorders>
            <w:noWrap/>
            <w:vAlign w:val="bottom"/>
            <w:hideMark/>
          </w:tcPr>
          <w:p w:rsidR="00276080" w:rsidRPr="009D3827" w:rsidRDefault="00276080" w:rsidP="008C21AB">
            <w:pPr>
              <w:jc w:val="center"/>
              <w:rPr>
                <w:sz w:val="22"/>
                <w:szCs w:val="22"/>
                <w:lang w:eastAsia="uk-UA"/>
              </w:rPr>
            </w:pPr>
          </w:p>
        </w:tc>
        <w:tc>
          <w:tcPr>
            <w:tcW w:w="2418" w:type="dxa"/>
            <w:tcBorders>
              <w:top w:val="single" w:sz="4" w:space="0" w:color="auto"/>
              <w:left w:val="nil"/>
              <w:bottom w:val="single" w:sz="4" w:space="0" w:color="auto"/>
              <w:right w:val="single" w:sz="4" w:space="0" w:color="auto"/>
            </w:tcBorders>
          </w:tcPr>
          <w:p w:rsidR="00276080" w:rsidRPr="009D3827" w:rsidRDefault="00276080" w:rsidP="008C21AB">
            <w:pPr>
              <w:jc w:val="center"/>
              <w:rPr>
                <w:sz w:val="22"/>
                <w:szCs w:val="22"/>
                <w:lang w:eastAsia="uk-UA"/>
              </w:rPr>
            </w:pPr>
            <w:r w:rsidRPr="009D3827">
              <w:rPr>
                <w:sz w:val="22"/>
                <w:szCs w:val="22"/>
                <w:lang w:eastAsia="uk-UA"/>
              </w:rPr>
              <w:t>0%</w:t>
            </w:r>
          </w:p>
        </w:tc>
        <w:tc>
          <w:tcPr>
            <w:tcW w:w="2480" w:type="dxa"/>
            <w:tcBorders>
              <w:top w:val="single" w:sz="4" w:space="0" w:color="auto"/>
              <w:left w:val="single" w:sz="4" w:space="0" w:color="auto"/>
              <w:bottom w:val="single" w:sz="4" w:space="0" w:color="auto"/>
              <w:right w:val="single" w:sz="4" w:space="0" w:color="auto"/>
            </w:tcBorders>
            <w:noWrap/>
            <w:vAlign w:val="bottom"/>
            <w:hideMark/>
          </w:tcPr>
          <w:p w:rsidR="00276080" w:rsidRPr="009D3827" w:rsidRDefault="00276080" w:rsidP="008C21AB">
            <w:pPr>
              <w:jc w:val="center"/>
              <w:rPr>
                <w:sz w:val="22"/>
                <w:szCs w:val="22"/>
                <w:lang w:eastAsia="uk-UA"/>
              </w:rPr>
            </w:pPr>
          </w:p>
        </w:tc>
      </w:tr>
      <w:tr w:rsidR="00276080" w:rsidRPr="009D3827" w:rsidTr="0063264B">
        <w:trPr>
          <w:trHeight w:val="288"/>
        </w:trPr>
        <w:tc>
          <w:tcPr>
            <w:tcW w:w="1637" w:type="dxa"/>
            <w:vMerge w:val="restart"/>
            <w:tcBorders>
              <w:top w:val="nil"/>
              <w:left w:val="single" w:sz="8" w:space="0" w:color="auto"/>
              <w:bottom w:val="single" w:sz="4" w:space="0" w:color="auto"/>
              <w:right w:val="single" w:sz="4" w:space="0" w:color="auto"/>
            </w:tcBorders>
            <w:noWrap/>
            <w:vAlign w:val="center"/>
            <w:hideMark/>
          </w:tcPr>
          <w:p w:rsidR="00276080" w:rsidRPr="009D3827" w:rsidRDefault="00276080" w:rsidP="008C21AB">
            <w:pPr>
              <w:jc w:val="center"/>
              <w:rPr>
                <w:sz w:val="22"/>
                <w:szCs w:val="22"/>
                <w:lang w:eastAsia="uk-UA"/>
              </w:rPr>
            </w:pPr>
            <w:r w:rsidRPr="009D3827">
              <w:rPr>
                <w:sz w:val="22"/>
                <w:szCs w:val="22"/>
              </w:rPr>
              <w:t>5 рік першого регуляторного періоду</w:t>
            </w:r>
            <w:r w:rsidRPr="009D3827">
              <w:rPr>
                <w:sz w:val="22"/>
                <w:szCs w:val="22"/>
                <w:lang w:eastAsia="uk-UA"/>
              </w:rPr>
              <w:t xml:space="preserve"> </w:t>
            </w:r>
          </w:p>
        </w:tc>
        <w:tc>
          <w:tcPr>
            <w:tcW w:w="1340" w:type="dxa"/>
            <w:tcBorders>
              <w:top w:val="nil"/>
              <w:left w:val="nil"/>
              <w:bottom w:val="single" w:sz="4" w:space="0" w:color="auto"/>
              <w:right w:val="single" w:sz="4" w:space="0" w:color="auto"/>
            </w:tcBorders>
            <w:noWrap/>
            <w:vAlign w:val="bottom"/>
            <w:hideMark/>
          </w:tcPr>
          <w:p w:rsidR="00276080" w:rsidRPr="009D3827" w:rsidRDefault="00276080" w:rsidP="008C21AB">
            <w:pPr>
              <w:rPr>
                <w:sz w:val="22"/>
                <w:szCs w:val="22"/>
                <w:lang w:eastAsia="uk-UA"/>
              </w:rPr>
            </w:pPr>
            <w:r w:rsidRPr="009D3827">
              <w:rPr>
                <w:sz w:val="22"/>
                <w:szCs w:val="22"/>
                <w:lang w:eastAsia="uk-UA"/>
              </w:rPr>
              <w:t>1 клас</w:t>
            </w:r>
          </w:p>
        </w:tc>
        <w:tc>
          <w:tcPr>
            <w:tcW w:w="2347" w:type="dxa"/>
            <w:tcBorders>
              <w:top w:val="nil"/>
              <w:left w:val="nil"/>
              <w:bottom w:val="single" w:sz="4" w:space="0" w:color="auto"/>
              <w:right w:val="single" w:sz="4" w:space="0" w:color="auto"/>
            </w:tcBorders>
            <w:noWrap/>
            <w:vAlign w:val="bottom"/>
            <w:hideMark/>
          </w:tcPr>
          <w:p w:rsidR="00276080" w:rsidRPr="009D3827" w:rsidRDefault="00276080" w:rsidP="008C21AB">
            <w:pPr>
              <w:jc w:val="center"/>
              <w:rPr>
                <w:sz w:val="22"/>
                <w:szCs w:val="22"/>
                <w:lang w:eastAsia="uk-UA"/>
              </w:rPr>
            </w:pPr>
          </w:p>
        </w:tc>
        <w:tc>
          <w:tcPr>
            <w:tcW w:w="2896" w:type="dxa"/>
            <w:tcBorders>
              <w:top w:val="nil"/>
              <w:left w:val="nil"/>
              <w:bottom w:val="single" w:sz="4" w:space="0" w:color="auto"/>
              <w:right w:val="single" w:sz="4" w:space="0" w:color="auto"/>
            </w:tcBorders>
            <w:noWrap/>
            <w:vAlign w:val="bottom"/>
            <w:hideMark/>
          </w:tcPr>
          <w:p w:rsidR="00276080" w:rsidRPr="009D3827" w:rsidRDefault="00276080" w:rsidP="008C21AB">
            <w:pPr>
              <w:jc w:val="center"/>
              <w:rPr>
                <w:sz w:val="22"/>
                <w:szCs w:val="22"/>
                <w:lang w:eastAsia="uk-UA"/>
              </w:rPr>
            </w:pPr>
          </w:p>
        </w:tc>
        <w:tc>
          <w:tcPr>
            <w:tcW w:w="2199" w:type="dxa"/>
            <w:tcBorders>
              <w:top w:val="nil"/>
              <w:left w:val="nil"/>
              <w:bottom w:val="single" w:sz="4" w:space="0" w:color="auto"/>
              <w:right w:val="single" w:sz="4" w:space="0" w:color="auto"/>
            </w:tcBorders>
            <w:noWrap/>
            <w:vAlign w:val="bottom"/>
            <w:hideMark/>
          </w:tcPr>
          <w:p w:rsidR="00276080" w:rsidRPr="009D3827" w:rsidRDefault="00276080" w:rsidP="008C21AB">
            <w:pPr>
              <w:jc w:val="center"/>
              <w:rPr>
                <w:sz w:val="22"/>
                <w:szCs w:val="22"/>
                <w:lang w:eastAsia="uk-UA"/>
              </w:rPr>
            </w:pPr>
          </w:p>
        </w:tc>
        <w:tc>
          <w:tcPr>
            <w:tcW w:w="2418" w:type="dxa"/>
            <w:tcBorders>
              <w:top w:val="single" w:sz="4" w:space="0" w:color="auto"/>
              <w:left w:val="nil"/>
              <w:bottom w:val="single" w:sz="4" w:space="0" w:color="auto"/>
              <w:right w:val="single" w:sz="4" w:space="0" w:color="auto"/>
            </w:tcBorders>
          </w:tcPr>
          <w:p w:rsidR="00276080" w:rsidRPr="009D3827" w:rsidRDefault="00276080" w:rsidP="008C21AB">
            <w:pPr>
              <w:jc w:val="center"/>
              <w:rPr>
                <w:sz w:val="22"/>
                <w:szCs w:val="22"/>
                <w:lang w:eastAsia="uk-UA"/>
              </w:rPr>
            </w:pPr>
            <w:r w:rsidRPr="009D3827">
              <w:rPr>
                <w:sz w:val="22"/>
                <w:szCs w:val="22"/>
                <w:lang w:eastAsia="uk-UA"/>
              </w:rPr>
              <w:t>0%</w:t>
            </w:r>
          </w:p>
        </w:tc>
        <w:tc>
          <w:tcPr>
            <w:tcW w:w="2480" w:type="dxa"/>
            <w:tcBorders>
              <w:top w:val="single" w:sz="4" w:space="0" w:color="auto"/>
              <w:left w:val="single" w:sz="4" w:space="0" w:color="auto"/>
              <w:bottom w:val="single" w:sz="4" w:space="0" w:color="auto"/>
              <w:right w:val="single" w:sz="4" w:space="0" w:color="auto"/>
            </w:tcBorders>
            <w:noWrap/>
            <w:vAlign w:val="bottom"/>
            <w:hideMark/>
          </w:tcPr>
          <w:p w:rsidR="00276080" w:rsidRPr="009D3827" w:rsidRDefault="00276080" w:rsidP="008C21AB">
            <w:pPr>
              <w:jc w:val="center"/>
              <w:rPr>
                <w:sz w:val="22"/>
                <w:szCs w:val="22"/>
                <w:lang w:eastAsia="uk-UA"/>
              </w:rPr>
            </w:pPr>
          </w:p>
        </w:tc>
      </w:tr>
      <w:tr w:rsidR="00276080" w:rsidRPr="009D3827" w:rsidTr="0063264B">
        <w:trPr>
          <w:trHeight w:val="288"/>
        </w:trPr>
        <w:tc>
          <w:tcPr>
            <w:tcW w:w="1637" w:type="dxa"/>
            <w:vMerge/>
            <w:tcBorders>
              <w:top w:val="nil"/>
              <w:left w:val="single" w:sz="8" w:space="0" w:color="auto"/>
              <w:bottom w:val="single" w:sz="4" w:space="0" w:color="auto"/>
              <w:right w:val="single" w:sz="4" w:space="0" w:color="auto"/>
            </w:tcBorders>
            <w:vAlign w:val="center"/>
            <w:hideMark/>
          </w:tcPr>
          <w:p w:rsidR="00276080" w:rsidRPr="009D3827" w:rsidRDefault="00276080" w:rsidP="008C21AB">
            <w:pPr>
              <w:rPr>
                <w:sz w:val="22"/>
                <w:szCs w:val="22"/>
                <w:lang w:eastAsia="uk-UA"/>
              </w:rPr>
            </w:pPr>
          </w:p>
        </w:tc>
        <w:tc>
          <w:tcPr>
            <w:tcW w:w="1340" w:type="dxa"/>
            <w:tcBorders>
              <w:top w:val="nil"/>
              <w:left w:val="nil"/>
              <w:bottom w:val="single" w:sz="4" w:space="0" w:color="auto"/>
              <w:right w:val="single" w:sz="4" w:space="0" w:color="auto"/>
            </w:tcBorders>
            <w:noWrap/>
            <w:vAlign w:val="bottom"/>
            <w:hideMark/>
          </w:tcPr>
          <w:p w:rsidR="00276080" w:rsidRPr="009D3827" w:rsidRDefault="00276080" w:rsidP="008C21AB">
            <w:pPr>
              <w:rPr>
                <w:sz w:val="22"/>
                <w:szCs w:val="22"/>
                <w:lang w:eastAsia="uk-UA"/>
              </w:rPr>
            </w:pPr>
            <w:r w:rsidRPr="009D3827">
              <w:rPr>
                <w:sz w:val="22"/>
                <w:szCs w:val="22"/>
                <w:lang w:eastAsia="uk-UA"/>
              </w:rPr>
              <w:t>2 клас</w:t>
            </w:r>
          </w:p>
        </w:tc>
        <w:tc>
          <w:tcPr>
            <w:tcW w:w="2347" w:type="dxa"/>
            <w:tcBorders>
              <w:top w:val="nil"/>
              <w:left w:val="nil"/>
              <w:bottom w:val="single" w:sz="4" w:space="0" w:color="auto"/>
              <w:right w:val="single" w:sz="4" w:space="0" w:color="auto"/>
            </w:tcBorders>
            <w:noWrap/>
            <w:vAlign w:val="bottom"/>
            <w:hideMark/>
          </w:tcPr>
          <w:p w:rsidR="00276080" w:rsidRPr="009D3827" w:rsidRDefault="00276080" w:rsidP="008C21AB">
            <w:pPr>
              <w:jc w:val="center"/>
              <w:rPr>
                <w:sz w:val="22"/>
                <w:szCs w:val="22"/>
                <w:lang w:eastAsia="uk-UA"/>
              </w:rPr>
            </w:pPr>
          </w:p>
        </w:tc>
        <w:tc>
          <w:tcPr>
            <w:tcW w:w="2896" w:type="dxa"/>
            <w:tcBorders>
              <w:top w:val="nil"/>
              <w:left w:val="nil"/>
              <w:bottom w:val="single" w:sz="4" w:space="0" w:color="auto"/>
              <w:right w:val="single" w:sz="4" w:space="0" w:color="auto"/>
            </w:tcBorders>
            <w:noWrap/>
            <w:vAlign w:val="bottom"/>
            <w:hideMark/>
          </w:tcPr>
          <w:p w:rsidR="00276080" w:rsidRPr="009D3827" w:rsidRDefault="00276080" w:rsidP="008C21AB">
            <w:pPr>
              <w:jc w:val="center"/>
              <w:rPr>
                <w:sz w:val="22"/>
                <w:szCs w:val="22"/>
                <w:lang w:eastAsia="uk-UA"/>
              </w:rPr>
            </w:pPr>
          </w:p>
        </w:tc>
        <w:tc>
          <w:tcPr>
            <w:tcW w:w="2199" w:type="dxa"/>
            <w:tcBorders>
              <w:top w:val="nil"/>
              <w:left w:val="nil"/>
              <w:bottom w:val="single" w:sz="4" w:space="0" w:color="auto"/>
              <w:right w:val="single" w:sz="4" w:space="0" w:color="auto"/>
            </w:tcBorders>
            <w:noWrap/>
            <w:vAlign w:val="bottom"/>
            <w:hideMark/>
          </w:tcPr>
          <w:p w:rsidR="00276080" w:rsidRPr="009D3827" w:rsidRDefault="00276080" w:rsidP="008C21AB">
            <w:pPr>
              <w:jc w:val="center"/>
              <w:rPr>
                <w:sz w:val="22"/>
                <w:szCs w:val="22"/>
                <w:lang w:eastAsia="uk-UA"/>
              </w:rPr>
            </w:pPr>
          </w:p>
        </w:tc>
        <w:tc>
          <w:tcPr>
            <w:tcW w:w="2418" w:type="dxa"/>
            <w:tcBorders>
              <w:top w:val="single" w:sz="4" w:space="0" w:color="auto"/>
              <w:left w:val="nil"/>
              <w:bottom w:val="single" w:sz="4" w:space="0" w:color="auto"/>
              <w:right w:val="single" w:sz="4" w:space="0" w:color="auto"/>
            </w:tcBorders>
          </w:tcPr>
          <w:p w:rsidR="00276080" w:rsidRPr="009D3827" w:rsidRDefault="00276080" w:rsidP="008C21AB">
            <w:pPr>
              <w:jc w:val="center"/>
              <w:rPr>
                <w:sz w:val="22"/>
                <w:szCs w:val="22"/>
                <w:lang w:eastAsia="uk-UA"/>
              </w:rPr>
            </w:pPr>
            <w:r w:rsidRPr="009D3827">
              <w:rPr>
                <w:sz w:val="22"/>
                <w:szCs w:val="22"/>
                <w:lang w:eastAsia="uk-UA"/>
              </w:rPr>
              <w:t>0%</w:t>
            </w:r>
          </w:p>
        </w:tc>
        <w:tc>
          <w:tcPr>
            <w:tcW w:w="2480" w:type="dxa"/>
            <w:tcBorders>
              <w:top w:val="single" w:sz="4" w:space="0" w:color="auto"/>
              <w:left w:val="single" w:sz="4" w:space="0" w:color="auto"/>
              <w:bottom w:val="single" w:sz="4" w:space="0" w:color="auto"/>
              <w:right w:val="single" w:sz="4" w:space="0" w:color="auto"/>
            </w:tcBorders>
            <w:noWrap/>
            <w:vAlign w:val="bottom"/>
            <w:hideMark/>
          </w:tcPr>
          <w:p w:rsidR="00276080" w:rsidRPr="009D3827" w:rsidRDefault="00276080" w:rsidP="008C21AB">
            <w:pPr>
              <w:jc w:val="center"/>
              <w:rPr>
                <w:sz w:val="22"/>
                <w:szCs w:val="22"/>
                <w:lang w:eastAsia="uk-UA"/>
              </w:rPr>
            </w:pPr>
          </w:p>
        </w:tc>
      </w:tr>
      <w:tr w:rsidR="00276080" w:rsidRPr="009D3827" w:rsidTr="0063264B">
        <w:trPr>
          <w:trHeight w:val="288"/>
        </w:trPr>
        <w:tc>
          <w:tcPr>
            <w:tcW w:w="1637" w:type="dxa"/>
            <w:vMerge w:val="restart"/>
            <w:tcBorders>
              <w:top w:val="nil"/>
              <w:left w:val="single" w:sz="8" w:space="0" w:color="auto"/>
              <w:bottom w:val="single" w:sz="8" w:space="0" w:color="000000"/>
              <w:right w:val="single" w:sz="4" w:space="0" w:color="auto"/>
            </w:tcBorders>
            <w:noWrap/>
            <w:vAlign w:val="center"/>
            <w:hideMark/>
          </w:tcPr>
          <w:p w:rsidR="00276080" w:rsidRPr="009D3827" w:rsidRDefault="00276080" w:rsidP="008C21AB">
            <w:pPr>
              <w:jc w:val="center"/>
              <w:rPr>
                <w:sz w:val="22"/>
                <w:szCs w:val="22"/>
                <w:lang w:eastAsia="uk-UA"/>
              </w:rPr>
            </w:pPr>
            <w:r w:rsidRPr="009D3827">
              <w:rPr>
                <w:sz w:val="22"/>
                <w:szCs w:val="22"/>
              </w:rPr>
              <w:t>6 рік першого регуляторного періоду</w:t>
            </w:r>
          </w:p>
        </w:tc>
        <w:tc>
          <w:tcPr>
            <w:tcW w:w="1340" w:type="dxa"/>
            <w:tcBorders>
              <w:top w:val="nil"/>
              <w:left w:val="nil"/>
              <w:bottom w:val="single" w:sz="4" w:space="0" w:color="auto"/>
              <w:right w:val="single" w:sz="4" w:space="0" w:color="auto"/>
            </w:tcBorders>
            <w:noWrap/>
            <w:vAlign w:val="bottom"/>
            <w:hideMark/>
          </w:tcPr>
          <w:p w:rsidR="00276080" w:rsidRPr="009D3827" w:rsidRDefault="00276080" w:rsidP="008C21AB">
            <w:pPr>
              <w:rPr>
                <w:sz w:val="22"/>
                <w:szCs w:val="22"/>
                <w:lang w:eastAsia="uk-UA"/>
              </w:rPr>
            </w:pPr>
            <w:r w:rsidRPr="009D3827">
              <w:rPr>
                <w:sz w:val="22"/>
                <w:szCs w:val="22"/>
                <w:lang w:eastAsia="uk-UA"/>
              </w:rPr>
              <w:t>1 клас</w:t>
            </w:r>
          </w:p>
        </w:tc>
        <w:tc>
          <w:tcPr>
            <w:tcW w:w="2347" w:type="dxa"/>
            <w:tcBorders>
              <w:top w:val="nil"/>
              <w:left w:val="nil"/>
              <w:bottom w:val="single" w:sz="4" w:space="0" w:color="auto"/>
              <w:right w:val="single" w:sz="4" w:space="0" w:color="auto"/>
            </w:tcBorders>
            <w:noWrap/>
            <w:vAlign w:val="bottom"/>
            <w:hideMark/>
          </w:tcPr>
          <w:p w:rsidR="00276080" w:rsidRPr="009D3827" w:rsidRDefault="00276080" w:rsidP="008C21AB">
            <w:pPr>
              <w:jc w:val="center"/>
              <w:rPr>
                <w:sz w:val="22"/>
                <w:szCs w:val="22"/>
                <w:lang w:eastAsia="uk-UA"/>
              </w:rPr>
            </w:pPr>
          </w:p>
        </w:tc>
        <w:tc>
          <w:tcPr>
            <w:tcW w:w="2896" w:type="dxa"/>
            <w:tcBorders>
              <w:top w:val="nil"/>
              <w:left w:val="nil"/>
              <w:bottom w:val="single" w:sz="4" w:space="0" w:color="auto"/>
              <w:right w:val="single" w:sz="4" w:space="0" w:color="auto"/>
            </w:tcBorders>
            <w:noWrap/>
            <w:vAlign w:val="bottom"/>
            <w:hideMark/>
          </w:tcPr>
          <w:p w:rsidR="00276080" w:rsidRPr="009D3827" w:rsidRDefault="00276080" w:rsidP="008C21AB">
            <w:pPr>
              <w:jc w:val="center"/>
              <w:rPr>
                <w:sz w:val="22"/>
                <w:szCs w:val="22"/>
                <w:lang w:eastAsia="uk-UA"/>
              </w:rPr>
            </w:pPr>
          </w:p>
        </w:tc>
        <w:tc>
          <w:tcPr>
            <w:tcW w:w="2199" w:type="dxa"/>
            <w:tcBorders>
              <w:top w:val="nil"/>
              <w:left w:val="nil"/>
              <w:bottom w:val="single" w:sz="4" w:space="0" w:color="auto"/>
              <w:right w:val="single" w:sz="4" w:space="0" w:color="auto"/>
            </w:tcBorders>
            <w:noWrap/>
            <w:vAlign w:val="bottom"/>
            <w:hideMark/>
          </w:tcPr>
          <w:p w:rsidR="00276080" w:rsidRPr="009D3827" w:rsidRDefault="00276080" w:rsidP="008C21AB">
            <w:pPr>
              <w:jc w:val="center"/>
              <w:rPr>
                <w:sz w:val="22"/>
                <w:szCs w:val="22"/>
                <w:lang w:eastAsia="uk-UA"/>
              </w:rPr>
            </w:pPr>
          </w:p>
        </w:tc>
        <w:tc>
          <w:tcPr>
            <w:tcW w:w="2418" w:type="dxa"/>
            <w:tcBorders>
              <w:top w:val="single" w:sz="4" w:space="0" w:color="auto"/>
              <w:left w:val="nil"/>
              <w:bottom w:val="single" w:sz="4" w:space="0" w:color="auto"/>
              <w:right w:val="single" w:sz="4" w:space="0" w:color="auto"/>
            </w:tcBorders>
          </w:tcPr>
          <w:p w:rsidR="00276080" w:rsidRPr="009D3827" w:rsidRDefault="00276080" w:rsidP="008C21AB">
            <w:pPr>
              <w:jc w:val="center"/>
              <w:rPr>
                <w:sz w:val="22"/>
                <w:szCs w:val="22"/>
                <w:lang w:eastAsia="uk-UA"/>
              </w:rPr>
            </w:pPr>
            <w:r w:rsidRPr="009D3827">
              <w:rPr>
                <w:sz w:val="22"/>
                <w:szCs w:val="22"/>
                <w:lang w:eastAsia="uk-UA"/>
              </w:rPr>
              <w:t>1%, крім ОСР з переліку додатку 32 до Порядку № 1175, - 0%</w:t>
            </w:r>
          </w:p>
        </w:tc>
        <w:tc>
          <w:tcPr>
            <w:tcW w:w="2480" w:type="dxa"/>
            <w:tcBorders>
              <w:top w:val="single" w:sz="4" w:space="0" w:color="auto"/>
              <w:left w:val="single" w:sz="4" w:space="0" w:color="auto"/>
              <w:bottom w:val="single" w:sz="4" w:space="0" w:color="auto"/>
              <w:right w:val="single" w:sz="4" w:space="0" w:color="auto"/>
            </w:tcBorders>
            <w:noWrap/>
            <w:vAlign w:val="bottom"/>
            <w:hideMark/>
          </w:tcPr>
          <w:p w:rsidR="00276080" w:rsidRPr="009D3827" w:rsidRDefault="00276080" w:rsidP="008C21AB">
            <w:pPr>
              <w:jc w:val="center"/>
              <w:rPr>
                <w:sz w:val="22"/>
                <w:szCs w:val="22"/>
                <w:lang w:eastAsia="uk-UA"/>
              </w:rPr>
            </w:pPr>
          </w:p>
        </w:tc>
      </w:tr>
      <w:tr w:rsidR="00276080" w:rsidRPr="009D3827" w:rsidTr="0063264B">
        <w:trPr>
          <w:trHeight w:val="300"/>
        </w:trPr>
        <w:tc>
          <w:tcPr>
            <w:tcW w:w="1637" w:type="dxa"/>
            <w:vMerge/>
            <w:tcBorders>
              <w:top w:val="nil"/>
              <w:left w:val="single" w:sz="8" w:space="0" w:color="auto"/>
              <w:bottom w:val="single" w:sz="8" w:space="0" w:color="000000"/>
              <w:right w:val="single" w:sz="4" w:space="0" w:color="auto"/>
            </w:tcBorders>
            <w:vAlign w:val="center"/>
            <w:hideMark/>
          </w:tcPr>
          <w:p w:rsidR="00276080" w:rsidRPr="009D3827" w:rsidRDefault="00276080" w:rsidP="008C21AB">
            <w:pPr>
              <w:rPr>
                <w:sz w:val="22"/>
                <w:szCs w:val="22"/>
                <w:lang w:eastAsia="uk-UA"/>
              </w:rPr>
            </w:pPr>
          </w:p>
        </w:tc>
        <w:tc>
          <w:tcPr>
            <w:tcW w:w="1340" w:type="dxa"/>
            <w:tcBorders>
              <w:top w:val="nil"/>
              <w:left w:val="nil"/>
              <w:bottom w:val="single" w:sz="8" w:space="0" w:color="auto"/>
              <w:right w:val="single" w:sz="4" w:space="0" w:color="auto"/>
            </w:tcBorders>
            <w:noWrap/>
            <w:vAlign w:val="bottom"/>
            <w:hideMark/>
          </w:tcPr>
          <w:p w:rsidR="00276080" w:rsidRPr="009D3827" w:rsidRDefault="00276080" w:rsidP="008C21AB">
            <w:pPr>
              <w:rPr>
                <w:sz w:val="22"/>
                <w:szCs w:val="22"/>
                <w:lang w:eastAsia="uk-UA"/>
              </w:rPr>
            </w:pPr>
            <w:r w:rsidRPr="009D3827">
              <w:rPr>
                <w:sz w:val="22"/>
                <w:szCs w:val="22"/>
                <w:lang w:eastAsia="uk-UA"/>
              </w:rPr>
              <w:t>2 клас</w:t>
            </w:r>
          </w:p>
        </w:tc>
        <w:tc>
          <w:tcPr>
            <w:tcW w:w="2347" w:type="dxa"/>
            <w:tcBorders>
              <w:top w:val="nil"/>
              <w:left w:val="nil"/>
              <w:bottom w:val="single" w:sz="8" w:space="0" w:color="auto"/>
              <w:right w:val="single" w:sz="4" w:space="0" w:color="auto"/>
            </w:tcBorders>
            <w:noWrap/>
            <w:vAlign w:val="bottom"/>
            <w:hideMark/>
          </w:tcPr>
          <w:p w:rsidR="00276080" w:rsidRPr="009D3827" w:rsidRDefault="00276080" w:rsidP="008C21AB">
            <w:pPr>
              <w:jc w:val="center"/>
              <w:rPr>
                <w:sz w:val="22"/>
                <w:szCs w:val="22"/>
                <w:lang w:eastAsia="uk-UA"/>
              </w:rPr>
            </w:pPr>
          </w:p>
        </w:tc>
        <w:tc>
          <w:tcPr>
            <w:tcW w:w="2896" w:type="dxa"/>
            <w:tcBorders>
              <w:top w:val="nil"/>
              <w:left w:val="nil"/>
              <w:bottom w:val="single" w:sz="8" w:space="0" w:color="auto"/>
              <w:right w:val="single" w:sz="4" w:space="0" w:color="auto"/>
            </w:tcBorders>
            <w:noWrap/>
            <w:vAlign w:val="bottom"/>
            <w:hideMark/>
          </w:tcPr>
          <w:p w:rsidR="00276080" w:rsidRPr="009D3827" w:rsidRDefault="00276080" w:rsidP="008C21AB">
            <w:pPr>
              <w:jc w:val="center"/>
              <w:rPr>
                <w:sz w:val="22"/>
                <w:szCs w:val="22"/>
                <w:lang w:eastAsia="uk-UA"/>
              </w:rPr>
            </w:pPr>
          </w:p>
        </w:tc>
        <w:tc>
          <w:tcPr>
            <w:tcW w:w="2199" w:type="dxa"/>
            <w:tcBorders>
              <w:top w:val="nil"/>
              <w:left w:val="nil"/>
              <w:bottom w:val="single" w:sz="8" w:space="0" w:color="auto"/>
              <w:right w:val="single" w:sz="4" w:space="0" w:color="auto"/>
            </w:tcBorders>
            <w:noWrap/>
            <w:vAlign w:val="bottom"/>
            <w:hideMark/>
          </w:tcPr>
          <w:p w:rsidR="00276080" w:rsidRPr="009D3827" w:rsidRDefault="00276080" w:rsidP="008C21AB">
            <w:pPr>
              <w:jc w:val="center"/>
              <w:rPr>
                <w:sz w:val="22"/>
                <w:szCs w:val="22"/>
                <w:lang w:eastAsia="uk-UA"/>
              </w:rPr>
            </w:pPr>
          </w:p>
        </w:tc>
        <w:tc>
          <w:tcPr>
            <w:tcW w:w="2418" w:type="dxa"/>
            <w:tcBorders>
              <w:top w:val="single" w:sz="4" w:space="0" w:color="auto"/>
              <w:left w:val="nil"/>
              <w:bottom w:val="single" w:sz="4" w:space="0" w:color="auto"/>
              <w:right w:val="single" w:sz="4" w:space="0" w:color="auto"/>
            </w:tcBorders>
          </w:tcPr>
          <w:p w:rsidR="00276080" w:rsidRPr="009D3827" w:rsidRDefault="00276080" w:rsidP="008C21AB">
            <w:pPr>
              <w:jc w:val="center"/>
              <w:rPr>
                <w:sz w:val="22"/>
                <w:szCs w:val="22"/>
                <w:lang w:eastAsia="uk-UA"/>
              </w:rPr>
            </w:pPr>
            <w:r w:rsidRPr="009D3827">
              <w:rPr>
                <w:sz w:val="22"/>
                <w:szCs w:val="22"/>
                <w:lang w:eastAsia="uk-UA"/>
              </w:rPr>
              <w:t>3.5%, крім ОСР з переліку додатку 32 до Порядку № 1175, - 0%</w:t>
            </w:r>
          </w:p>
        </w:tc>
        <w:tc>
          <w:tcPr>
            <w:tcW w:w="2480" w:type="dxa"/>
            <w:tcBorders>
              <w:top w:val="single" w:sz="4" w:space="0" w:color="auto"/>
              <w:left w:val="single" w:sz="4" w:space="0" w:color="auto"/>
              <w:bottom w:val="single" w:sz="4" w:space="0" w:color="auto"/>
              <w:right w:val="single" w:sz="4" w:space="0" w:color="auto"/>
            </w:tcBorders>
            <w:noWrap/>
            <w:vAlign w:val="bottom"/>
            <w:hideMark/>
          </w:tcPr>
          <w:p w:rsidR="00276080" w:rsidRPr="009D3827" w:rsidRDefault="00276080" w:rsidP="008C21AB">
            <w:pPr>
              <w:jc w:val="center"/>
              <w:rPr>
                <w:sz w:val="22"/>
                <w:szCs w:val="22"/>
                <w:lang w:eastAsia="uk-UA"/>
              </w:rPr>
            </w:pPr>
          </w:p>
        </w:tc>
      </w:tr>
    </w:tbl>
    <w:p w:rsidR="00276080" w:rsidRDefault="00276080" w:rsidP="00276080">
      <w:pPr>
        <w:rPr>
          <w:b/>
          <w:sz w:val="22"/>
          <w:szCs w:val="22"/>
        </w:rPr>
      </w:pPr>
    </w:p>
    <w:p w:rsidR="0063264B" w:rsidRDefault="0063264B" w:rsidP="00276080">
      <w:pPr>
        <w:rPr>
          <w:b/>
          <w:sz w:val="22"/>
          <w:szCs w:val="22"/>
        </w:rPr>
      </w:pPr>
    </w:p>
    <w:p w:rsidR="00276080" w:rsidRPr="0063264B" w:rsidRDefault="00276080" w:rsidP="00276080">
      <w:pPr>
        <w:rPr>
          <w:b/>
          <w:sz w:val="22"/>
          <w:szCs w:val="22"/>
        </w:rPr>
      </w:pPr>
      <w:r w:rsidRPr="009D3827">
        <w:rPr>
          <w:b/>
          <w:sz w:val="22"/>
          <w:szCs w:val="22"/>
        </w:rPr>
        <w:t>Таблиця 7</w:t>
      </w:r>
      <w:r w:rsidR="00BD6DD8">
        <w:rPr>
          <w:b/>
          <w:sz w:val="22"/>
          <w:szCs w:val="22"/>
        </w:rPr>
        <w:t>.</w:t>
      </w:r>
    </w:p>
    <w:tbl>
      <w:tblPr>
        <w:tblStyle w:val="a8"/>
        <w:tblW w:w="15309" w:type="dxa"/>
        <w:tblInd w:w="-5" w:type="dxa"/>
        <w:tblLook w:val="04A0" w:firstRow="1" w:lastRow="0" w:firstColumn="1" w:lastColumn="0" w:noHBand="0" w:noVBand="1"/>
      </w:tblPr>
      <w:tblGrid>
        <w:gridCol w:w="2776"/>
        <w:gridCol w:w="1637"/>
        <w:gridCol w:w="1736"/>
        <w:gridCol w:w="1736"/>
        <w:gridCol w:w="1736"/>
        <w:gridCol w:w="1736"/>
        <w:gridCol w:w="1736"/>
        <w:gridCol w:w="2216"/>
      </w:tblGrid>
      <w:tr w:rsidR="00276080" w:rsidRPr="009D3827" w:rsidTr="00175C8B">
        <w:trPr>
          <w:trHeight w:val="1669"/>
        </w:trPr>
        <w:tc>
          <w:tcPr>
            <w:tcW w:w="2977" w:type="dxa"/>
          </w:tcPr>
          <w:p w:rsidR="00276080" w:rsidRPr="009D3827" w:rsidRDefault="00276080" w:rsidP="008C21AB">
            <w:pPr>
              <w:pStyle w:val="rvps2"/>
              <w:spacing w:after="150"/>
              <w:jc w:val="both"/>
              <w:rPr>
                <w:bCs/>
                <w:color w:val="000000" w:themeColor="text1"/>
                <w:sz w:val="22"/>
                <w:szCs w:val="22"/>
                <w:lang w:val="uk-UA"/>
              </w:rPr>
            </w:pPr>
            <w:r w:rsidRPr="009D3827">
              <w:rPr>
                <w:bCs/>
                <w:color w:val="000000" w:themeColor="text1"/>
                <w:sz w:val="22"/>
                <w:szCs w:val="22"/>
                <w:lang w:val="uk-UA"/>
              </w:rPr>
              <w:t xml:space="preserve">Перелік </w:t>
            </w:r>
            <w:r w:rsidRPr="009D3827">
              <w:rPr>
                <w:b/>
                <w:color w:val="000000" w:themeColor="text1"/>
                <w:sz w:val="22"/>
                <w:szCs w:val="22"/>
                <w:lang w:val="uk-UA"/>
              </w:rPr>
              <w:t>фактичних</w:t>
            </w:r>
            <w:r w:rsidRPr="009D3827">
              <w:rPr>
                <w:bCs/>
                <w:color w:val="000000" w:themeColor="text1"/>
                <w:sz w:val="22"/>
                <w:szCs w:val="22"/>
                <w:lang w:val="uk-UA"/>
              </w:rPr>
              <w:t xml:space="preserve"> операційних контрольованих витрат з розподілу електричної енергії</w:t>
            </w:r>
          </w:p>
        </w:tc>
        <w:tc>
          <w:tcPr>
            <w:tcW w:w="1164" w:type="dxa"/>
          </w:tcPr>
          <w:p w:rsidR="00276080" w:rsidRPr="009D3827" w:rsidRDefault="00276080" w:rsidP="008C21AB">
            <w:pPr>
              <w:pStyle w:val="rvps2"/>
              <w:spacing w:after="150"/>
              <w:ind w:hanging="84"/>
              <w:jc w:val="center"/>
              <w:rPr>
                <w:bCs/>
                <w:color w:val="000000" w:themeColor="text1"/>
                <w:sz w:val="22"/>
                <w:szCs w:val="22"/>
                <w:lang w:val="uk-UA"/>
              </w:rPr>
            </w:pPr>
            <w:r w:rsidRPr="009D3827">
              <w:rPr>
                <w:bCs/>
                <w:color w:val="000000" w:themeColor="text1"/>
                <w:sz w:val="22"/>
                <w:szCs w:val="22"/>
                <w:lang w:val="uk-UA"/>
              </w:rPr>
              <w:t>Рік до переходу до стимулюючого</w:t>
            </w:r>
          </w:p>
        </w:tc>
        <w:tc>
          <w:tcPr>
            <w:tcW w:w="1766" w:type="dxa"/>
          </w:tcPr>
          <w:p w:rsidR="00276080" w:rsidRPr="009D3827" w:rsidRDefault="00276080" w:rsidP="008C21AB">
            <w:pPr>
              <w:pStyle w:val="rvps2"/>
              <w:spacing w:after="150"/>
              <w:ind w:hanging="84"/>
              <w:jc w:val="center"/>
              <w:rPr>
                <w:bCs/>
                <w:color w:val="000000" w:themeColor="text1"/>
                <w:sz w:val="22"/>
                <w:szCs w:val="22"/>
                <w:lang w:val="uk-UA"/>
              </w:rPr>
            </w:pPr>
            <w:r w:rsidRPr="009D3827">
              <w:rPr>
                <w:bCs/>
                <w:color w:val="000000" w:themeColor="text1"/>
                <w:sz w:val="22"/>
                <w:szCs w:val="22"/>
                <w:lang w:val="uk-UA"/>
              </w:rPr>
              <w:t>1 рік першого регуляторного періоду (1%)</w:t>
            </w:r>
          </w:p>
        </w:tc>
        <w:tc>
          <w:tcPr>
            <w:tcW w:w="1766" w:type="dxa"/>
          </w:tcPr>
          <w:p w:rsidR="00276080" w:rsidRPr="009D3827" w:rsidRDefault="00276080" w:rsidP="008C21AB">
            <w:pPr>
              <w:pStyle w:val="rvps2"/>
              <w:spacing w:after="150"/>
              <w:jc w:val="center"/>
              <w:rPr>
                <w:bCs/>
                <w:color w:val="000000" w:themeColor="text1"/>
                <w:sz w:val="22"/>
                <w:szCs w:val="22"/>
                <w:lang w:val="uk-UA"/>
              </w:rPr>
            </w:pPr>
            <w:r w:rsidRPr="009D3827">
              <w:rPr>
                <w:bCs/>
                <w:color w:val="000000" w:themeColor="text1"/>
                <w:sz w:val="22"/>
                <w:szCs w:val="22"/>
                <w:lang w:val="uk-UA"/>
              </w:rPr>
              <w:t xml:space="preserve">2 рік першого регуляторного періоду (1%) </w:t>
            </w:r>
          </w:p>
        </w:tc>
        <w:tc>
          <w:tcPr>
            <w:tcW w:w="1766" w:type="dxa"/>
          </w:tcPr>
          <w:p w:rsidR="00276080" w:rsidRPr="009D3827" w:rsidRDefault="00276080" w:rsidP="008C21AB">
            <w:pPr>
              <w:pStyle w:val="rvps2"/>
              <w:spacing w:after="150"/>
              <w:jc w:val="center"/>
              <w:rPr>
                <w:bCs/>
                <w:color w:val="000000" w:themeColor="text1"/>
                <w:sz w:val="22"/>
                <w:szCs w:val="22"/>
                <w:lang w:val="uk-UA"/>
              </w:rPr>
            </w:pPr>
            <w:r w:rsidRPr="009D3827">
              <w:rPr>
                <w:bCs/>
                <w:color w:val="000000" w:themeColor="text1"/>
                <w:sz w:val="22"/>
                <w:szCs w:val="22"/>
                <w:lang w:val="uk-UA"/>
              </w:rPr>
              <w:t>3 рік першого регуляторного періоду (0%)</w:t>
            </w:r>
          </w:p>
        </w:tc>
        <w:tc>
          <w:tcPr>
            <w:tcW w:w="1766" w:type="dxa"/>
          </w:tcPr>
          <w:p w:rsidR="00276080" w:rsidRPr="009D3827" w:rsidRDefault="00276080" w:rsidP="008C21AB">
            <w:pPr>
              <w:pStyle w:val="rvps2"/>
              <w:spacing w:after="150"/>
              <w:jc w:val="center"/>
              <w:rPr>
                <w:bCs/>
                <w:color w:val="000000" w:themeColor="text1"/>
                <w:sz w:val="22"/>
                <w:szCs w:val="22"/>
                <w:lang w:val="uk-UA"/>
              </w:rPr>
            </w:pPr>
            <w:r w:rsidRPr="009D3827">
              <w:rPr>
                <w:bCs/>
                <w:color w:val="000000" w:themeColor="text1"/>
                <w:sz w:val="22"/>
                <w:szCs w:val="22"/>
                <w:lang w:val="uk-UA"/>
              </w:rPr>
              <w:t>4 рік першого регуляторного періоду (0%)</w:t>
            </w:r>
          </w:p>
        </w:tc>
        <w:tc>
          <w:tcPr>
            <w:tcW w:w="1766" w:type="dxa"/>
          </w:tcPr>
          <w:p w:rsidR="00276080" w:rsidRPr="009D3827" w:rsidRDefault="00276080" w:rsidP="008C21AB">
            <w:pPr>
              <w:pStyle w:val="rvps2"/>
              <w:spacing w:after="150"/>
              <w:jc w:val="center"/>
              <w:rPr>
                <w:bCs/>
                <w:color w:val="000000" w:themeColor="text1"/>
                <w:sz w:val="22"/>
                <w:szCs w:val="22"/>
                <w:lang w:val="uk-UA"/>
              </w:rPr>
            </w:pPr>
            <w:r w:rsidRPr="009D3827">
              <w:rPr>
                <w:bCs/>
                <w:color w:val="000000" w:themeColor="text1"/>
                <w:sz w:val="22"/>
                <w:szCs w:val="22"/>
                <w:lang w:val="uk-UA"/>
              </w:rPr>
              <w:t>5 рік першого регуляторного періоду (0%)</w:t>
            </w:r>
          </w:p>
        </w:tc>
        <w:tc>
          <w:tcPr>
            <w:tcW w:w="2338" w:type="dxa"/>
          </w:tcPr>
          <w:p w:rsidR="00276080" w:rsidRPr="009D3827" w:rsidRDefault="00276080" w:rsidP="008C21AB">
            <w:pPr>
              <w:pStyle w:val="rvps2"/>
              <w:spacing w:after="150"/>
              <w:jc w:val="center"/>
              <w:rPr>
                <w:bCs/>
                <w:color w:val="000000" w:themeColor="text1"/>
                <w:sz w:val="22"/>
                <w:szCs w:val="22"/>
                <w:lang w:val="uk-UA"/>
              </w:rPr>
            </w:pPr>
            <w:r w:rsidRPr="009D3827">
              <w:rPr>
                <w:bCs/>
                <w:color w:val="000000" w:themeColor="text1"/>
                <w:sz w:val="22"/>
                <w:szCs w:val="22"/>
                <w:lang w:val="uk-UA"/>
              </w:rPr>
              <w:t>6  рік першого регуляторного періоду (1%, крім ОСР з переліку додатку 32 до Порядку № 1175, - 0%)</w:t>
            </w:r>
          </w:p>
        </w:tc>
      </w:tr>
      <w:tr w:rsidR="00276080" w:rsidRPr="009D3827" w:rsidTr="00175C8B">
        <w:trPr>
          <w:trHeight w:val="174"/>
        </w:trPr>
        <w:tc>
          <w:tcPr>
            <w:tcW w:w="2977" w:type="dxa"/>
          </w:tcPr>
          <w:p w:rsidR="00276080" w:rsidRPr="009D3827" w:rsidRDefault="00276080" w:rsidP="008C21AB">
            <w:pPr>
              <w:pStyle w:val="rvps2"/>
              <w:spacing w:after="150"/>
              <w:jc w:val="both"/>
              <w:rPr>
                <w:bCs/>
                <w:color w:val="000000" w:themeColor="text1"/>
                <w:sz w:val="22"/>
                <w:szCs w:val="22"/>
                <w:lang w:val="uk-UA"/>
              </w:rPr>
            </w:pPr>
            <w:r w:rsidRPr="009D3827">
              <w:rPr>
                <w:bCs/>
                <w:color w:val="000000" w:themeColor="text1"/>
                <w:sz w:val="22"/>
                <w:szCs w:val="22"/>
                <w:lang w:val="uk-UA"/>
              </w:rPr>
              <w:t>……</w:t>
            </w:r>
          </w:p>
        </w:tc>
        <w:tc>
          <w:tcPr>
            <w:tcW w:w="1164" w:type="dxa"/>
          </w:tcPr>
          <w:p w:rsidR="00276080" w:rsidRPr="009D3827" w:rsidRDefault="00276080" w:rsidP="008C21AB">
            <w:pPr>
              <w:pStyle w:val="rvps2"/>
              <w:spacing w:after="150"/>
              <w:jc w:val="both"/>
              <w:rPr>
                <w:bCs/>
                <w:color w:val="000000" w:themeColor="text1"/>
                <w:sz w:val="22"/>
                <w:szCs w:val="22"/>
                <w:lang w:val="uk-UA"/>
              </w:rPr>
            </w:pPr>
          </w:p>
        </w:tc>
        <w:tc>
          <w:tcPr>
            <w:tcW w:w="1766" w:type="dxa"/>
          </w:tcPr>
          <w:p w:rsidR="00276080" w:rsidRPr="009D3827" w:rsidRDefault="00276080" w:rsidP="008C21AB">
            <w:pPr>
              <w:pStyle w:val="rvps2"/>
              <w:spacing w:after="150"/>
              <w:jc w:val="both"/>
              <w:rPr>
                <w:bCs/>
                <w:color w:val="000000" w:themeColor="text1"/>
                <w:sz w:val="22"/>
                <w:szCs w:val="22"/>
                <w:lang w:val="uk-UA"/>
              </w:rPr>
            </w:pPr>
          </w:p>
        </w:tc>
        <w:tc>
          <w:tcPr>
            <w:tcW w:w="1766" w:type="dxa"/>
          </w:tcPr>
          <w:p w:rsidR="00276080" w:rsidRPr="009D3827" w:rsidRDefault="00276080" w:rsidP="008C21AB">
            <w:pPr>
              <w:pStyle w:val="rvps2"/>
              <w:spacing w:after="150"/>
              <w:jc w:val="both"/>
              <w:rPr>
                <w:bCs/>
                <w:color w:val="000000" w:themeColor="text1"/>
                <w:sz w:val="22"/>
                <w:szCs w:val="22"/>
                <w:lang w:val="uk-UA"/>
              </w:rPr>
            </w:pPr>
          </w:p>
        </w:tc>
        <w:tc>
          <w:tcPr>
            <w:tcW w:w="1766" w:type="dxa"/>
          </w:tcPr>
          <w:p w:rsidR="00276080" w:rsidRPr="009D3827" w:rsidRDefault="00276080" w:rsidP="008C21AB">
            <w:pPr>
              <w:pStyle w:val="rvps2"/>
              <w:spacing w:after="150"/>
              <w:jc w:val="both"/>
              <w:rPr>
                <w:bCs/>
                <w:color w:val="000000" w:themeColor="text1"/>
                <w:sz w:val="22"/>
                <w:szCs w:val="22"/>
                <w:lang w:val="uk-UA"/>
              </w:rPr>
            </w:pPr>
          </w:p>
        </w:tc>
        <w:tc>
          <w:tcPr>
            <w:tcW w:w="1766" w:type="dxa"/>
          </w:tcPr>
          <w:p w:rsidR="00276080" w:rsidRPr="009D3827" w:rsidRDefault="00276080" w:rsidP="008C21AB">
            <w:pPr>
              <w:pStyle w:val="rvps2"/>
              <w:spacing w:after="150"/>
              <w:jc w:val="both"/>
              <w:rPr>
                <w:bCs/>
                <w:color w:val="000000" w:themeColor="text1"/>
                <w:sz w:val="22"/>
                <w:szCs w:val="22"/>
                <w:lang w:val="uk-UA"/>
              </w:rPr>
            </w:pPr>
          </w:p>
        </w:tc>
        <w:tc>
          <w:tcPr>
            <w:tcW w:w="1766" w:type="dxa"/>
          </w:tcPr>
          <w:p w:rsidR="00276080" w:rsidRPr="009D3827" w:rsidRDefault="00276080" w:rsidP="008C21AB">
            <w:pPr>
              <w:pStyle w:val="rvps2"/>
              <w:spacing w:after="150"/>
              <w:jc w:val="both"/>
              <w:rPr>
                <w:bCs/>
                <w:color w:val="000000" w:themeColor="text1"/>
                <w:sz w:val="22"/>
                <w:szCs w:val="22"/>
                <w:lang w:val="uk-UA"/>
              </w:rPr>
            </w:pPr>
          </w:p>
        </w:tc>
        <w:tc>
          <w:tcPr>
            <w:tcW w:w="2338" w:type="dxa"/>
          </w:tcPr>
          <w:p w:rsidR="00276080" w:rsidRPr="009D3827" w:rsidRDefault="00276080" w:rsidP="008C21AB">
            <w:pPr>
              <w:pStyle w:val="rvps2"/>
              <w:spacing w:after="150"/>
              <w:jc w:val="both"/>
              <w:rPr>
                <w:bCs/>
                <w:color w:val="000000" w:themeColor="text1"/>
                <w:sz w:val="22"/>
                <w:szCs w:val="22"/>
                <w:lang w:val="uk-UA"/>
              </w:rPr>
            </w:pPr>
          </w:p>
        </w:tc>
      </w:tr>
      <w:tr w:rsidR="00276080" w:rsidRPr="009D3827" w:rsidTr="00175C8B">
        <w:trPr>
          <w:trHeight w:val="174"/>
        </w:trPr>
        <w:tc>
          <w:tcPr>
            <w:tcW w:w="2977" w:type="dxa"/>
          </w:tcPr>
          <w:p w:rsidR="00276080" w:rsidRPr="009D3827" w:rsidRDefault="00276080" w:rsidP="008C21AB">
            <w:pPr>
              <w:pStyle w:val="rvps2"/>
              <w:spacing w:after="150"/>
              <w:jc w:val="both"/>
              <w:rPr>
                <w:bCs/>
                <w:i/>
                <w:color w:val="000000" w:themeColor="text1"/>
                <w:sz w:val="22"/>
                <w:szCs w:val="22"/>
                <w:highlight w:val="yellow"/>
                <w:lang w:val="uk-UA"/>
              </w:rPr>
            </w:pPr>
            <w:r w:rsidRPr="009D3827">
              <w:rPr>
                <w:bCs/>
                <w:color w:val="000000" w:themeColor="text1"/>
                <w:sz w:val="22"/>
                <w:szCs w:val="22"/>
                <w:lang w:val="uk-UA"/>
              </w:rPr>
              <w:t>……</w:t>
            </w:r>
          </w:p>
        </w:tc>
        <w:tc>
          <w:tcPr>
            <w:tcW w:w="1164" w:type="dxa"/>
          </w:tcPr>
          <w:p w:rsidR="00276080" w:rsidRPr="009D3827" w:rsidRDefault="00276080" w:rsidP="008C21AB">
            <w:pPr>
              <w:pStyle w:val="rvps2"/>
              <w:spacing w:after="150"/>
              <w:jc w:val="both"/>
              <w:rPr>
                <w:bCs/>
                <w:color w:val="000000" w:themeColor="text1"/>
                <w:sz w:val="22"/>
                <w:szCs w:val="22"/>
                <w:highlight w:val="yellow"/>
                <w:lang w:val="uk-UA"/>
              </w:rPr>
            </w:pPr>
          </w:p>
        </w:tc>
        <w:tc>
          <w:tcPr>
            <w:tcW w:w="1766" w:type="dxa"/>
          </w:tcPr>
          <w:p w:rsidR="00276080" w:rsidRPr="009D3827" w:rsidRDefault="00276080" w:rsidP="008C21AB">
            <w:pPr>
              <w:pStyle w:val="rvps2"/>
              <w:spacing w:after="150"/>
              <w:jc w:val="both"/>
              <w:rPr>
                <w:bCs/>
                <w:color w:val="000000" w:themeColor="text1"/>
                <w:sz w:val="22"/>
                <w:szCs w:val="22"/>
                <w:highlight w:val="yellow"/>
                <w:lang w:val="uk-UA"/>
              </w:rPr>
            </w:pPr>
          </w:p>
        </w:tc>
        <w:tc>
          <w:tcPr>
            <w:tcW w:w="1766" w:type="dxa"/>
          </w:tcPr>
          <w:p w:rsidR="00276080" w:rsidRPr="009D3827" w:rsidRDefault="00276080" w:rsidP="008C21AB">
            <w:pPr>
              <w:pStyle w:val="rvps2"/>
              <w:spacing w:after="150"/>
              <w:jc w:val="both"/>
              <w:rPr>
                <w:bCs/>
                <w:color w:val="000000" w:themeColor="text1"/>
                <w:sz w:val="22"/>
                <w:szCs w:val="22"/>
                <w:highlight w:val="yellow"/>
                <w:lang w:val="uk-UA"/>
              </w:rPr>
            </w:pPr>
          </w:p>
        </w:tc>
        <w:tc>
          <w:tcPr>
            <w:tcW w:w="1766" w:type="dxa"/>
          </w:tcPr>
          <w:p w:rsidR="00276080" w:rsidRPr="009D3827" w:rsidRDefault="00276080" w:rsidP="008C21AB">
            <w:pPr>
              <w:pStyle w:val="rvps2"/>
              <w:spacing w:after="150"/>
              <w:jc w:val="both"/>
              <w:rPr>
                <w:bCs/>
                <w:color w:val="000000" w:themeColor="text1"/>
                <w:sz w:val="22"/>
                <w:szCs w:val="22"/>
                <w:highlight w:val="yellow"/>
                <w:lang w:val="uk-UA"/>
              </w:rPr>
            </w:pPr>
          </w:p>
        </w:tc>
        <w:tc>
          <w:tcPr>
            <w:tcW w:w="1766" w:type="dxa"/>
          </w:tcPr>
          <w:p w:rsidR="00276080" w:rsidRPr="009D3827" w:rsidRDefault="00276080" w:rsidP="008C21AB">
            <w:pPr>
              <w:pStyle w:val="rvps2"/>
              <w:spacing w:after="150"/>
              <w:jc w:val="both"/>
              <w:rPr>
                <w:bCs/>
                <w:color w:val="000000" w:themeColor="text1"/>
                <w:sz w:val="22"/>
                <w:szCs w:val="22"/>
                <w:highlight w:val="yellow"/>
                <w:lang w:val="uk-UA"/>
              </w:rPr>
            </w:pPr>
          </w:p>
        </w:tc>
        <w:tc>
          <w:tcPr>
            <w:tcW w:w="1766" w:type="dxa"/>
          </w:tcPr>
          <w:p w:rsidR="00276080" w:rsidRPr="009D3827" w:rsidRDefault="00276080" w:rsidP="008C21AB">
            <w:pPr>
              <w:pStyle w:val="rvps2"/>
              <w:spacing w:after="150"/>
              <w:jc w:val="both"/>
              <w:rPr>
                <w:bCs/>
                <w:color w:val="000000" w:themeColor="text1"/>
                <w:sz w:val="22"/>
                <w:szCs w:val="22"/>
                <w:highlight w:val="yellow"/>
                <w:lang w:val="uk-UA"/>
              </w:rPr>
            </w:pPr>
          </w:p>
        </w:tc>
        <w:tc>
          <w:tcPr>
            <w:tcW w:w="2338" w:type="dxa"/>
          </w:tcPr>
          <w:p w:rsidR="00276080" w:rsidRPr="009D3827" w:rsidRDefault="00276080" w:rsidP="008C21AB">
            <w:pPr>
              <w:pStyle w:val="rvps2"/>
              <w:spacing w:after="150"/>
              <w:jc w:val="both"/>
              <w:rPr>
                <w:bCs/>
                <w:color w:val="000000" w:themeColor="text1"/>
                <w:sz w:val="22"/>
                <w:szCs w:val="22"/>
                <w:highlight w:val="yellow"/>
                <w:lang w:val="uk-UA"/>
              </w:rPr>
            </w:pPr>
          </w:p>
        </w:tc>
      </w:tr>
      <w:tr w:rsidR="00276080" w:rsidRPr="009D3827" w:rsidTr="00175C8B">
        <w:trPr>
          <w:trHeight w:val="174"/>
        </w:trPr>
        <w:tc>
          <w:tcPr>
            <w:tcW w:w="2977" w:type="dxa"/>
          </w:tcPr>
          <w:p w:rsidR="00276080" w:rsidRPr="009D3827" w:rsidRDefault="00276080" w:rsidP="008C21AB">
            <w:pPr>
              <w:pStyle w:val="rvps2"/>
              <w:spacing w:after="150"/>
              <w:jc w:val="both"/>
              <w:rPr>
                <w:bCs/>
                <w:color w:val="000000" w:themeColor="text1"/>
                <w:sz w:val="22"/>
                <w:szCs w:val="22"/>
                <w:highlight w:val="yellow"/>
                <w:lang w:val="uk-UA"/>
              </w:rPr>
            </w:pPr>
            <w:r w:rsidRPr="009D3827">
              <w:rPr>
                <w:bCs/>
                <w:color w:val="000000" w:themeColor="text1"/>
                <w:sz w:val="22"/>
                <w:szCs w:val="22"/>
                <w:lang w:val="uk-UA"/>
              </w:rPr>
              <w:t>……</w:t>
            </w:r>
          </w:p>
        </w:tc>
        <w:tc>
          <w:tcPr>
            <w:tcW w:w="1164" w:type="dxa"/>
          </w:tcPr>
          <w:p w:rsidR="00276080" w:rsidRPr="009D3827" w:rsidRDefault="00276080" w:rsidP="008C21AB">
            <w:pPr>
              <w:pStyle w:val="rvps2"/>
              <w:spacing w:after="150"/>
              <w:jc w:val="both"/>
              <w:rPr>
                <w:bCs/>
                <w:color w:val="000000" w:themeColor="text1"/>
                <w:sz w:val="22"/>
                <w:szCs w:val="22"/>
                <w:highlight w:val="yellow"/>
                <w:lang w:val="uk-UA"/>
              </w:rPr>
            </w:pPr>
          </w:p>
        </w:tc>
        <w:tc>
          <w:tcPr>
            <w:tcW w:w="1766" w:type="dxa"/>
          </w:tcPr>
          <w:p w:rsidR="00276080" w:rsidRPr="009D3827" w:rsidRDefault="00276080" w:rsidP="008C21AB">
            <w:pPr>
              <w:pStyle w:val="rvps2"/>
              <w:spacing w:after="150"/>
              <w:jc w:val="both"/>
              <w:rPr>
                <w:bCs/>
                <w:color w:val="000000" w:themeColor="text1"/>
                <w:sz w:val="22"/>
                <w:szCs w:val="22"/>
                <w:highlight w:val="yellow"/>
                <w:lang w:val="uk-UA"/>
              </w:rPr>
            </w:pPr>
          </w:p>
        </w:tc>
        <w:tc>
          <w:tcPr>
            <w:tcW w:w="1766" w:type="dxa"/>
          </w:tcPr>
          <w:p w:rsidR="00276080" w:rsidRPr="009D3827" w:rsidRDefault="00276080" w:rsidP="008C21AB">
            <w:pPr>
              <w:pStyle w:val="rvps2"/>
              <w:spacing w:after="150"/>
              <w:jc w:val="both"/>
              <w:rPr>
                <w:bCs/>
                <w:color w:val="000000" w:themeColor="text1"/>
                <w:sz w:val="22"/>
                <w:szCs w:val="22"/>
                <w:highlight w:val="yellow"/>
                <w:lang w:val="uk-UA"/>
              </w:rPr>
            </w:pPr>
          </w:p>
        </w:tc>
        <w:tc>
          <w:tcPr>
            <w:tcW w:w="1766" w:type="dxa"/>
          </w:tcPr>
          <w:p w:rsidR="00276080" w:rsidRPr="009D3827" w:rsidRDefault="00276080" w:rsidP="008C21AB">
            <w:pPr>
              <w:pStyle w:val="rvps2"/>
              <w:spacing w:after="150"/>
              <w:jc w:val="both"/>
              <w:rPr>
                <w:bCs/>
                <w:color w:val="000000" w:themeColor="text1"/>
                <w:sz w:val="22"/>
                <w:szCs w:val="22"/>
                <w:highlight w:val="yellow"/>
                <w:lang w:val="uk-UA"/>
              </w:rPr>
            </w:pPr>
          </w:p>
        </w:tc>
        <w:tc>
          <w:tcPr>
            <w:tcW w:w="1766" w:type="dxa"/>
          </w:tcPr>
          <w:p w:rsidR="00276080" w:rsidRPr="009D3827" w:rsidRDefault="00276080" w:rsidP="008C21AB">
            <w:pPr>
              <w:pStyle w:val="rvps2"/>
              <w:spacing w:after="150"/>
              <w:jc w:val="both"/>
              <w:rPr>
                <w:bCs/>
                <w:color w:val="000000" w:themeColor="text1"/>
                <w:sz w:val="22"/>
                <w:szCs w:val="22"/>
                <w:highlight w:val="yellow"/>
                <w:lang w:val="uk-UA"/>
              </w:rPr>
            </w:pPr>
          </w:p>
        </w:tc>
        <w:tc>
          <w:tcPr>
            <w:tcW w:w="1766" w:type="dxa"/>
          </w:tcPr>
          <w:p w:rsidR="00276080" w:rsidRPr="009D3827" w:rsidRDefault="00276080" w:rsidP="008C21AB">
            <w:pPr>
              <w:pStyle w:val="rvps2"/>
              <w:spacing w:after="150"/>
              <w:jc w:val="both"/>
              <w:rPr>
                <w:bCs/>
                <w:color w:val="000000" w:themeColor="text1"/>
                <w:sz w:val="22"/>
                <w:szCs w:val="22"/>
                <w:highlight w:val="yellow"/>
                <w:lang w:val="uk-UA"/>
              </w:rPr>
            </w:pPr>
          </w:p>
        </w:tc>
        <w:tc>
          <w:tcPr>
            <w:tcW w:w="2338" w:type="dxa"/>
          </w:tcPr>
          <w:p w:rsidR="00276080" w:rsidRPr="009D3827" w:rsidRDefault="00276080" w:rsidP="008C21AB">
            <w:pPr>
              <w:pStyle w:val="rvps2"/>
              <w:spacing w:after="150"/>
              <w:jc w:val="both"/>
              <w:rPr>
                <w:bCs/>
                <w:color w:val="000000" w:themeColor="text1"/>
                <w:sz w:val="22"/>
                <w:szCs w:val="22"/>
                <w:highlight w:val="yellow"/>
                <w:lang w:val="uk-UA"/>
              </w:rPr>
            </w:pPr>
          </w:p>
        </w:tc>
      </w:tr>
      <w:tr w:rsidR="00276080" w:rsidRPr="009D3827" w:rsidTr="00175C8B">
        <w:trPr>
          <w:trHeight w:val="349"/>
        </w:trPr>
        <w:tc>
          <w:tcPr>
            <w:tcW w:w="2977" w:type="dxa"/>
          </w:tcPr>
          <w:p w:rsidR="00276080" w:rsidRPr="009D3827" w:rsidRDefault="00276080" w:rsidP="008C21AB">
            <w:pPr>
              <w:rPr>
                <w:bCs/>
                <w:i/>
                <w:color w:val="000000" w:themeColor="text1"/>
                <w:sz w:val="22"/>
                <w:szCs w:val="22"/>
                <w:lang w:eastAsia="uk-UA"/>
              </w:rPr>
            </w:pPr>
            <w:r w:rsidRPr="009D3827">
              <w:rPr>
                <w:bCs/>
                <w:i/>
                <w:color w:val="000000" w:themeColor="text1"/>
                <w:sz w:val="22"/>
                <w:szCs w:val="22"/>
                <w:lang w:eastAsia="uk-UA"/>
              </w:rPr>
              <w:t>Всього ОКВ тис. грн</w:t>
            </w:r>
          </w:p>
        </w:tc>
        <w:tc>
          <w:tcPr>
            <w:tcW w:w="1164" w:type="dxa"/>
          </w:tcPr>
          <w:p w:rsidR="00276080" w:rsidRPr="009D3827" w:rsidRDefault="00276080" w:rsidP="008C21AB">
            <w:pPr>
              <w:pStyle w:val="rvps2"/>
              <w:spacing w:after="150"/>
              <w:jc w:val="both"/>
              <w:rPr>
                <w:bCs/>
                <w:color w:val="000000" w:themeColor="text1"/>
                <w:sz w:val="22"/>
                <w:szCs w:val="22"/>
                <w:highlight w:val="yellow"/>
                <w:lang w:val="uk-UA"/>
              </w:rPr>
            </w:pPr>
          </w:p>
        </w:tc>
        <w:tc>
          <w:tcPr>
            <w:tcW w:w="1766" w:type="dxa"/>
          </w:tcPr>
          <w:p w:rsidR="00276080" w:rsidRPr="009D3827" w:rsidRDefault="00276080" w:rsidP="008C21AB">
            <w:pPr>
              <w:pStyle w:val="rvps2"/>
              <w:spacing w:after="150"/>
              <w:jc w:val="both"/>
              <w:rPr>
                <w:bCs/>
                <w:color w:val="000000" w:themeColor="text1"/>
                <w:sz w:val="22"/>
                <w:szCs w:val="22"/>
                <w:highlight w:val="yellow"/>
                <w:lang w:val="uk-UA"/>
              </w:rPr>
            </w:pPr>
          </w:p>
        </w:tc>
        <w:tc>
          <w:tcPr>
            <w:tcW w:w="1766" w:type="dxa"/>
          </w:tcPr>
          <w:p w:rsidR="00276080" w:rsidRPr="009D3827" w:rsidRDefault="00276080" w:rsidP="008C21AB">
            <w:pPr>
              <w:pStyle w:val="rvps2"/>
              <w:spacing w:after="150"/>
              <w:jc w:val="both"/>
              <w:rPr>
                <w:bCs/>
                <w:color w:val="000000" w:themeColor="text1"/>
                <w:sz w:val="22"/>
                <w:szCs w:val="22"/>
                <w:highlight w:val="yellow"/>
                <w:lang w:val="uk-UA"/>
              </w:rPr>
            </w:pPr>
          </w:p>
        </w:tc>
        <w:tc>
          <w:tcPr>
            <w:tcW w:w="1766" w:type="dxa"/>
          </w:tcPr>
          <w:p w:rsidR="00276080" w:rsidRPr="009D3827" w:rsidRDefault="00276080" w:rsidP="008C21AB">
            <w:pPr>
              <w:pStyle w:val="rvps2"/>
              <w:spacing w:after="150"/>
              <w:jc w:val="both"/>
              <w:rPr>
                <w:bCs/>
                <w:color w:val="000000" w:themeColor="text1"/>
                <w:sz w:val="22"/>
                <w:szCs w:val="22"/>
                <w:highlight w:val="yellow"/>
                <w:lang w:val="uk-UA"/>
              </w:rPr>
            </w:pPr>
          </w:p>
        </w:tc>
        <w:tc>
          <w:tcPr>
            <w:tcW w:w="1766" w:type="dxa"/>
          </w:tcPr>
          <w:p w:rsidR="00276080" w:rsidRPr="009D3827" w:rsidRDefault="00276080" w:rsidP="008C21AB">
            <w:pPr>
              <w:pStyle w:val="rvps2"/>
              <w:spacing w:after="150"/>
              <w:jc w:val="both"/>
              <w:rPr>
                <w:bCs/>
                <w:color w:val="000000" w:themeColor="text1"/>
                <w:sz w:val="22"/>
                <w:szCs w:val="22"/>
                <w:highlight w:val="yellow"/>
                <w:lang w:val="uk-UA"/>
              </w:rPr>
            </w:pPr>
          </w:p>
        </w:tc>
        <w:tc>
          <w:tcPr>
            <w:tcW w:w="1766" w:type="dxa"/>
          </w:tcPr>
          <w:p w:rsidR="00276080" w:rsidRPr="009D3827" w:rsidRDefault="00276080" w:rsidP="008C21AB">
            <w:pPr>
              <w:pStyle w:val="rvps2"/>
              <w:spacing w:after="150"/>
              <w:jc w:val="both"/>
              <w:rPr>
                <w:bCs/>
                <w:color w:val="000000" w:themeColor="text1"/>
                <w:sz w:val="22"/>
                <w:szCs w:val="22"/>
                <w:highlight w:val="yellow"/>
                <w:lang w:val="uk-UA"/>
              </w:rPr>
            </w:pPr>
          </w:p>
        </w:tc>
        <w:tc>
          <w:tcPr>
            <w:tcW w:w="2338" w:type="dxa"/>
          </w:tcPr>
          <w:p w:rsidR="00276080" w:rsidRPr="009D3827" w:rsidRDefault="00276080" w:rsidP="008C21AB">
            <w:pPr>
              <w:pStyle w:val="rvps2"/>
              <w:spacing w:after="150"/>
              <w:jc w:val="both"/>
              <w:rPr>
                <w:bCs/>
                <w:color w:val="000000" w:themeColor="text1"/>
                <w:sz w:val="22"/>
                <w:szCs w:val="22"/>
                <w:highlight w:val="yellow"/>
                <w:lang w:val="uk-UA"/>
              </w:rPr>
            </w:pPr>
          </w:p>
        </w:tc>
      </w:tr>
      <w:tr w:rsidR="00276080" w:rsidRPr="009D3827" w:rsidTr="00175C8B">
        <w:trPr>
          <w:trHeight w:val="1256"/>
        </w:trPr>
        <w:tc>
          <w:tcPr>
            <w:tcW w:w="2977" w:type="dxa"/>
          </w:tcPr>
          <w:p w:rsidR="00276080" w:rsidRPr="009D3827" w:rsidRDefault="00276080" w:rsidP="008C21AB">
            <w:pPr>
              <w:rPr>
                <w:bCs/>
                <w:i/>
                <w:color w:val="000000" w:themeColor="text1"/>
                <w:sz w:val="22"/>
                <w:szCs w:val="22"/>
                <w:lang w:eastAsia="uk-UA"/>
              </w:rPr>
            </w:pPr>
            <w:r w:rsidRPr="009D3827">
              <w:rPr>
                <w:bCs/>
                <w:i/>
                <w:color w:val="000000" w:themeColor="text1"/>
                <w:sz w:val="22"/>
                <w:szCs w:val="22"/>
                <w:lang w:eastAsia="uk-UA"/>
              </w:rPr>
              <w:t>Всього ОКВ без витрат, що не можуть бути віднесено до собівартості надання послуг з розподілу електричної енергії * тис. грн</w:t>
            </w:r>
          </w:p>
        </w:tc>
        <w:tc>
          <w:tcPr>
            <w:tcW w:w="1164" w:type="dxa"/>
          </w:tcPr>
          <w:p w:rsidR="00276080" w:rsidRPr="009D3827" w:rsidRDefault="00276080" w:rsidP="008C21AB">
            <w:pPr>
              <w:pStyle w:val="rvps2"/>
              <w:spacing w:after="150"/>
              <w:jc w:val="both"/>
              <w:rPr>
                <w:bCs/>
                <w:color w:val="000000" w:themeColor="text1"/>
                <w:sz w:val="22"/>
                <w:szCs w:val="22"/>
                <w:highlight w:val="yellow"/>
                <w:lang w:val="uk-UA"/>
              </w:rPr>
            </w:pPr>
          </w:p>
        </w:tc>
        <w:tc>
          <w:tcPr>
            <w:tcW w:w="1766" w:type="dxa"/>
          </w:tcPr>
          <w:p w:rsidR="00276080" w:rsidRPr="009D3827" w:rsidRDefault="00276080" w:rsidP="008C21AB">
            <w:pPr>
              <w:pStyle w:val="rvps2"/>
              <w:spacing w:after="150"/>
              <w:jc w:val="both"/>
              <w:rPr>
                <w:bCs/>
                <w:color w:val="000000" w:themeColor="text1"/>
                <w:sz w:val="22"/>
                <w:szCs w:val="22"/>
                <w:highlight w:val="yellow"/>
                <w:lang w:val="uk-UA"/>
              </w:rPr>
            </w:pPr>
          </w:p>
        </w:tc>
        <w:tc>
          <w:tcPr>
            <w:tcW w:w="1766" w:type="dxa"/>
          </w:tcPr>
          <w:p w:rsidR="00276080" w:rsidRPr="009D3827" w:rsidRDefault="00276080" w:rsidP="008C21AB">
            <w:pPr>
              <w:pStyle w:val="rvps2"/>
              <w:spacing w:after="150"/>
              <w:jc w:val="both"/>
              <w:rPr>
                <w:bCs/>
                <w:color w:val="000000" w:themeColor="text1"/>
                <w:sz w:val="22"/>
                <w:szCs w:val="22"/>
                <w:highlight w:val="yellow"/>
                <w:lang w:val="uk-UA"/>
              </w:rPr>
            </w:pPr>
          </w:p>
        </w:tc>
        <w:tc>
          <w:tcPr>
            <w:tcW w:w="1766" w:type="dxa"/>
          </w:tcPr>
          <w:p w:rsidR="00276080" w:rsidRPr="009D3827" w:rsidRDefault="00276080" w:rsidP="008C21AB">
            <w:pPr>
              <w:pStyle w:val="rvps2"/>
              <w:spacing w:after="150"/>
              <w:jc w:val="both"/>
              <w:rPr>
                <w:bCs/>
                <w:color w:val="000000" w:themeColor="text1"/>
                <w:sz w:val="22"/>
                <w:szCs w:val="22"/>
                <w:highlight w:val="yellow"/>
                <w:lang w:val="uk-UA"/>
              </w:rPr>
            </w:pPr>
          </w:p>
        </w:tc>
        <w:tc>
          <w:tcPr>
            <w:tcW w:w="1766" w:type="dxa"/>
          </w:tcPr>
          <w:p w:rsidR="00276080" w:rsidRPr="009D3827" w:rsidRDefault="00276080" w:rsidP="008C21AB">
            <w:pPr>
              <w:pStyle w:val="rvps2"/>
              <w:spacing w:after="150"/>
              <w:jc w:val="both"/>
              <w:rPr>
                <w:bCs/>
                <w:color w:val="000000" w:themeColor="text1"/>
                <w:sz w:val="22"/>
                <w:szCs w:val="22"/>
                <w:highlight w:val="yellow"/>
                <w:lang w:val="uk-UA"/>
              </w:rPr>
            </w:pPr>
          </w:p>
        </w:tc>
        <w:tc>
          <w:tcPr>
            <w:tcW w:w="1766" w:type="dxa"/>
          </w:tcPr>
          <w:p w:rsidR="00276080" w:rsidRPr="009D3827" w:rsidRDefault="00276080" w:rsidP="008C21AB">
            <w:pPr>
              <w:pStyle w:val="rvps2"/>
              <w:spacing w:after="150"/>
              <w:jc w:val="both"/>
              <w:rPr>
                <w:bCs/>
                <w:color w:val="000000" w:themeColor="text1"/>
                <w:sz w:val="22"/>
                <w:szCs w:val="22"/>
                <w:highlight w:val="yellow"/>
                <w:lang w:val="uk-UA"/>
              </w:rPr>
            </w:pPr>
          </w:p>
        </w:tc>
        <w:tc>
          <w:tcPr>
            <w:tcW w:w="2338" w:type="dxa"/>
          </w:tcPr>
          <w:p w:rsidR="00276080" w:rsidRPr="009D3827" w:rsidRDefault="00276080" w:rsidP="008C21AB">
            <w:pPr>
              <w:pStyle w:val="rvps2"/>
              <w:spacing w:after="150"/>
              <w:jc w:val="both"/>
              <w:rPr>
                <w:bCs/>
                <w:color w:val="000000" w:themeColor="text1"/>
                <w:sz w:val="22"/>
                <w:szCs w:val="22"/>
                <w:highlight w:val="yellow"/>
                <w:lang w:val="uk-UA"/>
              </w:rPr>
            </w:pPr>
          </w:p>
        </w:tc>
      </w:tr>
      <w:tr w:rsidR="00276080" w:rsidRPr="009D3827" w:rsidTr="00175C8B">
        <w:trPr>
          <w:trHeight w:val="1206"/>
        </w:trPr>
        <w:tc>
          <w:tcPr>
            <w:tcW w:w="2977" w:type="dxa"/>
          </w:tcPr>
          <w:p w:rsidR="00276080" w:rsidRPr="009D3827" w:rsidRDefault="00276080" w:rsidP="008C21AB">
            <w:pPr>
              <w:rPr>
                <w:bCs/>
                <w:i/>
                <w:color w:val="000000" w:themeColor="text1"/>
                <w:sz w:val="22"/>
                <w:szCs w:val="22"/>
                <w:lang w:eastAsia="uk-UA"/>
              </w:rPr>
            </w:pPr>
            <w:r w:rsidRPr="009D3827">
              <w:rPr>
                <w:bCs/>
                <w:i/>
                <w:color w:val="000000" w:themeColor="text1"/>
                <w:sz w:val="22"/>
                <w:szCs w:val="22"/>
                <w:lang w:eastAsia="uk-UA"/>
              </w:rPr>
              <w:t>Всього ОКВ без витрат, що не можуть бути віднесено до собівартості надання послуг з розподілу електричної енергії, скориговані на ІЦВ тис. грн</w:t>
            </w:r>
          </w:p>
        </w:tc>
        <w:tc>
          <w:tcPr>
            <w:tcW w:w="1164" w:type="dxa"/>
          </w:tcPr>
          <w:p w:rsidR="00276080" w:rsidRPr="009D3827" w:rsidRDefault="00276080" w:rsidP="008C21AB">
            <w:pPr>
              <w:pStyle w:val="rvps2"/>
              <w:spacing w:after="150"/>
              <w:jc w:val="both"/>
              <w:rPr>
                <w:bCs/>
                <w:color w:val="000000" w:themeColor="text1"/>
                <w:sz w:val="22"/>
                <w:szCs w:val="22"/>
                <w:highlight w:val="yellow"/>
                <w:lang w:val="uk-UA"/>
              </w:rPr>
            </w:pPr>
          </w:p>
        </w:tc>
        <w:tc>
          <w:tcPr>
            <w:tcW w:w="1766" w:type="dxa"/>
          </w:tcPr>
          <w:p w:rsidR="00276080" w:rsidRPr="009D3827" w:rsidRDefault="00276080" w:rsidP="008C21AB">
            <w:pPr>
              <w:pStyle w:val="rvps2"/>
              <w:spacing w:after="150"/>
              <w:jc w:val="both"/>
              <w:rPr>
                <w:bCs/>
                <w:color w:val="000000" w:themeColor="text1"/>
                <w:sz w:val="22"/>
                <w:szCs w:val="22"/>
                <w:highlight w:val="yellow"/>
                <w:lang w:val="uk-UA"/>
              </w:rPr>
            </w:pPr>
          </w:p>
        </w:tc>
        <w:tc>
          <w:tcPr>
            <w:tcW w:w="1766" w:type="dxa"/>
          </w:tcPr>
          <w:p w:rsidR="00276080" w:rsidRPr="009D3827" w:rsidRDefault="00276080" w:rsidP="008C21AB">
            <w:pPr>
              <w:pStyle w:val="rvps2"/>
              <w:spacing w:after="150"/>
              <w:jc w:val="both"/>
              <w:rPr>
                <w:bCs/>
                <w:color w:val="000000" w:themeColor="text1"/>
                <w:sz w:val="22"/>
                <w:szCs w:val="22"/>
                <w:highlight w:val="yellow"/>
                <w:lang w:val="uk-UA"/>
              </w:rPr>
            </w:pPr>
          </w:p>
        </w:tc>
        <w:tc>
          <w:tcPr>
            <w:tcW w:w="1766" w:type="dxa"/>
          </w:tcPr>
          <w:p w:rsidR="00276080" w:rsidRPr="009D3827" w:rsidRDefault="00276080" w:rsidP="008C21AB">
            <w:pPr>
              <w:pStyle w:val="rvps2"/>
              <w:spacing w:after="150"/>
              <w:jc w:val="both"/>
              <w:rPr>
                <w:bCs/>
                <w:color w:val="000000" w:themeColor="text1"/>
                <w:sz w:val="22"/>
                <w:szCs w:val="22"/>
                <w:highlight w:val="yellow"/>
                <w:lang w:val="uk-UA"/>
              </w:rPr>
            </w:pPr>
          </w:p>
        </w:tc>
        <w:tc>
          <w:tcPr>
            <w:tcW w:w="1766" w:type="dxa"/>
          </w:tcPr>
          <w:p w:rsidR="00276080" w:rsidRPr="009D3827" w:rsidRDefault="00276080" w:rsidP="008C21AB">
            <w:pPr>
              <w:pStyle w:val="rvps2"/>
              <w:spacing w:after="150"/>
              <w:jc w:val="both"/>
              <w:rPr>
                <w:bCs/>
                <w:color w:val="000000" w:themeColor="text1"/>
                <w:sz w:val="22"/>
                <w:szCs w:val="22"/>
                <w:highlight w:val="yellow"/>
                <w:lang w:val="uk-UA"/>
              </w:rPr>
            </w:pPr>
          </w:p>
        </w:tc>
        <w:tc>
          <w:tcPr>
            <w:tcW w:w="1766" w:type="dxa"/>
          </w:tcPr>
          <w:p w:rsidR="00276080" w:rsidRPr="009D3827" w:rsidRDefault="00276080" w:rsidP="008C21AB">
            <w:pPr>
              <w:pStyle w:val="rvps2"/>
              <w:spacing w:after="150"/>
              <w:jc w:val="both"/>
              <w:rPr>
                <w:bCs/>
                <w:color w:val="000000" w:themeColor="text1"/>
                <w:sz w:val="22"/>
                <w:szCs w:val="22"/>
                <w:highlight w:val="yellow"/>
                <w:lang w:val="uk-UA"/>
              </w:rPr>
            </w:pPr>
          </w:p>
        </w:tc>
        <w:tc>
          <w:tcPr>
            <w:tcW w:w="2338" w:type="dxa"/>
          </w:tcPr>
          <w:p w:rsidR="00276080" w:rsidRPr="009D3827" w:rsidRDefault="00276080" w:rsidP="008C21AB">
            <w:pPr>
              <w:pStyle w:val="rvps2"/>
              <w:spacing w:after="150"/>
              <w:jc w:val="both"/>
              <w:rPr>
                <w:bCs/>
                <w:color w:val="000000" w:themeColor="text1"/>
                <w:sz w:val="22"/>
                <w:szCs w:val="22"/>
                <w:highlight w:val="yellow"/>
                <w:lang w:val="uk-UA"/>
              </w:rPr>
            </w:pPr>
          </w:p>
        </w:tc>
      </w:tr>
      <w:tr w:rsidR="00276080" w:rsidRPr="009D3827" w:rsidTr="00175C8B">
        <w:trPr>
          <w:trHeight w:val="564"/>
        </w:trPr>
        <w:tc>
          <w:tcPr>
            <w:tcW w:w="2977" w:type="dxa"/>
          </w:tcPr>
          <w:p w:rsidR="00276080" w:rsidRPr="009D3827" w:rsidRDefault="00276080" w:rsidP="008C21AB">
            <w:pPr>
              <w:rPr>
                <w:bCs/>
                <w:i/>
                <w:color w:val="000000" w:themeColor="text1"/>
                <w:sz w:val="22"/>
                <w:szCs w:val="22"/>
                <w:lang w:eastAsia="uk-UA"/>
              </w:rPr>
            </w:pPr>
            <w:r w:rsidRPr="009D3827">
              <w:rPr>
                <w:bCs/>
                <w:i/>
                <w:color w:val="000000" w:themeColor="text1"/>
                <w:sz w:val="22"/>
                <w:szCs w:val="22"/>
                <w:lang w:eastAsia="uk-UA"/>
              </w:rPr>
              <w:t>Відсоток зміни фактичних ОКВ* до показників попереднього року %</w:t>
            </w:r>
          </w:p>
        </w:tc>
        <w:tc>
          <w:tcPr>
            <w:tcW w:w="1164" w:type="dxa"/>
          </w:tcPr>
          <w:p w:rsidR="00276080" w:rsidRPr="009D3827" w:rsidRDefault="00276080" w:rsidP="008C21AB">
            <w:pPr>
              <w:pStyle w:val="rvps2"/>
              <w:spacing w:after="150"/>
              <w:jc w:val="both"/>
              <w:rPr>
                <w:bCs/>
                <w:color w:val="000000" w:themeColor="text1"/>
                <w:sz w:val="22"/>
                <w:szCs w:val="22"/>
                <w:highlight w:val="yellow"/>
                <w:lang w:val="uk-UA"/>
              </w:rPr>
            </w:pPr>
          </w:p>
        </w:tc>
        <w:tc>
          <w:tcPr>
            <w:tcW w:w="1766" w:type="dxa"/>
          </w:tcPr>
          <w:p w:rsidR="00276080" w:rsidRPr="009D3827" w:rsidRDefault="00276080" w:rsidP="008C21AB">
            <w:pPr>
              <w:pStyle w:val="rvps2"/>
              <w:spacing w:after="150"/>
              <w:jc w:val="both"/>
              <w:rPr>
                <w:bCs/>
                <w:color w:val="000000" w:themeColor="text1"/>
                <w:sz w:val="22"/>
                <w:szCs w:val="22"/>
                <w:highlight w:val="yellow"/>
                <w:lang w:val="uk-UA"/>
              </w:rPr>
            </w:pPr>
          </w:p>
        </w:tc>
        <w:tc>
          <w:tcPr>
            <w:tcW w:w="1766" w:type="dxa"/>
          </w:tcPr>
          <w:p w:rsidR="00276080" w:rsidRPr="009D3827" w:rsidRDefault="00276080" w:rsidP="008C21AB">
            <w:pPr>
              <w:pStyle w:val="rvps2"/>
              <w:spacing w:after="150"/>
              <w:jc w:val="both"/>
              <w:rPr>
                <w:bCs/>
                <w:color w:val="000000" w:themeColor="text1"/>
                <w:sz w:val="22"/>
                <w:szCs w:val="22"/>
                <w:highlight w:val="yellow"/>
                <w:lang w:val="uk-UA"/>
              </w:rPr>
            </w:pPr>
          </w:p>
        </w:tc>
        <w:tc>
          <w:tcPr>
            <w:tcW w:w="1766" w:type="dxa"/>
          </w:tcPr>
          <w:p w:rsidR="00276080" w:rsidRPr="009D3827" w:rsidRDefault="00276080" w:rsidP="008C21AB">
            <w:pPr>
              <w:pStyle w:val="rvps2"/>
              <w:spacing w:after="150"/>
              <w:jc w:val="both"/>
              <w:rPr>
                <w:bCs/>
                <w:color w:val="000000" w:themeColor="text1"/>
                <w:sz w:val="22"/>
                <w:szCs w:val="22"/>
                <w:highlight w:val="yellow"/>
                <w:lang w:val="uk-UA"/>
              </w:rPr>
            </w:pPr>
          </w:p>
        </w:tc>
        <w:tc>
          <w:tcPr>
            <w:tcW w:w="1766" w:type="dxa"/>
          </w:tcPr>
          <w:p w:rsidR="00276080" w:rsidRPr="009D3827" w:rsidRDefault="00276080" w:rsidP="008C21AB">
            <w:pPr>
              <w:pStyle w:val="rvps2"/>
              <w:spacing w:after="150"/>
              <w:jc w:val="both"/>
              <w:rPr>
                <w:bCs/>
                <w:color w:val="000000" w:themeColor="text1"/>
                <w:sz w:val="22"/>
                <w:szCs w:val="22"/>
                <w:highlight w:val="yellow"/>
                <w:lang w:val="uk-UA"/>
              </w:rPr>
            </w:pPr>
          </w:p>
        </w:tc>
        <w:tc>
          <w:tcPr>
            <w:tcW w:w="1766" w:type="dxa"/>
          </w:tcPr>
          <w:p w:rsidR="00276080" w:rsidRPr="009D3827" w:rsidRDefault="00276080" w:rsidP="008C21AB">
            <w:pPr>
              <w:pStyle w:val="rvps2"/>
              <w:spacing w:after="150"/>
              <w:jc w:val="both"/>
              <w:rPr>
                <w:bCs/>
                <w:color w:val="000000" w:themeColor="text1"/>
                <w:sz w:val="22"/>
                <w:szCs w:val="22"/>
                <w:highlight w:val="yellow"/>
                <w:lang w:val="uk-UA"/>
              </w:rPr>
            </w:pPr>
          </w:p>
        </w:tc>
        <w:tc>
          <w:tcPr>
            <w:tcW w:w="2338" w:type="dxa"/>
          </w:tcPr>
          <w:p w:rsidR="00276080" w:rsidRPr="009D3827" w:rsidRDefault="00276080" w:rsidP="008C21AB">
            <w:pPr>
              <w:pStyle w:val="rvps2"/>
              <w:spacing w:after="150"/>
              <w:jc w:val="both"/>
              <w:rPr>
                <w:bCs/>
                <w:color w:val="000000" w:themeColor="text1"/>
                <w:sz w:val="22"/>
                <w:szCs w:val="22"/>
                <w:highlight w:val="yellow"/>
                <w:lang w:val="uk-UA"/>
              </w:rPr>
            </w:pPr>
          </w:p>
        </w:tc>
      </w:tr>
      <w:tr w:rsidR="00276080" w:rsidRPr="009D3827" w:rsidTr="00175C8B">
        <w:trPr>
          <w:trHeight w:val="174"/>
        </w:trPr>
        <w:tc>
          <w:tcPr>
            <w:tcW w:w="2977" w:type="dxa"/>
          </w:tcPr>
          <w:p w:rsidR="00276080" w:rsidRPr="009D3827" w:rsidRDefault="00276080" w:rsidP="008C21AB">
            <w:pPr>
              <w:rPr>
                <w:b/>
                <w:bCs/>
                <w:i/>
                <w:strike/>
                <w:color w:val="000000" w:themeColor="text1"/>
                <w:sz w:val="22"/>
                <w:szCs w:val="22"/>
                <w:lang w:eastAsia="uk-UA"/>
              </w:rPr>
            </w:pPr>
            <w:r w:rsidRPr="009D3827">
              <w:rPr>
                <w:b/>
                <w:bCs/>
                <w:i/>
                <w:strike/>
                <w:sz w:val="22"/>
                <w:szCs w:val="22"/>
                <w:lang w:eastAsia="uk-UA"/>
              </w:rPr>
              <w:t xml:space="preserve">Довідково: </w:t>
            </w:r>
            <w:r w:rsidRPr="009D3827">
              <w:rPr>
                <w:b/>
                <w:bCs/>
                <w:i/>
                <w:strike/>
                <w:sz w:val="22"/>
                <w:szCs w:val="22"/>
                <w:shd w:val="clear" w:color="auto" w:fill="FFFFFF"/>
              </w:rPr>
              <w:t xml:space="preserve">Прогнозований індекс цін виробників </w:t>
            </w:r>
            <w:proofErr w:type="spellStart"/>
            <w:r w:rsidRPr="009D3827">
              <w:rPr>
                <w:b/>
                <w:bCs/>
                <w:i/>
                <w:strike/>
                <w:sz w:val="22"/>
                <w:szCs w:val="22"/>
                <w:shd w:val="clear" w:color="auto" w:fill="FFFFFF"/>
              </w:rPr>
              <w:t>промисло</w:t>
            </w:r>
            <w:proofErr w:type="spellEnd"/>
            <w:r w:rsidRPr="009D3827">
              <w:rPr>
                <w:b/>
                <w:bCs/>
                <w:i/>
                <w:strike/>
                <w:sz w:val="22"/>
                <w:szCs w:val="22"/>
                <w:shd w:val="clear" w:color="auto" w:fill="FFFFFF"/>
              </w:rPr>
              <w:t xml:space="preserve"> </w:t>
            </w:r>
            <w:proofErr w:type="spellStart"/>
            <w:r w:rsidRPr="009D3827">
              <w:rPr>
                <w:b/>
                <w:bCs/>
                <w:i/>
                <w:strike/>
                <w:sz w:val="22"/>
                <w:szCs w:val="22"/>
                <w:shd w:val="clear" w:color="auto" w:fill="FFFFFF"/>
              </w:rPr>
              <w:t>вої</w:t>
            </w:r>
            <w:proofErr w:type="spellEnd"/>
            <w:r w:rsidRPr="009D3827">
              <w:rPr>
                <w:b/>
                <w:bCs/>
                <w:i/>
                <w:strike/>
                <w:sz w:val="22"/>
                <w:szCs w:val="22"/>
                <w:shd w:val="clear" w:color="auto" w:fill="FFFFFF"/>
              </w:rPr>
              <w:t xml:space="preserve"> продукції</w:t>
            </w:r>
          </w:p>
        </w:tc>
        <w:tc>
          <w:tcPr>
            <w:tcW w:w="1164" w:type="dxa"/>
          </w:tcPr>
          <w:p w:rsidR="00276080" w:rsidRPr="009D3827" w:rsidRDefault="00276080" w:rsidP="008C21AB">
            <w:pPr>
              <w:pStyle w:val="rvps2"/>
              <w:spacing w:after="150"/>
              <w:jc w:val="both"/>
              <w:rPr>
                <w:bCs/>
                <w:color w:val="000000" w:themeColor="text1"/>
                <w:sz w:val="22"/>
                <w:szCs w:val="22"/>
                <w:highlight w:val="yellow"/>
                <w:lang w:val="uk-UA"/>
              </w:rPr>
            </w:pPr>
          </w:p>
        </w:tc>
        <w:tc>
          <w:tcPr>
            <w:tcW w:w="1766" w:type="dxa"/>
          </w:tcPr>
          <w:p w:rsidR="00276080" w:rsidRPr="009D3827" w:rsidRDefault="00276080" w:rsidP="008C21AB">
            <w:pPr>
              <w:pStyle w:val="rvps2"/>
              <w:spacing w:after="150"/>
              <w:jc w:val="both"/>
              <w:rPr>
                <w:bCs/>
                <w:color w:val="000000" w:themeColor="text1"/>
                <w:sz w:val="22"/>
                <w:szCs w:val="22"/>
                <w:highlight w:val="yellow"/>
                <w:lang w:val="uk-UA"/>
              </w:rPr>
            </w:pPr>
          </w:p>
        </w:tc>
        <w:tc>
          <w:tcPr>
            <w:tcW w:w="1766" w:type="dxa"/>
          </w:tcPr>
          <w:p w:rsidR="00276080" w:rsidRPr="009D3827" w:rsidRDefault="00276080" w:rsidP="008C21AB">
            <w:pPr>
              <w:pStyle w:val="rvps2"/>
              <w:spacing w:after="150"/>
              <w:jc w:val="both"/>
              <w:rPr>
                <w:bCs/>
                <w:color w:val="000000" w:themeColor="text1"/>
                <w:sz w:val="22"/>
                <w:szCs w:val="22"/>
                <w:highlight w:val="yellow"/>
                <w:lang w:val="uk-UA"/>
              </w:rPr>
            </w:pPr>
          </w:p>
        </w:tc>
        <w:tc>
          <w:tcPr>
            <w:tcW w:w="1766" w:type="dxa"/>
          </w:tcPr>
          <w:p w:rsidR="00276080" w:rsidRPr="009D3827" w:rsidRDefault="00276080" w:rsidP="008C21AB">
            <w:pPr>
              <w:pStyle w:val="rvps2"/>
              <w:spacing w:after="150"/>
              <w:jc w:val="both"/>
              <w:rPr>
                <w:bCs/>
                <w:color w:val="000000" w:themeColor="text1"/>
                <w:sz w:val="22"/>
                <w:szCs w:val="22"/>
                <w:highlight w:val="yellow"/>
                <w:lang w:val="uk-UA"/>
              </w:rPr>
            </w:pPr>
          </w:p>
        </w:tc>
        <w:tc>
          <w:tcPr>
            <w:tcW w:w="1766" w:type="dxa"/>
          </w:tcPr>
          <w:p w:rsidR="00276080" w:rsidRPr="009D3827" w:rsidRDefault="00276080" w:rsidP="008C21AB">
            <w:pPr>
              <w:pStyle w:val="rvps2"/>
              <w:spacing w:after="150"/>
              <w:jc w:val="both"/>
              <w:rPr>
                <w:bCs/>
                <w:color w:val="000000" w:themeColor="text1"/>
                <w:sz w:val="22"/>
                <w:szCs w:val="22"/>
                <w:highlight w:val="yellow"/>
                <w:lang w:val="uk-UA"/>
              </w:rPr>
            </w:pPr>
          </w:p>
        </w:tc>
        <w:tc>
          <w:tcPr>
            <w:tcW w:w="1766" w:type="dxa"/>
          </w:tcPr>
          <w:p w:rsidR="00276080" w:rsidRPr="009D3827" w:rsidRDefault="00276080" w:rsidP="008C21AB">
            <w:pPr>
              <w:pStyle w:val="rvps2"/>
              <w:spacing w:after="150"/>
              <w:jc w:val="both"/>
              <w:rPr>
                <w:bCs/>
                <w:color w:val="000000" w:themeColor="text1"/>
                <w:sz w:val="22"/>
                <w:szCs w:val="22"/>
                <w:highlight w:val="yellow"/>
                <w:lang w:val="uk-UA"/>
              </w:rPr>
            </w:pPr>
          </w:p>
        </w:tc>
        <w:tc>
          <w:tcPr>
            <w:tcW w:w="2338" w:type="dxa"/>
          </w:tcPr>
          <w:p w:rsidR="00276080" w:rsidRPr="009D3827" w:rsidRDefault="00276080" w:rsidP="008C21AB">
            <w:pPr>
              <w:pStyle w:val="rvps2"/>
              <w:spacing w:after="150"/>
              <w:jc w:val="both"/>
              <w:rPr>
                <w:bCs/>
                <w:color w:val="000000" w:themeColor="text1"/>
                <w:sz w:val="22"/>
                <w:szCs w:val="22"/>
                <w:highlight w:val="yellow"/>
                <w:lang w:val="uk-UA"/>
              </w:rPr>
            </w:pPr>
          </w:p>
        </w:tc>
      </w:tr>
      <w:tr w:rsidR="00276080" w:rsidRPr="009D3827" w:rsidTr="00175C8B">
        <w:trPr>
          <w:trHeight w:val="720"/>
        </w:trPr>
        <w:tc>
          <w:tcPr>
            <w:tcW w:w="2977" w:type="dxa"/>
          </w:tcPr>
          <w:p w:rsidR="00276080" w:rsidRPr="009D3827" w:rsidRDefault="00276080" w:rsidP="008C21AB">
            <w:pPr>
              <w:rPr>
                <w:bCs/>
                <w:i/>
                <w:color w:val="000000" w:themeColor="text1"/>
                <w:sz w:val="22"/>
                <w:szCs w:val="22"/>
                <w:lang w:eastAsia="uk-UA"/>
              </w:rPr>
            </w:pPr>
            <w:r w:rsidRPr="009D3827">
              <w:rPr>
                <w:bCs/>
                <w:i/>
                <w:color w:val="000000" w:themeColor="text1"/>
                <w:sz w:val="22"/>
                <w:szCs w:val="22"/>
                <w:lang w:eastAsia="uk-UA"/>
              </w:rPr>
              <w:lastRenderedPageBreak/>
              <w:t xml:space="preserve">Довідково: </w:t>
            </w:r>
            <w:r w:rsidRPr="009D3827">
              <w:rPr>
                <w:bCs/>
                <w:i/>
                <w:color w:val="000000" w:themeColor="text1"/>
                <w:sz w:val="22"/>
                <w:szCs w:val="22"/>
                <w:shd w:val="clear" w:color="auto" w:fill="FFFFFF"/>
              </w:rPr>
              <w:t>Фактичний індекс цін виробників промислової продукції</w:t>
            </w:r>
          </w:p>
        </w:tc>
        <w:tc>
          <w:tcPr>
            <w:tcW w:w="1164" w:type="dxa"/>
          </w:tcPr>
          <w:p w:rsidR="00276080" w:rsidRPr="009D3827" w:rsidRDefault="00276080" w:rsidP="008C21AB">
            <w:pPr>
              <w:pStyle w:val="rvps2"/>
              <w:spacing w:after="150"/>
              <w:jc w:val="both"/>
              <w:rPr>
                <w:bCs/>
                <w:color w:val="000000" w:themeColor="text1"/>
                <w:sz w:val="22"/>
                <w:szCs w:val="22"/>
                <w:lang w:val="uk-UA"/>
              </w:rPr>
            </w:pPr>
          </w:p>
        </w:tc>
        <w:tc>
          <w:tcPr>
            <w:tcW w:w="1766" w:type="dxa"/>
          </w:tcPr>
          <w:p w:rsidR="00276080" w:rsidRPr="009D3827" w:rsidRDefault="00276080" w:rsidP="008C21AB">
            <w:pPr>
              <w:pStyle w:val="rvps2"/>
              <w:spacing w:after="150"/>
              <w:jc w:val="both"/>
              <w:rPr>
                <w:bCs/>
                <w:color w:val="000000" w:themeColor="text1"/>
                <w:sz w:val="22"/>
                <w:szCs w:val="22"/>
                <w:lang w:val="uk-UA"/>
              </w:rPr>
            </w:pPr>
          </w:p>
        </w:tc>
        <w:tc>
          <w:tcPr>
            <w:tcW w:w="1766" w:type="dxa"/>
          </w:tcPr>
          <w:p w:rsidR="00276080" w:rsidRPr="009D3827" w:rsidRDefault="00276080" w:rsidP="008C21AB">
            <w:pPr>
              <w:pStyle w:val="rvps2"/>
              <w:spacing w:after="150"/>
              <w:jc w:val="both"/>
              <w:rPr>
                <w:bCs/>
                <w:color w:val="000000" w:themeColor="text1"/>
                <w:sz w:val="22"/>
                <w:szCs w:val="22"/>
                <w:lang w:val="uk-UA"/>
              </w:rPr>
            </w:pPr>
          </w:p>
        </w:tc>
        <w:tc>
          <w:tcPr>
            <w:tcW w:w="1766" w:type="dxa"/>
          </w:tcPr>
          <w:p w:rsidR="00276080" w:rsidRPr="009D3827" w:rsidRDefault="00276080" w:rsidP="008C21AB">
            <w:pPr>
              <w:pStyle w:val="rvps2"/>
              <w:spacing w:after="150"/>
              <w:jc w:val="both"/>
              <w:rPr>
                <w:bCs/>
                <w:color w:val="000000" w:themeColor="text1"/>
                <w:sz w:val="22"/>
                <w:szCs w:val="22"/>
                <w:lang w:val="uk-UA"/>
              </w:rPr>
            </w:pPr>
          </w:p>
        </w:tc>
        <w:tc>
          <w:tcPr>
            <w:tcW w:w="1766" w:type="dxa"/>
          </w:tcPr>
          <w:p w:rsidR="00276080" w:rsidRPr="009D3827" w:rsidRDefault="00276080" w:rsidP="008C21AB">
            <w:pPr>
              <w:pStyle w:val="rvps2"/>
              <w:spacing w:after="150"/>
              <w:jc w:val="both"/>
              <w:rPr>
                <w:bCs/>
                <w:color w:val="000000" w:themeColor="text1"/>
                <w:sz w:val="22"/>
                <w:szCs w:val="22"/>
                <w:lang w:val="uk-UA"/>
              </w:rPr>
            </w:pPr>
          </w:p>
        </w:tc>
        <w:tc>
          <w:tcPr>
            <w:tcW w:w="1766" w:type="dxa"/>
          </w:tcPr>
          <w:p w:rsidR="00276080" w:rsidRPr="009D3827" w:rsidRDefault="00276080" w:rsidP="008C21AB">
            <w:pPr>
              <w:pStyle w:val="rvps2"/>
              <w:spacing w:after="150"/>
              <w:jc w:val="both"/>
              <w:rPr>
                <w:bCs/>
                <w:color w:val="000000" w:themeColor="text1"/>
                <w:sz w:val="22"/>
                <w:szCs w:val="22"/>
                <w:lang w:val="uk-UA"/>
              </w:rPr>
            </w:pPr>
          </w:p>
        </w:tc>
        <w:tc>
          <w:tcPr>
            <w:tcW w:w="2338" w:type="dxa"/>
          </w:tcPr>
          <w:p w:rsidR="00276080" w:rsidRPr="009D3827" w:rsidRDefault="00276080" w:rsidP="008C21AB">
            <w:pPr>
              <w:pStyle w:val="rvps2"/>
              <w:spacing w:after="150"/>
              <w:jc w:val="both"/>
              <w:rPr>
                <w:bCs/>
                <w:color w:val="000000" w:themeColor="text1"/>
                <w:sz w:val="22"/>
                <w:szCs w:val="22"/>
                <w:lang w:val="uk-UA"/>
              </w:rPr>
            </w:pPr>
          </w:p>
        </w:tc>
      </w:tr>
    </w:tbl>
    <w:p w:rsidR="00276080" w:rsidRPr="009D3827" w:rsidRDefault="00276080" w:rsidP="00175C8B">
      <w:pPr>
        <w:rPr>
          <w:b/>
          <w:sz w:val="22"/>
          <w:szCs w:val="22"/>
        </w:rPr>
      </w:pPr>
    </w:p>
    <w:sectPr w:rsidR="00276080" w:rsidRPr="009D3827" w:rsidSect="002E417C">
      <w:headerReference w:type="default" r:id="rId27"/>
      <w:pgSz w:w="16840" w:h="11907" w:orient="landscape" w:code="9"/>
      <w:pgMar w:top="0" w:right="851" w:bottom="709" w:left="851" w:header="720" w:footer="533"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252E1" w:rsidRDefault="000252E1">
      <w:r>
        <w:separator/>
      </w:r>
    </w:p>
  </w:endnote>
  <w:endnote w:type="continuationSeparator" w:id="0">
    <w:p w:rsidR="000252E1" w:rsidRDefault="000252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atha">
    <w:panose1 w:val="02000400000000000000"/>
    <w:charset w:val="00"/>
    <w:family w:val="swiss"/>
    <w:pitch w:val="variable"/>
    <w:sig w:usb0="001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TimesNewRoman">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TimesNewRomanPS-BoldM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252E1" w:rsidRDefault="000252E1">
      <w:r>
        <w:separator/>
      </w:r>
    </w:p>
  </w:footnote>
  <w:footnote w:type="continuationSeparator" w:id="0">
    <w:p w:rsidR="000252E1" w:rsidRDefault="000252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63982487"/>
      <w:docPartObj>
        <w:docPartGallery w:val="Page Numbers (Top of Page)"/>
        <w:docPartUnique/>
      </w:docPartObj>
    </w:sdtPr>
    <w:sdtEndPr/>
    <w:sdtContent>
      <w:p w:rsidR="00AF36D5" w:rsidRDefault="00AF36D5">
        <w:pPr>
          <w:pStyle w:val="a4"/>
          <w:jc w:val="center"/>
        </w:pPr>
        <w:r>
          <w:fldChar w:fldCharType="begin"/>
        </w:r>
        <w:r>
          <w:instrText>PAGE   \* MERGEFORMAT</w:instrText>
        </w:r>
        <w:r>
          <w:fldChar w:fldCharType="separate"/>
        </w:r>
        <w:r>
          <w:rPr>
            <w:noProof/>
          </w:rPr>
          <w:t>21</w:t>
        </w:r>
        <w:r>
          <w:fldChar w:fldCharType="end"/>
        </w:r>
      </w:p>
    </w:sdtContent>
  </w:sdt>
  <w:p w:rsidR="00AF36D5" w:rsidRDefault="00AF36D5">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38DA8B44"/>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8E43C74"/>
    <w:multiLevelType w:val="hybridMultilevel"/>
    <w:tmpl w:val="49BE52CA"/>
    <w:lvl w:ilvl="0" w:tplc="BACA71FC">
      <w:start w:val="19"/>
      <w:numFmt w:val="decimal"/>
      <w:lvlText w:val="%1)"/>
      <w:lvlJc w:val="left"/>
      <w:pPr>
        <w:ind w:left="457" w:hanging="360"/>
      </w:pPr>
      <w:rPr>
        <w:rFonts w:hint="default"/>
      </w:rPr>
    </w:lvl>
    <w:lvl w:ilvl="1" w:tplc="04220019" w:tentative="1">
      <w:start w:val="1"/>
      <w:numFmt w:val="lowerLetter"/>
      <w:lvlText w:val="%2."/>
      <w:lvlJc w:val="left"/>
      <w:pPr>
        <w:ind w:left="1177" w:hanging="360"/>
      </w:pPr>
    </w:lvl>
    <w:lvl w:ilvl="2" w:tplc="0422001B" w:tentative="1">
      <w:start w:val="1"/>
      <w:numFmt w:val="lowerRoman"/>
      <w:lvlText w:val="%3."/>
      <w:lvlJc w:val="right"/>
      <w:pPr>
        <w:ind w:left="1897" w:hanging="180"/>
      </w:pPr>
    </w:lvl>
    <w:lvl w:ilvl="3" w:tplc="0422000F" w:tentative="1">
      <w:start w:val="1"/>
      <w:numFmt w:val="decimal"/>
      <w:lvlText w:val="%4."/>
      <w:lvlJc w:val="left"/>
      <w:pPr>
        <w:ind w:left="2617" w:hanging="360"/>
      </w:pPr>
    </w:lvl>
    <w:lvl w:ilvl="4" w:tplc="04220019" w:tentative="1">
      <w:start w:val="1"/>
      <w:numFmt w:val="lowerLetter"/>
      <w:lvlText w:val="%5."/>
      <w:lvlJc w:val="left"/>
      <w:pPr>
        <w:ind w:left="3337" w:hanging="360"/>
      </w:pPr>
    </w:lvl>
    <w:lvl w:ilvl="5" w:tplc="0422001B" w:tentative="1">
      <w:start w:val="1"/>
      <w:numFmt w:val="lowerRoman"/>
      <w:lvlText w:val="%6."/>
      <w:lvlJc w:val="right"/>
      <w:pPr>
        <w:ind w:left="4057" w:hanging="180"/>
      </w:pPr>
    </w:lvl>
    <w:lvl w:ilvl="6" w:tplc="0422000F" w:tentative="1">
      <w:start w:val="1"/>
      <w:numFmt w:val="decimal"/>
      <w:lvlText w:val="%7."/>
      <w:lvlJc w:val="left"/>
      <w:pPr>
        <w:ind w:left="4777" w:hanging="360"/>
      </w:pPr>
    </w:lvl>
    <w:lvl w:ilvl="7" w:tplc="04220019" w:tentative="1">
      <w:start w:val="1"/>
      <w:numFmt w:val="lowerLetter"/>
      <w:lvlText w:val="%8."/>
      <w:lvlJc w:val="left"/>
      <w:pPr>
        <w:ind w:left="5497" w:hanging="360"/>
      </w:pPr>
    </w:lvl>
    <w:lvl w:ilvl="8" w:tplc="0422001B" w:tentative="1">
      <w:start w:val="1"/>
      <w:numFmt w:val="lowerRoman"/>
      <w:lvlText w:val="%9."/>
      <w:lvlJc w:val="right"/>
      <w:pPr>
        <w:ind w:left="6217" w:hanging="180"/>
      </w:pPr>
    </w:lvl>
  </w:abstractNum>
  <w:abstractNum w:abstractNumId="2" w15:restartNumberingAfterBreak="0">
    <w:nsid w:val="0A4115E1"/>
    <w:multiLevelType w:val="hybridMultilevel"/>
    <w:tmpl w:val="F4C6EA42"/>
    <w:lvl w:ilvl="0" w:tplc="04190001">
      <w:start w:val="1"/>
      <w:numFmt w:val="bullet"/>
      <w:lvlText w:val=""/>
      <w:lvlJc w:val="left"/>
      <w:pPr>
        <w:ind w:left="1090" w:hanging="360"/>
      </w:pPr>
      <w:rPr>
        <w:rFonts w:ascii="Symbol" w:hAnsi="Symbol" w:hint="default"/>
      </w:rPr>
    </w:lvl>
    <w:lvl w:ilvl="1" w:tplc="04220003" w:tentative="1">
      <w:start w:val="1"/>
      <w:numFmt w:val="bullet"/>
      <w:lvlText w:val="o"/>
      <w:lvlJc w:val="left"/>
      <w:pPr>
        <w:ind w:left="1810" w:hanging="360"/>
      </w:pPr>
      <w:rPr>
        <w:rFonts w:ascii="Courier New" w:hAnsi="Courier New" w:cs="Courier New" w:hint="default"/>
      </w:rPr>
    </w:lvl>
    <w:lvl w:ilvl="2" w:tplc="04220005" w:tentative="1">
      <w:start w:val="1"/>
      <w:numFmt w:val="bullet"/>
      <w:lvlText w:val=""/>
      <w:lvlJc w:val="left"/>
      <w:pPr>
        <w:ind w:left="2530" w:hanging="360"/>
      </w:pPr>
      <w:rPr>
        <w:rFonts w:ascii="Wingdings" w:hAnsi="Wingdings" w:hint="default"/>
      </w:rPr>
    </w:lvl>
    <w:lvl w:ilvl="3" w:tplc="04220001" w:tentative="1">
      <w:start w:val="1"/>
      <w:numFmt w:val="bullet"/>
      <w:lvlText w:val=""/>
      <w:lvlJc w:val="left"/>
      <w:pPr>
        <w:ind w:left="3250" w:hanging="360"/>
      </w:pPr>
      <w:rPr>
        <w:rFonts w:ascii="Symbol" w:hAnsi="Symbol" w:hint="default"/>
      </w:rPr>
    </w:lvl>
    <w:lvl w:ilvl="4" w:tplc="04220003" w:tentative="1">
      <w:start w:val="1"/>
      <w:numFmt w:val="bullet"/>
      <w:lvlText w:val="o"/>
      <w:lvlJc w:val="left"/>
      <w:pPr>
        <w:ind w:left="3970" w:hanging="360"/>
      </w:pPr>
      <w:rPr>
        <w:rFonts w:ascii="Courier New" w:hAnsi="Courier New" w:cs="Courier New" w:hint="default"/>
      </w:rPr>
    </w:lvl>
    <w:lvl w:ilvl="5" w:tplc="04220005" w:tentative="1">
      <w:start w:val="1"/>
      <w:numFmt w:val="bullet"/>
      <w:lvlText w:val=""/>
      <w:lvlJc w:val="left"/>
      <w:pPr>
        <w:ind w:left="4690" w:hanging="360"/>
      </w:pPr>
      <w:rPr>
        <w:rFonts w:ascii="Wingdings" w:hAnsi="Wingdings" w:hint="default"/>
      </w:rPr>
    </w:lvl>
    <w:lvl w:ilvl="6" w:tplc="04220001" w:tentative="1">
      <w:start w:val="1"/>
      <w:numFmt w:val="bullet"/>
      <w:lvlText w:val=""/>
      <w:lvlJc w:val="left"/>
      <w:pPr>
        <w:ind w:left="5410" w:hanging="360"/>
      </w:pPr>
      <w:rPr>
        <w:rFonts w:ascii="Symbol" w:hAnsi="Symbol" w:hint="default"/>
      </w:rPr>
    </w:lvl>
    <w:lvl w:ilvl="7" w:tplc="04220003" w:tentative="1">
      <w:start w:val="1"/>
      <w:numFmt w:val="bullet"/>
      <w:lvlText w:val="o"/>
      <w:lvlJc w:val="left"/>
      <w:pPr>
        <w:ind w:left="6130" w:hanging="360"/>
      </w:pPr>
      <w:rPr>
        <w:rFonts w:ascii="Courier New" w:hAnsi="Courier New" w:cs="Courier New" w:hint="default"/>
      </w:rPr>
    </w:lvl>
    <w:lvl w:ilvl="8" w:tplc="04220005" w:tentative="1">
      <w:start w:val="1"/>
      <w:numFmt w:val="bullet"/>
      <w:lvlText w:val=""/>
      <w:lvlJc w:val="left"/>
      <w:pPr>
        <w:ind w:left="6850" w:hanging="360"/>
      </w:pPr>
      <w:rPr>
        <w:rFonts w:ascii="Wingdings" w:hAnsi="Wingdings" w:hint="default"/>
      </w:rPr>
    </w:lvl>
  </w:abstractNum>
  <w:abstractNum w:abstractNumId="3" w15:restartNumberingAfterBreak="0">
    <w:nsid w:val="10AF48E8"/>
    <w:multiLevelType w:val="hybridMultilevel"/>
    <w:tmpl w:val="F54AA1E8"/>
    <w:lvl w:ilvl="0" w:tplc="18D4C584">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CB40FE"/>
    <w:multiLevelType w:val="hybridMultilevel"/>
    <w:tmpl w:val="A3E4EB0A"/>
    <w:lvl w:ilvl="0" w:tplc="BE729690">
      <w:start w:val="1"/>
      <w:numFmt w:val="decimal"/>
      <w:lvlText w:val="%1."/>
      <w:lvlJc w:val="left"/>
      <w:pPr>
        <w:ind w:left="396" w:hanging="360"/>
      </w:pPr>
      <w:rPr>
        <w:rFonts w:hint="default"/>
      </w:rPr>
    </w:lvl>
    <w:lvl w:ilvl="1" w:tplc="04220019" w:tentative="1">
      <w:start w:val="1"/>
      <w:numFmt w:val="lowerLetter"/>
      <w:lvlText w:val="%2."/>
      <w:lvlJc w:val="left"/>
      <w:pPr>
        <w:ind w:left="1116" w:hanging="360"/>
      </w:pPr>
    </w:lvl>
    <w:lvl w:ilvl="2" w:tplc="0422001B" w:tentative="1">
      <w:start w:val="1"/>
      <w:numFmt w:val="lowerRoman"/>
      <w:lvlText w:val="%3."/>
      <w:lvlJc w:val="right"/>
      <w:pPr>
        <w:ind w:left="1836" w:hanging="180"/>
      </w:pPr>
    </w:lvl>
    <w:lvl w:ilvl="3" w:tplc="0422000F" w:tentative="1">
      <w:start w:val="1"/>
      <w:numFmt w:val="decimal"/>
      <w:lvlText w:val="%4."/>
      <w:lvlJc w:val="left"/>
      <w:pPr>
        <w:ind w:left="2556" w:hanging="360"/>
      </w:pPr>
    </w:lvl>
    <w:lvl w:ilvl="4" w:tplc="04220019" w:tentative="1">
      <w:start w:val="1"/>
      <w:numFmt w:val="lowerLetter"/>
      <w:lvlText w:val="%5."/>
      <w:lvlJc w:val="left"/>
      <w:pPr>
        <w:ind w:left="3276" w:hanging="360"/>
      </w:pPr>
    </w:lvl>
    <w:lvl w:ilvl="5" w:tplc="0422001B" w:tentative="1">
      <w:start w:val="1"/>
      <w:numFmt w:val="lowerRoman"/>
      <w:lvlText w:val="%6."/>
      <w:lvlJc w:val="right"/>
      <w:pPr>
        <w:ind w:left="3996" w:hanging="180"/>
      </w:pPr>
    </w:lvl>
    <w:lvl w:ilvl="6" w:tplc="0422000F" w:tentative="1">
      <w:start w:val="1"/>
      <w:numFmt w:val="decimal"/>
      <w:lvlText w:val="%7."/>
      <w:lvlJc w:val="left"/>
      <w:pPr>
        <w:ind w:left="4716" w:hanging="360"/>
      </w:pPr>
    </w:lvl>
    <w:lvl w:ilvl="7" w:tplc="04220019" w:tentative="1">
      <w:start w:val="1"/>
      <w:numFmt w:val="lowerLetter"/>
      <w:lvlText w:val="%8."/>
      <w:lvlJc w:val="left"/>
      <w:pPr>
        <w:ind w:left="5436" w:hanging="360"/>
      </w:pPr>
    </w:lvl>
    <w:lvl w:ilvl="8" w:tplc="0422001B" w:tentative="1">
      <w:start w:val="1"/>
      <w:numFmt w:val="lowerRoman"/>
      <w:lvlText w:val="%9."/>
      <w:lvlJc w:val="right"/>
      <w:pPr>
        <w:ind w:left="6156" w:hanging="180"/>
      </w:pPr>
    </w:lvl>
  </w:abstractNum>
  <w:abstractNum w:abstractNumId="5" w15:restartNumberingAfterBreak="0">
    <w:nsid w:val="1C257E7B"/>
    <w:multiLevelType w:val="hybridMultilevel"/>
    <w:tmpl w:val="ECC62DDC"/>
    <w:lvl w:ilvl="0" w:tplc="F8C8C80C">
      <w:numFmt w:val="bullet"/>
      <w:lvlText w:val="–"/>
      <w:lvlJc w:val="left"/>
      <w:pPr>
        <w:ind w:left="720" w:hanging="360"/>
      </w:pPr>
      <w:rPr>
        <w:rFonts w:ascii="Times New Roman" w:eastAsia="Times New Roman" w:hAnsi="Times New Roman" w:cs="Times New Roman" w:hint="default"/>
        <w:color w:val="00000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1C761535"/>
    <w:multiLevelType w:val="multilevel"/>
    <w:tmpl w:val="28549D82"/>
    <w:lvl w:ilvl="0">
      <w:start w:val="1"/>
      <w:numFmt w:val="decimal"/>
      <w:lvlText w:val="%1."/>
      <w:lvlJc w:val="left"/>
      <w:pPr>
        <w:ind w:left="360" w:hanging="360"/>
      </w:pPr>
      <w:rPr>
        <w:rFonts w:hint="default"/>
      </w:rPr>
    </w:lvl>
    <w:lvl w:ilvl="1">
      <w:start w:val="2"/>
      <w:numFmt w:val="decimal"/>
      <w:lvlText w:val="%1.%2."/>
      <w:lvlJc w:val="left"/>
      <w:pPr>
        <w:ind w:left="5181" w:hanging="360"/>
      </w:pPr>
      <w:rPr>
        <w:rFonts w:hint="default"/>
        <w:color w:val="000000" w:themeColor="text1"/>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7" w15:restartNumberingAfterBreak="0">
    <w:nsid w:val="1D9B7492"/>
    <w:multiLevelType w:val="hybridMultilevel"/>
    <w:tmpl w:val="9D649BD4"/>
    <w:lvl w:ilvl="0" w:tplc="94761328">
      <w:start w:val="1"/>
      <w:numFmt w:val="decimal"/>
      <w:lvlText w:val="%1."/>
      <w:lvlJc w:val="left"/>
      <w:pPr>
        <w:ind w:left="794" w:hanging="360"/>
      </w:pPr>
      <w:rPr>
        <w:rFonts w:ascii="Calibri" w:eastAsia="Calibri" w:hAnsi="Calibri" w:cs="Calibri" w:hint="default"/>
        <w:b w:val="0"/>
        <w:bCs w:val="0"/>
        <w:i w:val="0"/>
        <w:iCs w:val="0"/>
        <w:spacing w:val="0"/>
        <w:w w:val="100"/>
        <w:sz w:val="22"/>
        <w:szCs w:val="22"/>
        <w:lang w:val="uk-UA" w:eastAsia="en-US" w:bidi="ar-SA"/>
      </w:rPr>
    </w:lvl>
    <w:lvl w:ilvl="1" w:tplc="574A24C8">
      <w:numFmt w:val="bullet"/>
      <w:lvlText w:val="•"/>
      <w:lvlJc w:val="left"/>
      <w:pPr>
        <w:ind w:left="1343" w:hanging="360"/>
      </w:pPr>
      <w:rPr>
        <w:rFonts w:hint="default"/>
        <w:lang w:val="uk-UA" w:eastAsia="en-US" w:bidi="ar-SA"/>
      </w:rPr>
    </w:lvl>
    <w:lvl w:ilvl="2" w:tplc="62F855B0">
      <w:numFmt w:val="bullet"/>
      <w:lvlText w:val="•"/>
      <w:lvlJc w:val="left"/>
      <w:pPr>
        <w:ind w:left="1886" w:hanging="360"/>
      </w:pPr>
      <w:rPr>
        <w:rFonts w:hint="default"/>
        <w:lang w:val="uk-UA" w:eastAsia="en-US" w:bidi="ar-SA"/>
      </w:rPr>
    </w:lvl>
    <w:lvl w:ilvl="3" w:tplc="BC26B48E">
      <w:numFmt w:val="bullet"/>
      <w:lvlText w:val="•"/>
      <w:lvlJc w:val="left"/>
      <w:pPr>
        <w:ind w:left="2429" w:hanging="360"/>
      </w:pPr>
      <w:rPr>
        <w:rFonts w:hint="default"/>
        <w:lang w:val="uk-UA" w:eastAsia="en-US" w:bidi="ar-SA"/>
      </w:rPr>
    </w:lvl>
    <w:lvl w:ilvl="4" w:tplc="29BEBC8E">
      <w:numFmt w:val="bullet"/>
      <w:lvlText w:val="•"/>
      <w:lvlJc w:val="left"/>
      <w:pPr>
        <w:ind w:left="2972" w:hanging="360"/>
      </w:pPr>
      <w:rPr>
        <w:rFonts w:hint="default"/>
        <w:lang w:val="uk-UA" w:eastAsia="en-US" w:bidi="ar-SA"/>
      </w:rPr>
    </w:lvl>
    <w:lvl w:ilvl="5" w:tplc="1460E902">
      <w:numFmt w:val="bullet"/>
      <w:lvlText w:val="•"/>
      <w:lvlJc w:val="left"/>
      <w:pPr>
        <w:ind w:left="3515" w:hanging="360"/>
      </w:pPr>
      <w:rPr>
        <w:rFonts w:hint="default"/>
        <w:lang w:val="uk-UA" w:eastAsia="en-US" w:bidi="ar-SA"/>
      </w:rPr>
    </w:lvl>
    <w:lvl w:ilvl="6" w:tplc="AA6225C2">
      <w:numFmt w:val="bullet"/>
      <w:lvlText w:val="•"/>
      <w:lvlJc w:val="left"/>
      <w:pPr>
        <w:ind w:left="4058" w:hanging="360"/>
      </w:pPr>
      <w:rPr>
        <w:rFonts w:hint="default"/>
        <w:lang w:val="uk-UA" w:eastAsia="en-US" w:bidi="ar-SA"/>
      </w:rPr>
    </w:lvl>
    <w:lvl w:ilvl="7" w:tplc="D0341110">
      <w:numFmt w:val="bullet"/>
      <w:lvlText w:val="•"/>
      <w:lvlJc w:val="left"/>
      <w:pPr>
        <w:ind w:left="4601" w:hanging="360"/>
      </w:pPr>
      <w:rPr>
        <w:rFonts w:hint="default"/>
        <w:lang w:val="uk-UA" w:eastAsia="en-US" w:bidi="ar-SA"/>
      </w:rPr>
    </w:lvl>
    <w:lvl w:ilvl="8" w:tplc="E5A2F8CA">
      <w:numFmt w:val="bullet"/>
      <w:lvlText w:val="•"/>
      <w:lvlJc w:val="left"/>
      <w:pPr>
        <w:ind w:left="5144" w:hanging="360"/>
      </w:pPr>
      <w:rPr>
        <w:rFonts w:hint="default"/>
        <w:lang w:val="uk-UA" w:eastAsia="en-US" w:bidi="ar-SA"/>
      </w:rPr>
    </w:lvl>
  </w:abstractNum>
  <w:abstractNum w:abstractNumId="8" w15:restartNumberingAfterBreak="0">
    <w:nsid w:val="28421542"/>
    <w:multiLevelType w:val="hybridMultilevel"/>
    <w:tmpl w:val="2B62C964"/>
    <w:lvl w:ilvl="0" w:tplc="4DA2BBAC">
      <w:start w:val="1"/>
      <w:numFmt w:val="decimal"/>
      <w:suff w:val="space"/>
      <w:lvlText w:val="%1)"/>
      <w:lvlJc w:val="left"/>
      <w:pPr>
        <w:ind w:left="360" w:hanging="360"/>
      </w:pPr>
      <w:rPr>
        <w:rFonts w:hint="default"/>
        <w:b w:val="0"/>
        <w:i w:val="0"/>
        <w:color w:val="auto"/>
      </w:rPr>
    </w:lvl>
    <w:lvl w:ilvl="1" w:tplc="04220019" w:tentative="1">
      <w:start w:val="1"/>
      <w:numFmt w:val="lowerLetter"/>
      <w:lvlText w:val="%2."/>
      <w:lvlJc w:val="left"/>
      <w:pPr>
        <w:ind w:left="3208" w:hanging="360"/>
      </w:pPr>
    </w:lvl>
    <w:lvl w:ilvl="2" w:tplc="0422001B" w:tentative="1">
      <w:start w:val="1"/>
      <w:numFmt w:val="lowerRoman"/>
      <w:lvlText w:val="%3."/>
      <w:lvlJc w:val="right"/>
      <w:pPr>
        <w:ind w:left="3928" w:hanging="180"/>
      </w:pPr>
    </w:lvl>
    <w:lvl w:ilvl="3" w:tplc="0422000F" w:tentative="1">
      <w:start w:val="1"/>
      <w:numFmt w:val="decimal"/>
      <w:lvlText w:val="%4."/>
      <w:lvlJc w:val="left"/>
      <w:pPr>
        <w:ind w:left="4648" w:hanging="360"/>
      </w:pPr>
    </w:lvl>
    <w:lvl w:ilvl="4" w:tplc="04220019" w:tentative="1">
      <w:start w:val="1"/>
      <w:numFmt w:val="lowerLetter"/>
      <w:lvlText w:val="%5."/>
      <w:lvlJc w:val="left"/>
      <w:pPr>
        <w:ind w:left="5368" w:hanging="360"/>
      </w:pPr>
    </w:lvl>
    <w:lvl w:ilvl="5" w:tplc="0422001B" w:tentative="1">
      <w:start w:val="1"/>
      <w:numFmt w:val="lowerRoman"/>
      <w:lvlText w:val="%6."/>
      <w:lvlJc w:val="right"/>
      <w:pPr>
        <w:ind w:left="6088" w:hanging="180"/>
      </w:pPr>
    </w:lvl>
    <w:lvl w:ilvl="6" w:tplc="0422000F" w:tentative="1">
      <w:start w:val="1"/>
      <w:numFmt w:val="decimal"/>
      <w:lvlText w:val="%7."/>
      <w:lvlJc w:val="left"/>
      <w:pPr>
        <w:ind w:left="6808" w:hanging="360"/>
      </w:pPr>
    </w:lvl>
    <w:lvl w:ilvl="7" w:tplc="04220019" w:tentative="1">
      <w:start w:val="1"/>
      <w:numFmt w:val="lowerLetter"/>
      <w:lvlText w:val="%8."/>
      <w:lvlJc w:val="left"/>
      <w:pPr>
        <w:ind w:left="7528" w:hanging="360"/>
      </w:pPr>
    </w:lvl>
    <w:lvl w:ilvl="8" w:tplc="0422001B" w:tentative="1">
      <w:start w:val="1"/>
      <w:numFmt w:val="lowerRoman"/>
      <w:lvlText w:val="%9."/>
      <w:lvlJc w:val="right"/>
      <w:pPr>
        <w:ind w:left="8248" w:hanging="180"/>
      </w:pPr>
    </w:lvl>
  </w:abstractNum>
  <w:abstractNum w:abstractNumId="9" w15:restartNumberingAfterBreak="0">
    <w:nsid w:val="3AEB1169"/>
    <w:multiLevelType w:val="hybridMultilevel"/>
    <w:tmpl w:val="2B62C964"/>
    <w:lvl w:ilvl="0" w:tplc="4DA2BBAC">
      <w:start w:val="1"/>
      <w:numFmt w:val="decimal"/>
      <w:suff w:val="space"/>
      <w:lvlText w:val="%1)"/>
      <w:lvlJc w:val="left"/>
      <w:pPr>
        <w:ind w:left="360" w:hanging="360"/>
      </w:pPr>
      <w:rPr>
        <w:rFonts w:hint="default"/>
        <w:b w:val="0"/>
        <w:i w:val="0"/>
        <w:color w:val="auto"/>
      </w:rPr>
    </w:lvl>
    <w:lvl w:ilvl="1" w:tplc="04220019" w:tentative="1">
      <w:start w:val="1"/>
      <w:numFmt w:val="lowerLetter"/>
      <w:lvlText w:val="%2."/>
      <w:lvlJc w:val="left"/>
      <w:pPr>
        <w:ind w:left="3208" w:hanging="360"/>
      </w:pPr>
    </w:lvl>
    <w:lvl w:ilvl="2" w:tplc="0422001B" w:tentative="1">
      <w:start w:val="1"/>
      <w:numFmt w:val="lowerRoman"/>
      <w:lvlText w:val="%3."/>
      <w:lvlJc w:val="right"/>
      <w:pPr>
        <w:ind w:left="3928" w:hanging="180"/>
      </w:pPr>
    </w:lvl>
    <w:lvl w:ilvl="3" w:tplc="0422000F" w:tentative="1">
      <w:start w:val="1"/>
      <w:numFmt w:val="decimal"/>
      <w:lvlText w:val="%4."/>
      <w:lvlJc w:val="left"/>
      <w:pPr>
        <w:ind w:left="4648" w:hanging="360"/>
      </w:pPr>
    </w:lvl>
    <w:lvl w:ilvl="4" w:tplc="04220019" w:tentative="1">
      <w:start w:val="1"/>
      <w:numFmt w:val="lowerLetter"/>
      <w:lvlText w:val="%5."/>
      <w:lvlJc w:val="left"/>
      <w:pPr>
        <w:ind w:left="5368" w:hanging="360"/>
      </w:pPr>
    </w:lvl>
    <w:lvl w:ilvl="5" w:tplc="0422001B" w:tentative="1">
      <w:start w:val="1"/>
      <w:numFmt w:val="lowerRoman"/>
      <w:lvlText w:val="%6."/>
      <w:lvlJc w:val="right"/>
      <w:pPr>
        <w:ind w:left="6088" w:hanging="180"/>
      </w:pPr>
    </w:lvl>
    <w:lvl w:ilvl="6" w:tplc="0422000F" w:tentative="1">
      <w:start w:val="1"/>
      <w:numFmt w:val="decimal"/>
      <w:lvlText w:val="%7."/>
      <w:lvlJc w:val="left"/>
      <w:pPr>
        <w:ind w:left="6808" w:hanging="360"/>
      </w:pPr>
    </w:lvl>
    <w:lvl w:ilvl="7" w:tplc="04220019" w:tentative="1">
      <w:start w:val="1"/>
      <w:numFmt w:val="lowerLetter"/>
      <w:lvlText w:val="%8."/>
      <w:lvlJc w:val="left"/>
      <w:pPr>
        <w:ind w:left="7528" w:hanging="360"/>
      </w:pPr>
    </w:lvl>
    <w:lvl w:ilvl="8" w:tplc="0422001B" w:tentative="1">
      <w:start w:val="1"/>
      <w:numFmt w:val="lowerRoman"/>
      <w:lvlText w:val="%9."/>
      <w:lvlJc w:val="right"/>
      <w:pPr>
        <w:ind w:left="8248" w:hanging="180"/>
      </w:pPr>
    </w:lvl>
  </w:abstractNum>
  <w:abstractNum w:abstractNumId="10" w15:restartNumberingAfterBreak="0">
    <w:nsid w:val="3D774ABE"/>
    <w:multiLevelType w:val="hybridMultilevel"/>
    <w:tmpl w:val="B9F68E56"/>
    <w:lvl w:ilvl="0" w:tplc="C5E0B9C2">
      <w:start w:val="11"/>
      <w:numFmt w:val="decimal"/>
      <w:lvlText w:val="%1)"/>
      <w:lvlJc w:val="left"/>
      <w:pPr>
        <w:ind w:left="750" w:hanging="390"/>
      </w:pPr>
      <w:rPr>
        <w:rFonts w:hint="default"/>
        <w:color w:val="auto"/>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 w15:restartNumberingAfterBreak="0">
    <w:nsid w:val="4368235C"/>
    <w:multiLevelType w:val="hybridMultilevel"/>
    <w:tmpl w:val="81D44872"/>
    <w:lvl w:ilvl="0" w:tplc="04190001">
      <w:start w:val="1"/>
      <w:numFmt w:val="bullet"/>
      <w:lvlText w:val=""/>
      <w:lvlJc w:val="left"/>
      <w:pPr>
        <w:ind w:left="1034" w:hanging="360"/>
      </w:pPr>
      <w:rPr>
        <w:rFonts w:ascii="Symbol" w:hAnsi="Symbol" w:hint="default"/>
      </w:rPr>
    </w:lvl>
    <w:lvl w:ilvl="1" w:tplc="04220003" w:tentative="1">
      <w:start w:val="1"/>
      <w:numFmt w:val="bullet"/>
      <w:lvlText w:val="o"/>
      <w:lvlJc w:val="left"/>
      <w:pPr>
        <w:ind w:left="1754" w:hanging="360"/>
      </w:pPr>
      <w:rPr>
        <w:rFonts w:ascii="Courier New" w:hAnsi="Courier New" w:cs="Courier New" w:hint="default"/>
      </w:rPr>
    </w:lvl>
    <w:lvl w:ilvl="2" w:tplc="04220005" w:tentative="1">
      <w:start w:val="1"/>
      <w:numFmt w:val="bullet"/>
      <w:lvlText w:val=""/>
      <w:lvlJc w:val="left"/>
      <w:pPr>
        <w:ind w:left="2474" w:hanging="360"/>
      </w:pPr>
      <w:rPr>
        <w:rFonts w:ascii="Wingdings" w:hAnsi="Wingdings" w:hint="default"/>
      </w:rPr>
    </w:lvl>
    <w:lvl w:ilvl="3" w:tplc="04220001" w:tentative="1">
      <w:start w:val="1"/>
      <w:numFmt w:val="bullet"/>
      <w:lvlText w:val=""/>
      <w:lvlJc w:val="left"/>
      <w:pPr>
        <w:ind w:left="3194" w:hanging="360"/>
      </w:pPr>
      <w:rPr>
        <w:rFonts w:ascii="Symbol" w:hAnsi="Symbol" w:hint="default"/>
      </w:rPr>
    </w:lvl>
    <w:lvl w:ilvl="4" w:tplc="04220003" w:tentative="1">
      <w:start w:val="1"/>
      <w:numFmt w:val="bullet"/>
      <w:lvlText w:val="o"/>
      <w:lvlJc w:val="left"/>
      <w:pPr>
        <w:ind w:left="3914" w:hanging="360"/>
      </w:pPr>
      <w:rPr>
        <w:rFonts w:ascii="Courier New" w:hAnsi="Courier New" w:cs="Courier New" w:hint="default"/>
      </w:rPr>
    </w:lvl>
    <w:lvl w:ilvl="5" w:tplc="04220005" w:tentative="1">
      <w:start w:val="1"/>
      <w:numFmt w:val="bullet"/>
      <w:lvlText w:val=""/>
      <w:lvlJc w:val="left"/>
      <w:pPr>
        <w:ind w:left="4634" w:hanging="360"/>
      </w:pPr>
      <w:rPr>
        <w:rFonts w:ascii="Wingdings" w:hAnsi="Wingdings" w:hint="default"/>
      </w:rPr>
    </w:lvl>
    <w:lvl w:ilvl="6" w:tplc="04220001" w:tentative="1">
      <w:start w:val="1"/>
      <w:numFmt w:val="bullet"/>
      <w:lvlText w:val=""/>
      <w:lvlJc w:val="left"/>
      <w:pPr>
        <w:ind w:left="5354" w:hanging="360"/>
      </w:pPr>
      <w:rPr>
        <w:rFonts w:ascii="Symbol" w:hAnsi="Symbol" w:hint="default"/>
      </w:rPr>
    </w:lvl>
    <w:lvl w:ilvl="7" w:tplc="04220003" w:tentative="1">
      <w:start w:val="1"/>
      <w:numFmt w:val="bullet"/>
      <w:lvlText w:val="o"/>
      <w:lvlJc w:val="left"/>
      <w:pPr>
        <w:ind w:left="6074" w:hanging="360"/>
      </w:pPr>
      <w:rPr>
        <w:rFonts w:ascii="Courier New" w:hAnsi="Courier New" w:cs="Courier New" w:hint="default"/>
      </w:rPr>
    </w:lvl>
    <w:lvl w:ilvl="8" w:tplc="04220005" w:tentative="1">
      <w:start w:val="1"/>
      <w:numFmt w:val="bullet"/>
      <w:lvlText w:val=""/>
      <w:lvlJc w:val="left"/>
      <w:pPr>
        <w:ind w:left="6794" w:hanging="360"/>
      </w:pPr>
      <w:rPr>
        <w:rFonts w:ascii="Wingdings" w:hAnsi="Wingdings" w:hint="default"/>
      </w:rPr>
    </w:lvl>
  </w:abstractNum>
  <w:abstractNum w:abstractNumId="12" w15:restartNumberingAfterBreak="0">
    <w:nsid w:val="444D7E68"/>
    <w:multiLevelType w:val="multilevel"/>
    <w:tmpl w:val="64103624"/>
    <w:lvl w:ilvl="0">
      <w:start w:val="1"/>
      <w:numFmt w:val="decimal"/>
      <w:lvlText w:val="%1."/>
      <w:lvlJc w:val="left"/>
      <w:pPr>
        <w:ind w:left="1080" w:hanging="360"/>
      </w:pPr>
      <w:rPr>
        <w:rFonts w:hint="default"/>
      </w:rPr>
    </w:lvl>
    <w:lvl w:ilvl="1">
      <w:start w:val="7"/>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3" w15:restartNumberingAfterBreak="0">
    <w:nsid w:val="474449FC"/>
    <w:multiLevelType w:val="multilevel"/>
    <w:tmpl w:val="FCA2843E"/>
    <w:lvl w:ilvl="0">
      <w:start w:val="1"/>
      <w:numFmt w:val="decimal"/>
      <w:lvlText w:val="%1."/>
      <w:lvlJc w:val="left"/>
      <w:pPr>
        <w:ind w:left="0" w:firstLine="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489A0960"/>
    <w:multiLevelType w:val="hybridMultilevel"/>
    <w:tmpl w:val="FCF85590"/>
    <w:lvl w:ilvl="0" w:tplc="C8B21034">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5" w15:restartNumberingAfterBreak="0">
    <w:nsid w:val="51185E13"/>
    <w:multiLevelType w:val="hybridMultilevel"/>
    <w:tmpl w:val="9A22B6C2"/>
    <w:lvl w:ilvl="0" w:tplc="3DCC46EE">
      <w:start w:val="9"/>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6" w15:restartNumberingAfterBreak="0">
    <w:nsid w:val="53E30184"/>
    <w:multiLevelType w:val="multilevel"/>
    <w:tmpl w:val="D6FAE58C"/>
    <w:styleLink w:val="newnumberingapplications"/>
    <w:lvl w:ilvl="0">
      <w:start w:val="1"/>
      <w:numFmt w:val="none"/>
      <w:pStyle w:val="Heading1application"/>
      <w:lvlText w:val=""/>
      <w:lvlJc w:val="left"/>
      <w:pPr>
        <w:tabs>
          <w:tab w:val="num" w:pos="851"/>
        </w:tabs>
        <w:ind w:left="0" w:firstLine="851"/>
      </w:pPr>
      <w:rPr>
        <w:rFonts w:cs="Times New Roman" w:hint="default"/>
        <w:b/>
        <w:i w:val="0"/>
        <w:sz w:val="28"/>
        <w:vertAlign w:val="baseline"/>
      </w:rPr>
    </w:lvl>
    <w:lvl w:ilvl="1">
      <w:start w:val="1"/>
      <w:numFmt w:val="decimal"/>
      <w:pStyle w:val="Heading2application"/>
      <w:isLgl/>
      <w:lvlText w:val="%2. "/>
      <w:lvlJc w:val="left"/>
      <w:pPr>
        <w:tabs>
          <w:tab w:val="num" w:pos="851"/>
        </w:tabs>
        <w:ind w:left="0" w:firstLine="851"/>
      </w:pPr>
      <w:rPr>
        <w:rFonts w:cs="Times New Roman" w:hint="default"/>
      </w:rPr>
    </w:lvl>
    <w:lvl w:ilvl="2">
      <w:start w:val="1"/>
      <w:numFmt w:val="decimal"/>
      <w:pStyle w:val="Normalapplication"/>
      <w:isLgl/>
      <w:lvlText w:val="%2.%3. "/>
      <w:lvlJc w:val="left"/>
      <w:pPr>
        <w:tabs>
          <w:tab w:val="num" w:pos="851"/>
        </w:tabs>
        <w:ind w:left="0" w:firstLine="851"/>
      </w:pPr>
      <w:rPr>
        <w:rFonts w:cs="Times New Roman" w:hint="default"/>
      </w:rPr>
    </w:lvl>
    <w:lvl w:ilvl="3">
      <w:start w:val="1"/>
      <w:numFmt w:val="decimal"/>
      <w:pStyle w:val="Normalnumberingapplication"/>
      <w:lvlText w:val="%4) "/>
      <w:lvlJc w:val="left"/>
      <w:pPr>
        <w:ind w:left="0" w:firstLine="851"/>
      </w:pPr>
      <w:rPr>
        <w:rFonts w:cs="Times New Roman" w:hint="default"/>
      </w:rPr>
    </w:lvl>
    <w:lvl w:ilvl="4">
      <w:start w:val="1"/>
      <w:numFmt w:val="russianLower"/>
      <w:lvlText w:val="%5) "/>
      <w:lvlJc w:val="left"/>
      <w:pPr>
        <w:ind w:left="-738" w:firstLine="851"/>
      </w:pPr>
      <w:rPr>
        <w:rFonts w:hint="default"/>
        <w:color w:val="auto"/>
      </w:rPr>
    </w:lvl>
    <w:lvl w:ilvl="5">
      <w:start w:val="1"/>
      <w:numFmt w:val="lowerRoman"/>
      <w:lvlText w:val="%6."/>
      <w:lvlJc w:val="right"/>
      <w:pPr>
        <w:tabs>
          <w:tab w:val="num" w:pos="-738"/>
        </w:tabs>
        <w:ind w:left="2097" w:firstLine="567"/>
      </w:pPr>
      <w:rPr>
        <w:rFonts w:cs="Times New Roman" w:hint="default"/>
      </w:rPr>
    </w:lvl>
    <w:lvl w:ilvl="6">
      <w:start w:val="1"/>
      <w:numFmt w:val="decimal"/>
      <w:lvlText w:val="%7."/>
      <w:lvlJc w:val="left"/>
      <w:pPr>
        <w:tabs>
          <w:tab w:val="num" w:pos="-738"/>
        </w:tabs>
        <w:ind w:left="2664" w:firstLine="567"/>
      </w:pPr>
      <w:rPr>
        <w:rFonts w:cs="Times New Roman" w:hint="default"/>
      </w:rPr>
    </w:lvl>
    <w:lvl w:ilvl="7">
      <w:start w:val="1"/>
      <w:numFmt w:val="lowerLetter"/>
      <w:lvlText w:val="%8."/>
      <w:lvlJc w:val="left"/>
      <w:pPr>
        <w:tabs>
          <w:tab w:val="num" w:pos="-738"/>
        </w:tabs>
        <w:ind w:left="3231" w:firstLine="567"/>
      </w:pPr>
      <w:rPr>
        <w:rFonts w:cs="Times New Roman" w:hint="default"/>
      </w:rPr>
    </w:lvl>
    <w:lvl w:ilvl="8">
      <w:start w:val="1"/>
      <w:numFmt w:val="lowerRoman"/>
      <w:lvlText w:val="%9."/>
      <w:lvlJc w:val="right"/>
      <w:pPr>
        <w:tabs>
          <w:tab w:val="num" w:pos="-738"/>
        </w:tabs>
        <w:ind w:left="3798" w:firstLine="567"/>
      </w:pPr>
      <w:rPr>
        <w:rFonts w:cs="Times New Roman" w:hint="default"/>
      </w:rPr>
    </w:lvl>
  </w:abstractNum>
  <w:abstractNum w:abstractNumId="17" w15:restartNumberingAfterBreak="0">
    <w:nsid w:val="567D4B37"/>
    <w:multiLevelType w:val="hybridMultilevel"/>
    <w:tmpl w:val="67C2F00A"/>
    <w:lvl w:ilvl="0" w:tplc="8ED63018">
      <w:start w:val="17"/>
      <w:numFmt w:val="decimal"/>
      <w:lvlText w:val="%1)"/>
      <w:lvlJc w:val="left"/>
      <w:pPr>
        <w:ind w:left="750" w:hanging="39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 w15:restartNumberingAfterBreak="0">
    <w:nsid w:val="5A6B06F7"/>
    <w:multiLevelType w:val="hybridMultilevel"/>
    <w:tmpl w:val="5344F1A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61C178DF"/>
    <w:multiLevelType w:val="hybridMultilevel"/>
    <w:tmpl w:val="A3F6893A"/>
    <w:lvl w:ilvl="0" w:tplc="519C4EF6">
      <w:start w:val="3"/>
      <w:numFmt w:val="decimal"/>
      <w:lvlText w:val="%1)"/>
      <w:lvlJc w:val="left"/>
      <w:pPr>
        <w:ind w:left="555" w:hanging="360"/>
      </w:pPr>
      <w:rPr>
        <w:rFonts w:hint="default"/>
      </w:rPr>
    </w:lvl>
    <w:lvl w:ilvl="1" w:tplc="04220019" w:tentative="1">
      <w:start w:val="1"/>
      <w:numFmt w:val="lowerLetter"/>
      <w:lvlText w:val="%2."/>
      <w:lvlJc w:val="left"/>
      <w:pPr>
        <w:ind w:left="1275" w:hanging="360"/>
      </w:pPr>
    </w:lvl>
    <w:lvl w:ilvl="2" w:tplc="0422001B" w:tentative="1">
      <w:start w:val="1"/>
      <w:numFmt w:val="lowerRoman"/>
      <w:lvlText w:val="%3."/>
      <w:lvlJc w:val="right"/>
      <w:pPr>
        <w:ind w:left="1995" w:hanging="180"/>
      </w:pPr>
    </w:lvl>
    <w:lvl w:ilvl="3" w:tplc="0422000F" w:tentative="1">
      <w:start w:val="1"/>
      <w:numFmt w:val="decimal"/>
      <w:lvlText w:val="%4."/>
      <w:lvlJc w:val="left"/>
      <w:pPr>
        <w:ind w:left="2715" w:hanging="360"/>
      </w:pPr>
    </w:lvl>
    <w:lvl w:ilvl="4" w:tplc="04220019" w:tentative="1">
      <w:start w:val="1"/>
      <w:numFmt w:val="lowerLetter"/>
      <w:lvlText w:val="%5."/>
      <w:lvlJc w:val="left"/>
      <w:pPr>
        <w:ind w:left="3435" w:hanging="360"/>
      </w:pPr>
    </w:lvl>
    <w:lvl w:ilvl="5" w:tplc="0422001B" w:tentative="1">
      <w:start w:val="1"/>
      <w:numFmt w:val="lowerRoman"/>
      <w:lvlText w:val="%6."/>
      <w:lvlJc w:val="right"/>
      <w:pPr>
        <w:ind w:left="4155" w:hanging="180"/>
      </w:pPr>
    </w:lvl>
    <w:lvl w:ilvl="6" w:tplc="0422000F" w:tentative="1">
      <w:start w:val="1"/>
      <w:numFmt w:val="decimal"/>
      <w:lvlText w:val="%7."/>
      <w:lvlJc w:val="left"/>
      <w:pPr>
        <w:ind w:left="4875" w:hanging="360"/>
      </w:pPr>
    </w:lvl>
    <w:lvl w:ilvl="7" w:tplc="04220019" w:tentative="1">
      <w:start w:val="1"/>
      <w:numFmt w:val="lowerLetter"/>
      <w:lvlText w:val="%8."/>
      <w:lvlJc w:val="left"/>
      <w:pPr>
        <w:ind w:left="5595" w:hanging="360"/>
      </w:pPr>
    </w:lvl>
    <w:lvl w:ilvl="8" w:tplc="0422001B" w:tentative="1">
      <w:start w:val="1"/>
      <w:numFmt w:val="lowerRoman"/>
      <w:lvlText w:val="%9."/>
      <w:lvlJc w:val="right"/>
      <w:pPr>
        <w:ind w:left="6315" w:hanging="180"/>
      </w:pPr>
    </w:lvl>
  </w:abstractNum>
  <w:abstractNum w:abstractNumId="20" w15:restartNumberingAfterBreak="0">
    <w:nsid w:val="6D744127"/>
    <w:multiLevelType w:val="hybridMultilevel"/>
    <w:tmpl w:val="875C7EEA"/>
    <w:lvl w:ilvl="0" w:tplc="1000000F">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1" w15:restartNumberingAfterBreak="0">
    <w:nsid w:val="714415AC"/>
    <w:multiLevelType w:val="hybridMultilevel"/>
    <w:tmpl w:val="50C04670"/>
    <w:lvl w:ilvl="0" w:tplc="04190001">
      <w:start w:val="1"/>
      <w:numFmt w:val="bullet"/>
      <w:lvlText w:val=""/>
      <w:lvlJc w:val="left"/>
      <w:pPr>
        <w:ind w:left="1100" w:hanging="360"/>
      </w:pPr>
      <w:rPr>
        <w:rFonts w:ascii="Symbol" w:hAnsi="Symbol" w:hint="default"/>
      </w:rPr>
    </w:lvl>
    <w:lvl w:ilvl="1" w:tplc="04220003" w:tentative="1">
      <w:start w:val="1"/>
      <w:numFmt w:val="bullet"/>
      <w:lvlText w:val="o"/>
      <w:lvlJc w:val="left"/>
      <w:pPr>
        <w:ind w:left="1820" w:hanging="360"/>
      </w:pPr>
      <w:rPr>
        <w:rFonts w:ascii="Courier New" w:hAnsi="Courier New" w:cs="Courier New" w:hint="default"/>
      </w:rPr>
    </w:lvl>
    <w:lvl w:ilvl="2" w:tplc="04220005" w:tentative="1">
      <w:start w:val="1"/>
      <w:numFmt w:val="bullet"/>
      <w:lvlText w:val=""/>
      <w:lvlJc w:val="left"/>
      <w:pPr>
        <w:ind w:left="2540" w:hanging="360"/>
      </w:pPr>
      <w:rPr>
        <w:rFonts w:ascii="Wingdings" w:hAnsi="Wingdings" w:hint="default"/>
      </w:rPr>
    </w:lvl>
    <w:lvl w:ilvl="3" w:tplc="04220001" w:tentative="1">
      <w:start w:val="1"/>
      <w:numFmt w:val="bullet"/>
      <w:lvlText w:val=""/>
      <w:lvlJc w:val="left"/>
      <w:pPr>
        <w:ind w:left="3260" w:hanging="360"/>
      </w:pPr>
      <w:rPr>
        <w:rFonts w:ascii="Symbol" w:hAnsi="Symbol" w:hint="default"/>
      </w:rPr>
    </w:lvl>
    <w:lvl w:ilvl="4" w:tplc="04220003" w:tentative="1">
      <w:start w:val="1"/>
      <w:numFmt w:val="bullet"/>
      <w:lvlText w:val="o"/>
      <w:lvlJc w:val="left"/>
      <w:pPr>
        <w:ind w:left="3980" w:hanging="360"/>
      </w:pPr>
      <w:rPr>
        <w:rFonts w:ascii="Courier New" w:hAnsi="Courier New" w:cs="Courier New" w:hint="default"/>
      </w:rPr>
    </w:lvl>
    <w:lvl w:ilvl="5" w:tplc="04220005" w:tentative="1">
      <w:start w:val="1"/>
      <w:numFmt w:val="bullet"/>
      <w:lvlText w:val=""/>
      <w:lvlJc w:val="left"/>
      <w:pPr>
        <w:ind w:left="4700" w:hanging="360"/>
      </w:pPr>
      <w:rPr>
        <w:rFonts w:ascii="Wingdings" w:hAnsi="Wingdings" w:hint="default"/>
      </w:rPr>
    </w:lvl>
    <w:lvl w:ilvl="6" w:tplc="04220001" w:tentative="1">
      <w:start w:val="1"/>
      <w:numFmt w:val="bullet"/>
      <w:lvlText w:val=""/>
      <w:lvlJc w:val="left"/>
      <w:pPr>
        <w:ind w:left="5420" w:hanging="360"/>
      </w:pPr>
      <w:rPr>
        <w:rFonts w:ascii="Symbol" w:hAnsi="Symbol" w:hint="default"/>
      </w:rPr>
    </w:lvl>
    <w:lvl w:ilvl="7" w:tplc="04220003" w:tentative="1">
      <w:start w:val="1"/>
      <w:numFmt w:val="bullet"/>
      <w:lvlText w:val="o"/>
      <w:lvlJc w:val="left"/>
      <w:pPr>
        <w:ind w:left="6140" w:hanging="360"/>
      </w:pPr>
      <w:rPr>
        <w:rFonts w:ascii="Courier New" w:hAnsi="Courier New" w:cs="Courier New" w:hint="default"/>
      </w:rPr>
    </w:lvl>
    <w:lvl w:ilvl="8" w:tplc="04220005" w:tentative="1">
      <w:start w:val="1"/>
      <w:numFmt w:val="bullet"/>
      <w:lvlText w:val=""/>
      <w:lvlJc w:val="left"/>
      <w:pPr>
        <w:ind w:left="6860" w:hanging="360"/>
      </w:pPr>
      <w:rPr>
        <w:rFonts w:ascii="Wingdings" w:hAnsi="Wingdings" w:hint="default"/>
      </w:rPr>
    </w:lvl>
  </w:abstractNum>
  <w:abstractNum w:abstractNumId="22" w15:restartNumberingAfterBreak="0">
    <w:nsid w:val="740D5CD9"/>
    <w:multiLevelType w:val="multilevel"/>
    <w:tmpl w:val="D6FAE58C"/>
    <w:numStyleLink w:val="newnumberingapplications"/>
  </w:abstractNum>
  <w:abstractNum w:abstractNumId="23" w15:restartNumberingAfterBreak="0">
    <w:nsid w:val="742F7110"/>
    <w:multiLevelType w:val="hybridMultilevel"/>
    <w:tmpl w:val="AB00C1F0"/>
    <w:lvl w:ilvl="0" w:tplc="B4AA6A7A">
      <w:start w:val="1"/>
      <w:numFmt w:val="decimal"/>
      <w:lvlText w:val="%1."/>
      <w:lvlJc w:val="left"/>
      <w:pPr>
        <w:ind w:left="794" w:hanging="360"/>
      </w:pPr>
      <w:rPr>
        <w:rFonts w:ascii="Calibri" w:eastAsia="Calibri" w:hAnsi="Calibri" w:cs="Calibri" w:hint="default"/>
        <w:b w:val="0"/>
        <w:bCs w:val="0"/>
        <w:i w:val="0"/>
        <w:iCs w:val="0"/>
        <w:spacing w:val="0"/>
        <w:w w:val="100"/>
        <w:sz w:val="22"/>
        <w:szCs w:val="22"/>
        <w:lang w:val="uk-UA" w:eastAsia="en-US" w:bidi="ar-SA"/>
      </w:rPr>
    </w:lvl>
    <w:lvl w:ilvl="1" w:tplc="447A569E">
      <w:numFmt w:val="bullet"/>
      <w:lvlText w:val="•"/>
      <w:lvlJc w:val="left"/>
      <w:pPr>
        <w:ind w:left="1343" w:hanging="360"/>
      </w:pPr>
      <w:rPr>
        <w:rFonts w:hint="default"/>
        <w:lang w:val="uk-UA" w:eastAsia="en-US" w:bidi="ar-SA"/>
      </w:rPr>
    </w:lvl>
    <w:lvl w:ilvl="2" w:tplc="5D366226">
      <w:numFmt w:val="bullet"/>
      <w:lvlText w:val="•"/>
      <w:lvlJc w:val="left"/>
      <w:pPr>
        <w:ind w:left="1886" w:hanging="360"/>
      </w:pPr>
      <w:rPr>
        <w:rFonts w:hint="default"/>
        <w:lang w:val="uk-UA" w:eastAsia="en-US" w:bidi="ar-SA"/>
      </w:rPr>
    </w:lvl>
    <w:lvl w:ilvl="3" w:tplc="CF4AEA66">
      <w:numFmt w:val="bullet"/>
      <w:lvlText w:val="•"/>
      <w:lvlJc w:val="left"/>
      <w:pPr>
        <w:ind w:left="2429" w:hanging="360"/>
      </w:pPr>
      <w:rPr>
        <w:rFonts w:hint="default"/>
        <w:lang w:val="uk-UA" w:eastAsia="en-US" w:bidi="ar-SA"/>
      </w:rPr>
    </w:lvl>
    <w:lvl w:ilvl="4" w:tplc="0FE056DE">
      <w:numFmt w:val="bullet"/>
      <w:lvlText w:val="•"/>
      <w:lvlJc w:val="left"/>
      <w:pPr>
        <w:ind w:left="2972" w:hanging="360"/>
      </w:pPr>
      <w:rPr>
        <w:rFonts w:hint="default"/>
        <w:lang w:val="uk-UA" w:eastAsia="en-US" w:bidi="ar-SA"/>
      </w:rPr>
    </w:lvl>
    <w:lvl w:ilvl="5" w:tplc="FB3CCA7A">
      <w:numFmt w:val="bullet"/>
      <w:lvlText w:val="•"/>
      <w:lvlJc w:val="left"/>
      <w:pPr>
        <w:ind w:left="3515" w:hanging="360"/>
      </w:pPr>
      <w:rPr>
        <w:rFonts w:hint="default"/>
        <w:lang w:val="uk-UA" w:eastAsia="en-US" w:bidi="ar-SA"/>
      </w:rPr>
    </w:lvl>
    <w:lvl w:ilvl="6" w:tplc="3B88320E">
      <w:numFmt w:val="bullet"/>
      <w:lvlText w:val="•"/>
      <w:lvlJc w:val="left"/>
      <w:pPr>
        <w:ind w:left="4058" w:hanging="360"/>
      </w:pPr>
      <w:rPr>
        <w:rFonts w:hint="default"/>
        <w:lang w:val="uk-UA" w:eastAsia="en-US" w:bidi="ar-SA"/>
      </w:rPr>
    </w:lvl>
    <w:lvl w:ilvl="7" w:tplc="B88AFE92">
      <w:numFmt w:val="bullet"/>
      <w:lvlText w:val="•"/>
      <w:lvlJc w:val="left"/>
      <w:pPr>
        <w:ind w:left="4601" w:hanging="360"/>
      </w:pPr>
      <w:rPr>
        <w:rFonts w:hint="default"/>
        <w:lang w:val="uk-UA" w:eastAsia="en-US" w:bidi="ar-SA"/>
      </w:rPr>
    </w:lvl>
    <w:lvl w:ilvl="8" w:tplc="D2164D0A">
      <w:numFmt w:val="bullet"/>
      <w:lvlText w:val="•"/>
      <w:lvlJc w:val="left"/>
      <w:pPr>
        <w:ind w:left="5144" w:hanging="360"/>
      </w:pPr>
      <w:rPr>
        <w:rFonts w:hint="default"/>
        <w:lang w:val="uk-UA" w:eastAsia="en-US" w:bidi="ar-SA"/>
      </w:rPr>
    </w:lvl>
  </w:abstractNum>
  <w:abstractNum w:abstractNumId="24" w15:restartNumberingAfterBreak="0">
    <w:nsid w:val="7578467C"/>
    <w:multiLevelType w:val="hybridMultilevel"/>
    <w:tmpl w:val="2B62C964"/>
    <w:lvl w:ilvl="0" w:tplc="4DA2BBAC">
      <w:start w:val="1"/>
      <w:numFmt w:val="decimal"/>
      <w:suff w:val="space"/>
      <w:lvlText w:val="%1)"/>
      <w:lvlJc w:val="left"/>
      <w:pPr>
        <w:ind w:left="360" w:hanging="360"/>
      </w:pPr>
      <w:rPr>
        <w:rFonts w:hint="default"/>
        <w:b w:val="0"/>
        <w:i w:val="0"/>
        <w:color w:val="auto"/>
      </w:rPr>
    </w:lvl>
    <w:lvl w:ilvl="1" w:tplc="04220019" w:tentative="1">
      <w:start w:val="1"/>
      <w:numFmt w:val="lowerLetter"/>
      <w:lvlText w:val="%2."/>
      <w:lvlJc w:val="left"/>
      <w:pPr>
        <w:ind w:left="3208" w:hanging="360"/>
      </w:pPr>
    </w:lvl>
    <w:lvl w:ilvl="2" w:tplc="0422001B" w:tentative="1">
      <w:start w:val="1"/>
      <w:numFmt w:val="lowerRoman"/>
      <w:lvlText w:val="%3."/>
      <w:lvlJc w:val="right"/>
      <w:pPr>
        <w:ind w:left="3928" w:hanging="180"/>
      </w:pPr>
    </w:lvl>
    <w:lvl w:ilvl="3" w:tplc="0422000F" w:tentative="1">
      <w:start w:val="1"/>
      <w:numFmt w:val="decimal"/>
      <w:lvlText w:val="%4."/>
      <w:lvlJc w:val="left"/>
      <w:pPr>
        <w:ind w:left="4648" w:hanging="360"/>
      </w:pPr>
    </w:lvl>
    <w:lvl w:ilvl="4" w:tplc="04220019" w:tentative="1">
      <w:start w:val="1"/>
      <w:numFmt w:val="lowerLetter"/>
      <w:lvlText w:val="%5."/>
      <w:lvlJc w:val="left"/>
      <w:pPr>
        <w:ind w:left="5368" w:hanging="360"/>
      </w:pPr>
    </w:lvl>
    <w:lvl w:ilvl="5" w:tplc="0422001B" w:tentative="1">
      <w:start w:val="1"/>
      <w:numFmt w:val="lowerRoman"/>
      <w:lvlText w:val="%6."/>
      <w:lvlJc w:val="right"/>
      <w:pPr>
        <w:ind w:left="6088" w:hanging="180"/>
      </w:pPr>
    </w:lvl>
    <w:lvl w:ilvl="6" w:tplc="0422000F" w:tentative="1">
      <w:start w:val="1"/>
      <w:numFmt w:val="decimal"/>
      <w:lvlText w:val="%7."/>
      <w:lvlJc w:val="left"/>
      <w:pPr>
        <w:ind w:left="6808" w:hanging="360"/>
      </w:pPr>
    </w:lvl>
    <w:lvl w:ilvl="7" w:tplc="04220019" w:tentative="1">
      <w:start w:val="1"/>
      <w:numFmt w:val="lowerLetter"/>
      <w:lvlText w:val="%8."/>
      <w:lvlJc w:val="left"/>
      <w:pPr>
        <w:ind w:left="7528" w:hanging="360"/>
      </w:pPr>
    </w:lvl>
    <w:lvl w:ilvl="8" w:tplc="0422001B" w:tentative="1">
      <w:start w:val="1"/>
      <w:numFmt w:val="lowerRoman"/>
      <w:lvlText w:val="%9."/>
      <w:lvlJc w:val="right"/>
      <w:pPr>
        <w:ind w:left="8248" w:hanging="180"/>
      </w:pPr>
    </w:lvl>
  </w:abstractNum>
  <w:abstractNum w:abstractNumId="25" w15:restartNumberingAfterBreak="0">
    <w:nsid w:val="78C61D31"/>
    <w:multiLevelType w:val="hybridMultilevel"/>
    <w:tmpl w:val="36C4891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15:restartNumberingAfterBreak="0">
    <w:nsid w:val="7CD425BD"/>
    <w:multiLevelType w:val="hybridMultilevel"/>
    <w:tmpl w:val="70969A38"/>
    <w:lvl w:ilvl="0" w:tplc="50D8E9C2">
      <w:start w:val="13"/>
      <w:numFmt w:val="decimal"/>
      <w:lvlText w:val="%1)"/>
      <w:lvlJc w:val="left"/>
      <w:pPr>
        <w:ind w:left="720" w:hanging="360"/>
      </w:pPr>
      <w:rPr>
        <w:rFonts w:hint="default"/>
        <w:sz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15:restartNumberingAfterBreak="0">
    <w:nsid w:val="7EF25FAC"/>
    <w:multiLevelType w:val="hybridMultilevel"/>
    <w:tmpl w:val="2B62C964"/>
    <w:lvl w:ilvl="0" w:tplc="4DA2BBAC">
      <w:start w:val="1"/>
      <w:numFmt w:val="decimal"/>
      <w:suff w:val="space"/>
      <w:lvlText w:val="%1)"/>
      <w:lvlJc w:val="left"/>
      <w:pPr>
        <w:ind w:left="360" w:hanging="360"/>
      </w:pPr>
      <w:rPr>
        <w:rFonts w:hint="default"/>
        <w:b w:val="0"/>
        <w:i w:val="0"/>
        <w:color w:val="auto"/>
      </w:rPr>
    </w:lvl>
    <w:lvl w:ilvl="1" w:tplc="04220019" w:tentative="1">
      <w:start w:val="1"/>
      <w:numFmt w:val="lowerLetter"/>
      <w:lvlText w:val="%2."/>
      <w:lvlJc w:val="left"/>
      <w:pPr>
        <w:ind w:left="3208" w:hanging="360"/>
      </w:pPr>
    </w:lvl>
    <w:lvl w:ilvl="2" w:tplc="0422001B" w:tentative="1">
      <w:start w:val="1"/>
      <w:numFmt w:val="lowerRoman"/>
      <w:lvlText w:val="%3."/>
      <w:lvlJc w:val="right"/>
      <w:pPr>
        <w:ind w:left="3928" w:hanging="180"/>
      </w:pPr>
    </w:lvl>
    <w:lvl w:ilvl="3" w:tplc="0422000F" w:tentative="1">
      <w:start w:val="1"/>
      <w:numFmt w:val="decimal"/>
      <w:lvlText w:val="%4."/>
      <w:lvlJc w:val="left"/>
      <w:pPr>
        <w:ind w:left="4648" w:hanging="360"/>
      </w:pPr>
    </w:lvl>
    <w:lvl w:ilvl="4" w:tplc="04220019" w:tentative="1">
      <w:start w:val="1"/>
      <w:numFmt w:val="lowerLetter"/>
      <w:lvlText w:val="%5."/>
      <w:lvlJc w:val="left"/>
      <w:pPr>
        <w:ind w:left="5368" w:hanging="360"/>
      </w:pPr>
    </w:lvl>
    <w:lvl w:ilvl="5" w:tplc="0422001B" w:tentative="1">
      <w:start w:val="1"/>
      <w:numFmt w:val="lowerRoman"/>
      <w:lvlText w:val="%6."/>
      <w:lvlJc w:val="right"/>
      <w:pPr>
        <w:ind w:left="6088" w:hanging="180"/>
      </w:pPr>
    </w:lvl>
    <w:lvl w:ilvl="6" w:tplc="0422000F" w:tentative="1">
      <w:start w:val="1"/>
      <w:numFmt w:val="decimal"/>
      <w:lvlText w:val="%7."/>
      <w:lvlJc w:val="left"/>
      <w:pPr>
        <w:ind w:left="6808" w:hanging="360"/>
      </w:pPr>
    </w:lvl>
    <w:lvl w:ilvl="7" w:tplc="04220019" w:tentative="1">
      <w:start w:val="1"/>
      <w:numFmt w:val="lowerLetter"/>
      <w:lvlText w:val="%8."/>
      <w:lvlJc w:val="left"/>
      <w:pPr>
        <w:ind w:left="7528" w:hanging="360"/>
      </w:pPr>
    </w:lvl>
    <w:lvl w:ilvl="8" w:tplc="0422001B" w:tentative="1">
      <w:start w:val="1"/>
      <w:numFmt w:val="lowerRoman"/>
      <w:lvlText w:val="%9."/>
      <w:lvlJc w:val="right"/>
      <w:pPr>
        <w:ind w:left="8248" w:hanging="180"/>
      </w:pPr>
    </w:lvl>
  </w:abstractNum>
  <w:num w:numId="1">
    <w:abstractNumId w:val="0"/>
  </w:num>
  <w:num w:numId="2">
    <w:abstractNumId w:val="16"/>
  </w:num>
  <w:num w:numId="3">
    <w:abstractNumId w:val="22"/>
  </w:num>
  <w:num w:numId="4">
    <w:abstractNumId w:val="20"/>
  </w:num>
  <w:num w:numId="5">
    <w:abstractNumId w:val="12"/>
  </w:num>
  <w:num w:numId="6">
    <w:abstractNumId w:val="6"/>
  </w:num>
  <w:num w:numId="7">
    <w:abstractNumId w:val="14"/>
  </w:num>
  <w:num w:numId="8">
    <w:abstractNumId w:val="13"/>
  </w:num>
  <w:num w:numId="9">
    <w:abstractNumId w:val="18"/>
  </w:num>
  <w:num w:numId="10">
    <w:abstractNumId w:val="8"/>
  </w:num>
  <w:num w:numId="11">
    <w:abstractNumId w:val="19"/>
  </w:num>
  <w:num w:numId="12">
    <w:abstractNumId w:val="24"/>
  </w:num>
  <w:num w:numId="13">
    <w:abstractNumId w:val="15"/>
  </w:num>
  <w:num w:numId="14">
    <w:abstractNumId w:val="9"/>
  </w:num>
  <w:num w:numId="15">
    <w:abstractNumId w:val="10"/>
  </w:num>
  <w:num w:numId="16">
    <w:abstractNumId w:val="26"/>
  </w:num>
  <w:num w:numId="17">
    <w:abstractNumId w:val="27"/>
  </w:num>
  <w:num w:numId="18">
    <w:abstractNumId w:val="17"/>
  </w:num>
  <w:num w:numId="19">
    <w:abstractNumId w:val="1"/>
  </w:num>
  <w:num w:numId="20">
    <w:abstractNumId w:val="11"/>
  </w:num>
  <w:num w:numId="21">
    <w:abstractNumId w:val="2"/>
  </w:num>
  <w:num w:numId="22">
    <w:abstractNumId w:val="21"/>
  </w:num>
  <w:num w:numId="23">
    <w:abstractNumId w:val="3"/>
  </w:num>
  <w:num w:numId="24">
    <w:abstractNumId w:val="23"/>
  </w:num>
  <w:num w:numId="25">
    <w:abstractNumId w:val="7"/>
  </w:num>
  <w:num w:numId="26">
    <w:abstractNumId w:val="5"/>
  </w:num>
  <w:num w:numId="27">
    <w:abstractNumId w:val="4"/>
  </w:num>
  <w:num w:numId="28">
    <w:abstractNumId w:val="2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1E30"/>
    <w:rsid w:val="00000EC6"/>
    <w:rsid w:val="00002C80"/>
    <w:rsid w:val="0000333F"/>
    <w:rsid w:val="0000354A"/>
    <w:rsid w:val="00003676"/>
    <w:rsid w:val="00003C27"/>
    <w:rsid w:val="00003DEB"/>
    <w:rsid w:val="0000434B"/>
    <w:rsid w:val="00004731"/>
    <w:rsid w:val="0000490D"/>
    <w:rsid w:val="00004B98"/>
    <w:rsid w:val="00004E4A"/>
    <w:rsid w:val="000052F8"/>
    <w:rsid w:val="00005630"/>
    <w:rsid w:val="00005714"/>
    <w:rsid w:val="000058EB"/>
    <w:rsid w:val="00005D5F"/>
    <w:rsid w:val="00006819"/>
    <w:rsid w:val="00006EC0"/>
    <w:rsid w:val="00007609"/>
    <w:rsid w:val="00007E3C"/>
    <w:rsid w:val="0001000D"/>
    <w:rsid w:val="00010762"/>
    <w:rsid w:val="00010870"/>
    <w:rsid w:val="00010BC4"/>
    <w:rsid w:val="00010E58"/>
    <w:rsid w:val="00012AEC"/>
    <w:rsid w:val="00012C08"/>
    <w:rsid w:val="0001414D"/>
    <w:rsid w:val="00014827"/>
    <w:rsid w:val="00015167"/>
    <w:rsid w:val="00015796"/>
    <w:rsid w:val="00016DCE"/>
    <w:rsid w:val="00017CF9"/>
    <w:rsid w:val="00020B53"/>
    <w:rsid w:val="00021ADD"/>
    <w:rsid w:val="00021E69"/>
    <w:rsid w:val="00022175"/>
    <w:rsid w:val="0002262A"/>
    <w:rsid w:val="00022D51"/>
    <w:rsid w:val="00023367"/>
    <w:rsid w:val="000235C8"/>
    <w:rsid w:val="000236B3"/>
    <w:rsid w:val="00023DE8"/>
    <w:rsid w:val="00024208"/>
    <w:rsid w:val="00024FC1"/>
    <w:rsid w:val="0002509A"/>
    <w:rsid w:val="000252E1"/>
    <w:rsid w:val="0002647D"/>
    <w:rsid w:val="00026909"/>
    <w:rsid w:val="00026CAB"/>
    <w:rsid w:val="00027AAE"/>
    <w:rsid w:val="00027F72"/>
    <w:rsid w:val="000304B8"/>
    <w:rsid w:val="00030B6C"/>
    <w:rsid w:val="000330A0"/>
    <w:rsid w:val="000334DB"/>
    <w:rsid w:val="00033BB1"/>
    <w:rsid w:val="00033CCD"/>
    <w:rsid w:val="00034797"/>
    <w:rsid w:val="00036665"/>
    <w:rsid w:val="00036CA7"/>
    <w:rsid w:val="00037000"/>
    <w:rsid w:val="00037BA4"/>
    <w:rsid w:val="0004087C"/>
    <w:rsid w:val="00040964"/>
    <w:rsid w:val="00040D87"/>
    <w:rsid w:val="00041464"/>
    <w:rsid w:val="00042235"/>
    <w:rsid w:val="00042389"/>
    <w:rsid w:val="00043488"/>
    <w:rsid w:val="00043726"/>
    <w:rsid w:val="000438F5"/>
    <w:rsid w:val="00044079"/>
    <w:rsid w:val="00044486"/>
    <w:rsid w:val="000446B9"/>
    <w:rsid w:val="00044D14"/>
    <w:rsid w:val="00044D67"/>
    <w:rsid w:val="00050544"/>
    <w:rsid w:val="00050E2D"/>
    <w:rsid w:val="000513D6"/>
    <w:rsid w:val="0005219E"/>
    <w:rsid w:val="0005230B"/>
    <w:rsid w:val="0005234F"/>
    <w:rsid w:val="00052C93"/>
    <w:rsid w:val="00052E4C"/>
    <w:rsid w:val="00052FFD"/>
    <w:rsid w:val="00054089"/>
    <w:rsid w:val="00054143"/>
    <w:rsid w:val="0005431B"/>
    <w:rsid w:val="000549A8"/>
    <w:rsid w:val="00054A0C"/>
    <w:rsid w:val="000551FE"/>
    <w:rsid w:val="000557EC"/>
    <w:rsid w:val="0005764B"/>
    <w:rsid w:val="000600B9"/>
    <w:rsid w:val="00060A0F"/>
    <w:rsid w:val="00061F4F"/>
    <w:rsid w:val="00062180"/>
    <w:rsid w:val="00062223"/>
    <w:rsid w:val="00062B41"/>
    <w:rsid w:val="00062C24"/>
    <w:rsid w:val="00063350"/>
    <w:rsid w:val="00063D28"/>
    <w:rsid w:val="000642EA"/>
    <w:rsid w:val="0006493D"/>
    <w:rsid w:val="00065995"/>
    <w:rsid w:val="000662AE"/>
    <w:rsid w:val="00066CED"/>
    <w:rsid w:val="00066F14"/>
    <w:rsid w:val="00067576"/>
    <w:rsid w:val="000675D1"/>
    <w:rsid w:val="0007213C"/>
    <w:rsid w:val="00072208"/>
    <w:rsid w:val="00072584"/>
    <w:rsid w:val="00073808"/>
    <w:rsid w:val="00073EB6"/>
    <w:rsid w:val="00073FAF"/>
    <w:rsid w:val="0007473A"/>
    <w:rsid w:val="000751B3"/>
    <w:rsid w:val="00076006"/>
    <w:rsid w:val="000766D6"/>
    <w:rsid w:val="00076A8A"/>
    <w:rsid w:val="0007769E"/>
    <w:rsid w:val="00077AD6"/>
    <w:rsid w:val="000808F2"/>
    <w:rsid w:val="00080BC0"/>
    <w:rsid w:val="00081FB6"/>
    <w:rsid w:val="00082346"/>
    <w:rsid w:val="000824C0"/>
    <w:rsid w:val="00082D8A"/>
    <w:rsid w:val="00083198"/>
    <w:rsid w:val="00083251"/>
    <w:rsid w:val="000842B7"/>
    <w:rsid w:val="000843BA"/>
    <w:rsid w:val="0008619B"/>
    <w:rsid w:val="00086D04"/>
    <w:rsid w:val="00087295"/>
    <w:rsid w:val="0008743B"/>
    <w:rsid w:val="000908FF"/>
    <w:rsid w:val="00090979"/>
    <w:rsid w:val="00090EDF"/>
    <w:rsid w:val="00091A61"/>
    <w:rsid w:val="000920B3"/>
    <w:rsid w:val="000922D5"/>
    <w:rsid w:val="0009297E"/>
    <w:rsid w:val="00093181"/>
    <w:rsid w:val="000940D2"/>
    <w:rsid w:val="00094B05"/>
    <w:rsid w:val="00095E54"/>
    <w:rsid w:val="000960B7"/>
    <w:rsid w:val="00096C49"/>
    <w:rsid w:val="00096CF6"/>
    <w:rsid w:val="00097A48"/>
    <w:rsid w:val="000A008A"/>
    <w:rsid w:val="000A0C58"/>
    <w:rsid w:val="000A0D06"/>
    <w:rsid w:val="000A0E5D"/>
    <w:rsid w:val="000A1246"/>
    <w:rsid w:val="000A1364"/>
    <w:rsid w:val="000A1661"/>
    <w:rsid w:val="000A1CE3"/>
    <w:rsid w:val="000A2BA9"/>
    <w:rsid w:val="000A3591"/>
    <w:rsid w:val="000A3BD4"/>
    <w:rsid w:val="000A44E4"/>
    <w:rsid w:val="000A45D5"/>
    <w:rsid w:val="000A469A"/>
    <w:rsid w:val="000A4E3E"/>
    <w:rsid w:val="000A4F89"/>
    <w:rsid w:val="000A594B"/>
    <w:rsid w:val="000A652A"/>
    <w:rsid w:val="000A65F6"/>
    <w:rsid w:val="000A7BD9"/>
    <w:rsid w:val="000B0015"/>
    <w:rsid w:val="000B042D"/>
    <w:rsid w:val="000B063F"/>
    <w:rsid w:val="000B31CF"/>
    <w:rsid w:val="000B3AF4"/>
    <w:rsid w:val="000B4249"/>
    <w:rsid w:val="000B4E48"/>
    <w:rsid w:val="000B63A6"/>
    <w:rsid w:val="000B6792"/>
    <w:rsid w:val="000B7277"/>
    <w:rsid w:val="000B7710"/>
    <w:rsid w:val="000B7898"/>
    <w:rsid w:val="000C042A"/>
    <w:rsid w:val="000C0750"/>
    <w:rsid w:val="000C1B45"/>
    <w:rsid w:val="000C1BF3"/>
    <w:rsid w:val="000C1CC9"/>
    <w:rsid w:val="000C1E83"/>
    <w:rsid w:val="000C263E"/>
    <w:rsid w:val="000C271C"/>
    <w:rsid w:val="000C29B8"/>
    <w:rsid w:val="000C2B05"/>
    <w:rsid w:val="000C2DD6"/>
    <w:rsid w:val="000C358F"/>
    <w:rsid w:val="000C35B4"/>
    <w:rsid w:val="000C35EB"/>
    <w:rsid w:val="000C3B18"/>
    <w:rsid w:val="000C3D2E"/>
    <w:rsid w:val="000C3D6D"/>
    <w:rsid w:val="000C53B0"/>
    <w:rsid w:val="000C5880"/>
    <w:rsid w:val="000C5CA0"/>
    <w:rsid w:val="000C5DAB"/>
    <w:rsid w:val="000D138C"/>
    <w:rsid w:val="000D22FF"/>
    <w:rsid w:val="000D24FC"/>
    <w:rsid w:val="000D45F3"/>
    <w:rsid w:val="000D53E8"/>
    <w:rsid w:val="000D5BDC"/>
    <w:rsid w:val="000D6843"/>
    <w:rsid w:val="000D687F"/>
    <w:rsid w:val="000D6B14"/>
    <w:rsid w:val="000D6D09"/>
    <w:rsid w:val="000D769D"/>
    <w:rsid w:val="000D7B01"/>
    <w:rsid w:val="000E101F"/>
    <w:rsid w:val="000E123F"/>
    <w:rsid w:val="000E1F52"/>
    <w:rsid w:val="000E2AA4"/>
    <w:rsid w:val="000E39D6"/>
    <w:rsid w:val="000E4307"/>
    <w:rsid w:val="000E45C2"/>
    <w:rsid w:val="000E4A86"/>
    <w:rsid w:val="000E5025"/>
    <w:rsid w:val="000E6121"/>
    <w:rsid w:val="000E6750"/>
    <w:rsid w:val="000E68A8"/>
    <w:rsid w:val="000E6FFC"/>
    <w:rsid w:val="000F08A1"/>
    <w:rsid w:val="000F12F9"/>
    <w:rsid w:val="000F1D5F"/>
    <w:rsid w:val="000F1E30"/>
    <w:rsid w:val="000F32F3"/>
    <w:rsid w:val="000F3752"/>
    <w:rsid w:val="000F3E03"/>
    <w:rsid w:val="000F3E22"/>
    <w:rsid w:val="000F4161"/>
    <w:rsid w:val="000F4220"/>
    <w:rsid w:val="000F4B93"/>
    <w:rsid w:val="000F4CEB"/>
    <w:rsid w:val="000F54A9"/>
    <w:rsid w:val="000F5F30"/>
    <w:rsid w:val="000F67FA"/>
    <w:rsid w:val="000F6C3B"/>
    <w:rsid w:val="000F720C"/>
    <w:rsid w:val="001001BE"/>
    <w:rsid w:val="001007AF"/>
    <w:rsid w:val="00101597"/>
    <w:rsid w:val="00101A7C"/>
    <w:rsid w:val="00101E31"/>
    <w:rsid w:val="0010407C"/>
    <w:rsid w:val="001047FC"/>
    <w:rsid w:val="0010557B"/>
    <w:rsid w:val="00105A68"/>
    <w:rsid w:val="00106416"/>
    <w:rsid w:val="001066BA"/>
    <w:rsid w:val="0010682C"/>
    <w:rsid w:val="00106AB5"/>
    <w:rsid w:val="00106EFA"/>
    <w:rsid w:val="0010755C"/>
    <w:rsid w:val="001077A3"/>
    <w:rsid w:val="00107A4D"/>
    <w:rsid w:val="001108CA"/>
    <w:rsid w:val="0011127D"/>
    <w:rsid w:val="00111734"/>
    <w:rsid w:val="00112116"/>
    <w:rsid w:val="001127CC"/>
    <w:rsid w:val="0011307D"/>
    <w:rsid w:val="0011354C"/>
    <w:rsid w:val="001141EB"/>
    <w:rsid w:val="00114206"/>
    <w:rsid w:val="00114238"/>
    <w:rsid w:val="001145DF"/>
    <w:rsid w:val="001155FD"/>
    <w:rsid w:val="00115B36"/>
    <w:rsid w:val="00115FFD"/>
    <w:rsid w:val="001160D9"/>
    <w:rsid w:val="001163FB"/>
    <w:rsid w:val="00116CF8"/>
    <w:rsid w:val="00116F6F"/>
    <w:rsid w:val="00117706"/>
    <w:rsid w:val="0011770F"/>
    <w:rsid w:val="00120649"/>
    <w:rsid w:val="001206AA"/>
    <w:rsid w:val="001212CE"/>
    <w:rsid w:val="00121C52"/>
    <w:rsid w:val="00121E98"/>
    <w:rsid w:val="001226C9"/>
    <w:rsid w:val="00122E25"/>
    <w:rsid w:val="00123369"/>
    <w:rsid w:val="0012336B"/>
    <w:rsid w:val="00123FF9"/>
    <w:rsid w:val="00124341"/>
    <w:rsid w:val="00124723"/>
    <w:rsid w:val="00124791"/>
    <w:rsid w:val="00124827"/>
    <w:rsid w:val="0012486F"/>
    <w:rsid w:val="00124D16"/>
    <w:rsid w:val="001251CC"/>
    <w:rsid w:val="0012623B"/>
    <w:rsid w:val="00126760"/>
    <w:rsid w:val="001268D2"/>
    <w:rsid w:val="00126E0A"/>
    <w:rsid w:val="001270D1"/>
    <w:rsid w:val="001277C9"/>
    <w:rsid w:val="00127AD5"/>
    <w:rsid w:val="00127BBC"/>
    <w:rsid w:val="00127D53"/>
    <w:rsid w:val="00130F48"/>
    <w:rsid w:val="001312C3"/>
    <w:rsid w:val="00133891"/>
    <w:rsid w:val="00133C87"/>
    <w:rsid w:val="00133D9E"/>
    <w:rsid w:val="00133F3A"/>
    <w:rsid w:val="00134351"/>
    <w:rsid w:val="00134577"/>
    <w:rsid w:val="001356A5"/>
    <w:rsid w:val="0013614B"/>
    <w:rsid w:val="00136341"/>
    <w:rsid w:val="00140B9B"/>
    <w:rsid w:val="001413AD"/>
    <w:rsid w:val="001420E5"/>
    <w:rsid w:val="0014245E"/>
    <w:rsid w:val="00142698"/>
    <w:rsid w:val="00142EE4"/>
    <w:rsid w:val="00143694"/>
    <w:rsid w:val="00143C2C"/>
    <w:rsid w:val="0014450F"/>
    <w:rsid w:val="001446D7"/>
    <w:rsid w:val="00146833"/>
    <w:rsid w:val="0014691A"/>
    <w:rsid w:val="00147986"/>
    <w:rsid w:val="0015052E"/>
    <w:rsid w:val="00151031"/>
    <w:rsid w:val="001524DD"/>
    <w:rsid w:val="00153577"/>
    <w:rsid w:val="00154C21"/>
    <w:rsid w:val="00155706"/>
    <w:rsid w:val="001559F3"/>
    <w:rsid w:val="00155B54"/>
    <w:rsid w:val="00156490"/>
    <w:rsid w:val="001572EC"/>
    <w:rsid w:val="00157373"/>
    <w:rsid w:val="001579B0"/>
    <w:rsid w:val="00161A74"/>
    <w:rsid w:val="001622DD"/>
    <w:rsid w:val="00162372"/>
    <w:rsid w:val="00162CD0"/>
    <w:rsid w:val="00163305"/>
    <w:rsid w:val="001633DC"/>
    <w:rsid w:val="00163956"/>
    <w:rsid w:val="00163F57"/>
    <w:rsid w:val="001644B7"/>
    <w:rsid w:val="00164872"/>
    <w:rsid w:val="00164891"/>
    <w:rsid w:val="00165BCB"/>
    <w:rsid w:val="00165E7E"/>
    <w:rsid w:val="0016663C"/>
    <w:rsid w:val="001669BF"/>
    <w:rsid w:val="00166C2C"/>
    <w:rsid w:val="001709EF"/>
    <w:rsid w:val="00171013"/>
    <w:rsid w:val="001712BB"/>
    <w:rsid w:val="0017257E"/>
    <w:rsid w:val="00172720"/>
    <w:rsid w:val="00172CA3"/>
    <w:rsid w:val="001732A0"/>
    <w:rsid w:val="00174254"/>
    <w:rsid w:val="00174715"/>
    <w:rsid w:val="001748F5"/>
    <w:rsid w:val="001751F0"/>
    <w:rsid w:val="0017570C"/>
    <w:rsid w:val="0017576C"/>
    <w:rsid w:val="00175C8B"/>
    <w:rsid w:val="00176B98"/>
    <w:rsid w:val="00177063"/>
    <w:rsid w:val="00177CD1"/>
    <w:rsid w:val="00180E0A"/>
    <w:rsid w:val="0018161D"/>
    <w:rsid w:val="00182F0F"/>
    <w:rsid w:val="001831A3"/>
    <w:rsid w:val="001835C5"/>
    <w:rsid w:val="00183DD3"/>
    <w:rsid w:val="00184507"/>
    <w:rsid w:val="0018455A"/>
    <w:rsid w:val="00184728"/>
    <w:rsid w:val="00185EE5"/>
    <w:rsid w:val="001876DD"/>
    <w:rsid w:val="00187BC8"/>
    <w:rsid w:val="00190516"/>
    <w:rsid w:val="00190604"/>
    <w:rsid w:val="00192587"/>
    <w:rsid w:val="00192EEA"/>
    <w:rsid w:val="0019370A"/>
    <w:rsid w:val="001939E5"/>
    <w:rsid w:val="00193C3E"/>
    <w:rsid w:val="00193FE4"/>
    <w:rsid w:val="001943A6"/>
    <w:rsid w:val="001947D2"/>
    <w:rsid w:val="0019584F"/>
    <w:rsid w:val="00195A47"/>
    <w:rsid w:val="00195D17"/>
    <w:rsid w:val="00196204"/>
    <w:rsid w:val="0019644F"/>
    <w:rsid w:val="0019719A"/>
    <w:rsid w:val="001A0CDA"/>
    <w:rsid w:val="001A1DA3"/>
    <w:rsid w:val="001A2C81"/>
    <w:rsid w:val="001A3055"/>
    <w:rsid w:val="001A32A6"/>
    <w:rsid w:val="001A3A15"/>
    <w:rsid w:val="001A3BC6"/>
    <w:rsid w:val="001A3EB3"/>
    <w:rsid w:val="001A4E8E"/>
    <w:rsid w:val="001A51BC"/>
    <w:rsid w:val="001A54BF"/>
    <w:rsid w:val="001A6D13"/>
    <w:rsid w:val="001A7138"/>
    <w:rsid w:val="001A7A07"/>
    <w:rsid w:val="001A7A70"/>
    <w:rsid w:val="001A7B22"/>
    <w:rsid w:val="001B0496"/>
    <w:rsid w:val="001B1332"/>
    <w:rsid w:val="001B2D6F"/>
    <w:rsid w:val="001B3CEE"/>
    <w:rsid w:val="001B46D7"/>
    <w:rsid w:val="001B4865"/>
    <w:rsid w:val="001B62B3"/>
    <w:rsid w:val="001B6891"/>
    <w:rsid w:val="001B78DB"/>
    <w:rsid w:val="001B7ED4"/>
    <w:rsid w:val="001B7F23"/>
    <w:rsid w:val="001C0464"/>
    <w:rsid w:val="001C04CB"/>
    <w:rsid w:val="001C059C"/>
    <w:rsid w:val="001C0817"/>
    <w:rsid w:val="001C09FF"/>
    <w:rsid w:val="001C0A69"/>
    <w:rsid w:val="001C1205"/>
    <w:rsid w:val="001C1976"/>
    <w:rsid w:val="001C19EC"/>
    <w:rsid w:val="001C1ABD"/>
    <w:rsid w:val="001C1D18"/>
    <w:rsid w:val="001C1ED9"/>
    <w:rsid w:val="001C2F09"/>
    <w:rsid w:val="001C3E61"/>
    <w:rsid w:val="001C3ED9"/>
    <w:rsid w:val="001C4A44"/>
    <w:rsid w:val="001C4AE4"/>
    <w:rsid w:val="001C5176"/>
    <w:rsid w:val="001C5183"/>
    <w:rsid w:val="001C6707"/>
    <w:rsid w:val="001C7DBB"/>
    <w:rsid w:val="001D02C9"/>
    <w:rsid w:val="001D1104"/>
    <w:rsid w:val="001D1223"/>
    <w:rsid w:val="001D16F8"/>
    <w:rsid w:val="001D1912"/>
    <w:rsid w:val="001D19AA"/>
    <w:rsid w:val="001D1D54"/>
    <w:rsid w:val="001D1F4B"/>
    <w:rsid w:val="001D30D4"/>
    <w:rsid w:val="001D5469"/>
    <w:rsid w:val="001D5920"/>
    <w:rsid w:val="001D5925"/>
    <w:rsid w:val="001D5CCF"/>
    <w:rsid w:val="001D5CDE"/>
    <w:rsid w:val="001D68F0"/>
    <w:rsid w:val="001D6CFE"/>
    <w:rsid w:val="001D738A"/>
    <w:rsid w:val="001D7489"/>
    <w:rsid w:val="001D7656"/>
    <w:rsid w:val="001D7D43"/>
    <w:rsid w:val="001E027E"/>
    <w:rsid w:val="001E0B3B"/>
    <w:rsid w:val="001E119B"/>
    <w:rsid w:val="001E11FF"/>
    <w:rsid w:val="001E1A78"/>
    <w:rsid w:val="001E1E75"/>
    <w:rsid w:val="001E2137"/>
    <w:rsid w:val="001E2944"/>
    <w:rsid w:val="001E3311"/>
    <w:rsid w:val="001E35A2"/>
    <w:rsid w:val="001E42A2"/>
    <w:rsid w:val="001E474F"/>
    <w:rsid w:val="001E4AAF"/>
    <w:rsid w:val="001E4CE4"/>
    <w:rsid w:val="001E572F"/>
    <w:rsid w:val="001E57F4"/>
    <w:rsid w:val="001E5C7D"/>
    <w:rsid w:val="001E634F"/>
    <w:rsid w:val="001E7EF6"/>
    <w:rsid w:val="001F068D"/>
    <w:rsid w:val="001F085F"/>
    <w:rsid w:val="001F1608"/>
    <w:rsid w:val="001F16FD"/>
    <w:rsid w:val="001F1DE7"/>
    <w:rsid w:val="001F27DF"/>
    <w:rsid w:val="001F2B24"/>
    <w:rsid w:val="001F2BFB"/>
    <w:rsid w:val="001F455C"/>
    <w:rsid w:val="001F4D55"/>
    <w:rsid w:val="001F5436"/>
    <w:rsid w:val="001F624D"/>
    <w:rsid w:val="001F7D20"/>
    <w:rsid w:val="0020079F"/>
    <w:rsid w:val="00200830"/>
    <w:rsid w:val="0020247A"/>
    <w:rsid w:val="002024DD"/>
    <w:rsid w:val="00202722"/>
    <w:rsid w:val="002030FC"/>
    <w:rsid w:val="002045E0"/>
    <w:rsid w:val="00204AB1"/>
    <w:rsid w:val="00204B84"/>
    <w:rsid w:val="002059A5"/>
    <w:rsid w:val="00205D32"/>
    <w:rsid w:val="0020680F"/>
    <w:rsid w:val="00207066"/>
    <w:rsid w:val="00207232"/>
    <w:rsid w:val="00207901"/>
    <w:rsid w:val="00210950"/>
    <w:rsid w:val="00210C5C"/>
    <w:rsid w:val="00211485"/>
    <w:rsid w:val="00212EC1"/>
    <w:rsid w:val="002138EF"/>
    <w:rsid w:val="00213C26"/>
    <w:rsid w:val="00213D89"/>
    <w:rsid w:val="002144F0"/>
    <w:rsid w:val="00214F46"/>
    <w:rsid w:val="00216240"/>
    <w:rsid w:val="00216DF4"/>
    <w:rsid w:val="00217CAC"/>
    <w:rsid w:val="00217EB9"/>
    <w:rsid w:val="002200D1"/>
    <w:rsid w:val="002200FC"/>
    <w:rsid w:val="0022042A"/>
    <w:rsid w:val="0022064B"/>
    <w:rsid w:val="002206D0"/>
    <w:rsid w:val="00221AE2"/>
    <w:rsid w:val="00221B33"/>
    <w:rsid w:val="00221BC7"/>
    <w:rsid w:val="00221E44"/>
    <w:rsid w:val="002220E0"/>
    <w:rsid w:val="0022266B"/>
    <w:rsid w:val="002226F0"/>
    <w:rsid w:val="00222BC6"/>
    <w:rsid w:val="00222D14"/>
    <w:rsid w:val="0022317B"/>
    <w:rsid w:val="00223393"/>
    <w:rsid w:val="00223CBF"/>
    <w:rsid w:val="00224027"/>
    <w:rsid w:val="00224386"/>
    <w:rsid w:val="00224519"/>
    <w:rsid w:val="0022468F"/>
    <w:rsid w:val="00225C0C"/>
    <w:rsid w:val="00226369"/>
    <w:rsid w:val="0022642F"/>
    <w:rsid w:val="00227C25"/>
    <w:rsid w:val="00232A87"/>
    <w:rsid w:val="00233078"/>
    <w:rsid w:val="0023321D"/>
    <w:rsid w:val="002332D3"/>
    <w:rsid w:val="00233BED"/>
    <w:rsid w:val="002351A1"/>
    <w:rsid w:val="00237DD6"/>
    <w:rsid w:val="002404EC"/>
    <w:rsid w:val="0024132B"/>
    <w:rsid w:val="00241C28"/>
    <w:rsid w:val="00242C79"/>
    <w:rsid w:val="00243543"/>
    <w:rsid w:val="00244CAC"/>
    <w:rsid w:val="00245163"/>
    <w:rsid w:val="002454DB"/>
    <w:rsid w:val="002456E7"/>
    <w:rsid w:val="00245701"/>
    <w:rsid w:val="00245955"/>
    <w:rsid w:val="00246040"/>
    <w:rsid w:val="0024629E"/>
    <w:rsid w:val="00246C2F"/>
    <w:rsid w:val="00247CE4"/>
    <w:rsid w:val="00247CEF"/>
    <w:rsid w:val="00247D02"/>
    <w:rsid w:val="00250455"/>
    <w:rsid w:val="00250670"/>
    <w:rsid w:val="002509EC"/>
    <w:rsid w:val="00250D84"/>
    <w:rsid w:val="002514C5"/>
    <w:rsid w:val="00251C23"/>
    <w:rsid w:val="00252C32"/>
    <w:rsid w:val="00253654"/>
    <w:rsid w:val="002539FE"/>
    <w:rsid w:val="00253D5F"/>
    <w:rsid w:val="00253EE5"/>
    <w:rsid w:val="00254453"/>
    <w:rsid w:val="0025464A"/>
    <w:rsid w:val="00254739"/>
    <w:rsid w:val="00254C29"/>
    <w:rsid w:val="00255696"/>
    <w:rsid w:val="00255997"/>
    <w:rsid w:val="00256A9C"/>
    <w:rsid w:val="0025742F"/>
    <w:rsid w:val="00257B19"/>
    <w:rsid w:val="00257DFF"/>
    <w:rsid w:val="00260ED1"/>
    <w:rsid w:val="002619CF"/>
    <w:rsid w:val="00261E23"/>
    <w:rsid w:val="00261F83"/>
    <w:rsid w:val="00262798"/>
    <w:rsid w:val="00262C3E"/>
    <w:rsid w:val="00262EDB"/>
    <w:rsid w:val="00263140"/>
    <w:rsid w:val="00263BF3"/>
    <w:rsid w:val="00264759"/>
    <w:rsid w:val="00264C33"/>
    <w:rsid w:val="00265690"/>
    <w:rsid w:val="00265818"/>
    <w:rsid w:val="0026586C"/>
    <w:rsid w:val="00266285"/>
    <w:rsid w:val="00267636"/>
    <w:rsid w:val="00267FD0"/>
    <w:rsid w:val="0027022F"/>
    <w:rsid w:val="002708B7"/>
    <w:rsid w:val="00271BB3"/>
    <w:rsid w:val="00273A93"/>
    <w:rsid w:val="00274353"/>
    <w:rsid w:val="00274B31"/>
    <w:rsid w:val="00274DB1"/>
    <w:rsid w:val="002753FD"/>
    <w:rsid w:val="00275B3F"/>
    <w:rsid w:val="00275BA0"/>
    <w:rsid w:val="00276080"/>
    <w:rsid w:val="002763E2"/>
    <w:rsid w:val="0027664E"/>
    <w:rsid w:val="00276771"/>
    <w:rsid w:val="00277184"/>
    <w:rsid w:val="00277A78"/>
    <w:rsid w:val="002803C4"/>
    <w:rsid w:val="00280531"/>
    <w:rsid w:val="00280B4F"/>
    <w:rsid w:val="00281ACB"/>
    <w:rsid w:val="00282062"/>
    <w:rsid w:val="00282AB2"/>
    <w:rsid w:val="00283452"/>
    <w:rsid w:val="00283531"/>
    <w:rsid w:val="0028363C"/>
    <w:rsid w:val="0028379B"/>
    <w:rsid w:val="00283E10"/>
    <w:rsid w:val="00284393"/>
    <w:rsid w:val="00284A3D"/>
    <w:rsid w:val="002851E7"/>
    <w:rsid w:val="002854F0"/>
    <w:rsid w:val="0028635D"/>
    <w:rsid w:val="0028657A"/>
    <w:rsid w:val="00286896"/>
    <w:rsid w:val="00286925"/>
    <w:rsid w:val="00286F2B"/>
    <w:rsid w:val="00287058"/>
    <w:rsid w:val="00290A41"/>
    <w:rsid w:val="0029126C"/>
    <w:rsid w:val="00291344"/>
    <w:rsid w:val="00291C31"/>
    <w:rsid w:val="0029258A"/>
    <w:rsid w:val="00293CED"/>
    <w:rsid w:val="0029420B"/>
    <w:rsid w:val="002946BA"/>
    <w:rsid w:val="00297336"/>
    <w:rsid w:val="0029745A"/>
    <w:rsid w:val="002A08E0"/>
    <w:rsid w:val="002A11A7"/>
    <w:rsid w:val="002A1D5A"/>
    <w:rsid w:val="002A22AA"/>
    <w:rsid w:val="002A3BE4"/>
    <w:rsid w:val="002A3D29"/>
    <w:rsid w:val="002A3E72"/>
    <w:rsid w:val="002A4B7F"/>
    <w:rsid w:val="002A4C59"/>
    <w:rsid w:val="002A521E"/>
    <w:rsid w:val="002A5829"/>
    <w:rsid w:val="002A5999"/>
    <w:rsid w:val="002A5B8F"/>
    <w:rsid w:val="002A5CE7"/>
    <w:rsid w:val="002A61C9"/>
    <w:rsid w:val="002A6765"/>
    <w:rsid w:val="002A6A48"/>
    <w:rsid w:val="002A6D41"/>
    <w:rsid w:val="002A6E11"/>
    <w:rsid w:val="002A74CA"/>
    <w:rsid w:val="002B0CFF"/>
    <w:rsid w:val="002B0EED"/>
    <w:rsid w:val="002B0F0A"/>
    <w:rsid w:val="002B2476"/>
    <w:rsid w:val="002B2B9D"/>
    <w:rsid w:val="002B35F3"/>
    <w:rsid w:val="002B365B"/>
    <w:rsid w:val="002B3741"/>
    <w:rsid w:val="002B3C03"/>
    <w:rsid w:val="002B408A"/>
    <w:rsid w:val="002B4269"/>
    <w:rsid w:val="002B4764"/>
    <w:rsid w:val="002B59BB"/>
    <w:rsid w:val="002B5A09"/>
    <w:rsid w:val="002B631B"/>
    <w:rsid w:val="002B7175"/>
    <w:rsid w:val="002B7307"/>
    <w:rsid w:val="002B7B8F"/>
    <w:rsid w:val="002C0019"/>
    <w:rsid w:val="002C05B2"/>
    <w:rsid w:val="002C09B1"/>
    <w:rsid w:val="002C0C25"/>
    <w:rsid w:val="002C1ACD"/>
    <w:rsid w:val="002C1B62"/>
    <w:rsid w:val="002C2023"/>
    <w:rsid w:val="002C203D"/>
    <w:rsid w:val="002C2046"/>
    <w:rsid w:val="002C3BAE"/>
    <w:rsid w:val="002C3F0E"/>
    <w:rsid w:val="002C4B7E"/>
    <w:rsid w:val="002C4D26"/>
    <w:rsid w:val="002C4D30"/>
    <w:rsid w:val="002C4D77"/>
    <w:rsid w:val="002C4E55"/>
    <w:rsid w:val="002C51BA"/>
    <w:rsid w:val="002C54AF"/>
    <w:rsid w:val="002C59E0"/>
    <w:rsid w:val="002C6B98"/>
    <w:rsid w:val="002C6C94"/>
    <w:rsid w:val="002C6DD1"/>
    <w:rsid w:val="002C6EBB"/>
    <w:rsid w:val="002D0270"/>
    <w:rsid w:val="002D0C81"/>
    <w:rsid w:val="002D1061"/>
    <w:rsid w:val="002D233C"/>
    <w:rsid w:val="002D294A"/>
    <w:rsid w:val="002D2A75"/>
    <w:rsid w:val="002D2AB8"/>
    <w:rsid w:val="002D37B2"/>
    <w:rsid w:val="002D3B14"/>
    <w:rsid w:val="002D3E8C"/>
    <w:rsid w:val="002D4131"/>
    <w:rsid w:val="002D41D7"/>
    <w:rsid w:val="002D47FC"/>
    <w:rsid w:val="002D5637"/>
    <w:rsid w:val="002D57A8"/>
    <w:rsid w:val="002D5E8F"/>
    <w:rsid w:val="002D648A"/>
    <w:rsid w:val="002D649F"/>
    <w:rsid w:val="002D71A0"/>
    <w:rsid w:val="002D7C1E"/>
    <w:rsid w:val="002E06F7"/>
    <w:rsid w:val="002E0D86"/>
    <w:rsid w:val="002E2AFD"/>
    <w:rsid w:val="002E2B32"/>
    <w:rsid w:val="002E2F45"/>
    <w:rsid w:val="002E31F1"/>
    <w:rsid w:val="002E33F0"/>
    <w:rsid w:val="002E417C"/>
    <w:rsid w:val="002E494B"/>
    <w:rsid w:val="002E49F7"/>
    <w:rsid w:val="002E4CD3"/>
    <w:rsid w:val="002E5F3E"/>
    <w:rsid w:val="002E6060"/>
    <w:rsid w:val="002E6810"/>
    <w:rsid w:val="002E6B8D"/>
    <w:rsid w:val="002E755D"/>
    <w:rsid w:val="002E75B7"/>
    <w:rsid w:val="002F0815"/>
    <w:rsid w:val="002F0E39"/>
    <w:rsid w:val="002F23A0"/>
    <w:rsid w:val="002F2638"/>
    <w:rsid w:val="002F35AB"/>
    <w:rsid w:val="002F4144"/>
    <w:rsid w:val="002F49A1"/>
    <w:rsid w:val="002F4A70"/>
    <w:rsid w:val="002F4A86"/>
    <w:rsid w:val="002F622C"/>
    <w:rsid w:val="002F686F"/>
    <w:rsid w:val="002F7734"/>
    <w:rsid w:val="002F782E"/>
    <w:rsid w:val="002F7C18"/>
    <w:rsid w:val="002F7F55"/>
    <w:rsid w:val="00300CD4"/>
    <w:rsid w:val="00301157"/>
    <w:rsid w:val="00301394"/>
    <w:rsid w:val="0030207B"/>
    <w:rsid w:val="0030248D"/>
    <w:rsid w:val="00302B42"/>
    <w:rsid w:val="00302DF6"/>
    <w:rsid w:val="003036DF"/>
    <w:rsid w:val="00304810"/>
    <w:rsid w:val="003048D7"/>
    <w:rsid w:val="003053C9"/>
    <w:rsid w:val="00305794"/>
    <w:rsid w:val="003062B8"/>
    <w:rsid w:val="00306340"/>
    <w:rsid w:val="00306E62"/>
    <w:rsid w:val="0030793A"/>
    <w:rsid w:val="00310009"/>
    <w:rsid w:val="0031224E"/>
    <w:rsid w:val="00312A5B"/>
    <w:rsid w:val="00313C9F"/>
    <w:rsid w:val="00313FDD"/>
    <w:rsid w:val="00314376"/>
    <w:rsid w:val="0031494B"/>
    <w:rsid w:val="00314B24"/>
    <w:rsid w:val="00314C5A"/>
    <w:rsid w:val="003156EB"/>
    <w:rsid w:val="003160E4"/>
    <w:rsid w:val="00316DC3"/>
    <w:rsid w:val="0031705E"/>
    <w:rsid w:val="00317780"/>
    <w:rsid w:val="00317CBB"/>
    <w:rsid w:val="00317FE3"/>
    <w:rsid w:val="0032004B"/>
    <w:rsid w:val="0032036B"/>
    <w:rsid w:val="00320403"/>
    <w:rsid w:val="003215BC"/>
    <w:rsid w:val="003220DE"/>
    <w:rsid w:val="003225D6"/>
    <w:rsid w:val="003225F2"/>
    <w:rsid w:val="003227F2"/>
    <w:rsid w:val="0032283D"/>
    <w:rsid w:val="003235E9"/>
    <w:rsid w:val="00324177"/>
    <w:rsid w:val="0032649E"/>
    <w:rsid w:val="003264D3"/>
    <w:rsid w:val="0032684E"/>
    <w:rsid w:val="00326A14"/>
    <w:rsid w:val="00327072"/>
    <w:rsid w:val="00327483"/>
    <w:rsid w:val="00327B0A"/>
    <w:rsid w:val="00327E42"/>
    <w:rsid w:val="00330DB9"/>
    <w:rsid w:val="00330FF2"/>
    <w:rsid w:val="00331C45"/>
    <w:rsid w:val="003320CF"/>
    <w:rsid w:val="00332CC3"/>
    <w:rsid w:val="003332AE"/>
    <w:rsid w:val="00333359"/>
    <w:rsid w:val="003334F6"/>
    <w:rsid w:val="00333BA1"/>
    <w:rsid w:val="00333C1A"/>
    <w:rsid w:val="00334CB9"/>
    <w:rsid w:val="00334E41"/>
    <w:rsid w:val="00335801"/>
    <w:rsid w:val="00335851"/>
    <w:rsid w:val="00335AF6"/>
    <w:rsid w:val="00335EFC"/>
    <w:rsid w:val="00336851"/>
    <w:rsid w:val="00336C5F"/>
    <w:rsid w:val="00337A0B"/>
    <w:rsid w:val="003401E1"/>
    <w:rsid w:val="003412FF"/>
    <w:rsid w:val="00341512"/>
    <w:rsid w:val="0034192F"/>
    <w:rsid w:val="00342C52"/>
    <w:rsid w:val="00343282"/>
    <w:rsid w:val="00343922"/>
    <w:rsid w:val="00344401"/>
    <w:rsid w:val="0034499E"/>
    <w:rsid w:val="00344B74"/>
    <w:rsid w:val="00344F18"/>
    <w:rsid w:val="003452E8"/>
    <w:rsid w:val="0034558E"/>
    <w:rsid w:val="0034583E"/>
    <w:rsid w:val="00345946"/>
    <w:rsid w:val="003461D2"/>
    <w:rsid w:val="00346590"/>
    <w:rsid w:val="00346F2C"/>
    <w:rsid w:val="003473AE"/>
    <w:rsid w:val="0034777A"/>
    <w:rsid w:val="00347D4F"/>
    <w:rsid w:val="003508AC"/>
    <w:rsid w:val="00350A4F"/>
    <w:rsid w:val="00353A4E"/>
    <w:rsid w:val="00354E4D"/>
    <w:rsid w:val="003557A3"/>
    <w:rsid w:val="00355BA0"/>
    <w:rsid w:val="00356748"/>
    <w:rsid w:val="00356DD6"/>
    <w:rsid w:val="003577DF"/>
    <w:rsid w:val="00357F39"/>
    <w:rsid w:val="00361535"/>
    <w:rsid w:val="0036193D"/>
    <w:rsid w:val="003624C3"/>
    <w:rsid w:val="00362638"/>
    <w:rsid w:val="003628F6"/>
    <w:rsid w:val="003631BD"/>
    <w:rsid w:val="0036388F"/>
    <w:rsid w:val="00364C7C"/>
    <w:rsid w:val="0036541C"/>
    <w:rsid w:val="00365D2F"/>
    <w:rsid w:val="00365E70"/>
    <w:rsid w:val="00365FD2"/>
    <w:rsid w:val="00366216"/>
    <w:rsid w:val="00367233"/>
    <w:rsid w:val="00367608"/>
    <w:rsid w:val="00370BF2"/>
    <w:rsid w:val="00370C35"/>
    <w:rsid w:val="00372173"/>
    <w:rsid w:val="00372201"/>
    <w:rsid w:val="00372221"/>
    <w:rsid w:val="00372A99"/>
    <w:rsid w:val="00372BE2"/>
    <w:rsid w:val="00373963"/>
    <w:rsid w:val="00375CCB"/>
    <w:rsid w:val="00375FF1"/>
    <w:rsid w:val="00377762"/>
    <w:rsid w:val="003807D7"/>
    <w:rsid w:val="003818C8"/>
    <w:rsid w:val="003841C3"/>
    <w:rsid w:val="003850AE"/>
    <w:rsid w:val="003860B2"/>
    <w:rsid w:val="00386D60"/>
    <w:rsid w:val="00386FC7"/>
    <w:rsid w:val="00387426"/>
    <w:rsid w:val="003877BE"/>
    <w:rsid w:val="00387ABE"/>
    <w:rsid w:val="00387AD6"/>
    <w:rsid w:val="00387F88"/>
    <w:rsid w:val="003903B7"/>
    <w:rsid w:val="0039066B"/>
    <w:rsid w:val="0039116A"/>
    <w:rsid w:val="0039140A"/>
    <w:rsid w:val="003915BF"/>
    <w:rsid w:val="00391E37"/>
    <w:rsid w:val="00392955"/>
    <w:rsid w:val="00392D9D"/>
    <w:rsid w:val="00396063"/>
    <w:rsid w:val="003963CF"/>
    <w:rsid w:val="003966B7"/>
    <w:rsid w:val="00396868"/>
    <w:rsid w:val="00397294"/>
    <w:rsid w:val="00397B13"/>
    <w:rsid w:val="00397E23"/>
    <w:rsid w:val="003A019F"/>
    <w:rsid w:val="003A0474"/>
    <w:rsid w:val="003A0E3D"/>
    <w:rsid w:val="003A1050"/>
    <w:rsid w:val="003A1AA7"/>
    <w:rsid w:val="003A2CC0"/>
    <w:rsid w:val="003A322D"/>
    <w:rsid w:val="003A3C16"/>
    <w:rsid w:val="003A4360"/>
    <w:rsid w:val="003A4A24"/>
    <w:rsid w:val="003A4C0F"/>
    <w:rsid w:val="003A5748"/>
    <w:rsid w:val="003A5CFC"/>
    <w:rsid w:val="003A6165"/>
    <w:rsid w:val="003A6B58"/>
    <w:rsid w:val="003A6CBE"/>
    <w:rsid w:val="003A6E66"/>
    <w:rsid w:val="003A72C6"/>
    <w:rsid w:val="003A7C8D"/>
    <w:rsid w:val="003A7DE4"/>
    <w:rsid w:val="003B06B2"/>
    <w:rsid w:val="003B0EDB"/>
    <w:rsid w:val="003B0F93"/>
    <w:rsid w:val="003B11C9"/>
    <w:rsid w:val="003B15CA"/>
    <w:rsid w:val="003B1A9F"/>
    <w:rsid w:val="003B1E41"/>
    <w:rsid w:val="003B33F1"/>
    <w:rsid w:val="003B37A1"/>
    <w:rsid w:val="003B4C78"/>
    <w:rsid w:val="003B4FEC"/>
    <w:rsid w:val="003B5153"/>
    <w:rsid w:val="003B6DF0"/>
    <w:rsid w:val="003B6FB6"/>
    <w:rsid w:val="003B710D"/>
    <w:rsid w:val="003C063B"/>
    <w:rsid w:val="003C0D06"/>
    <w:rsid w:val="003C2163"/>
    <w:rsid w:val="003C269A"/>
    <w:rsid w:val="003C2824"/>
    <w:rsid w:val="003C5798"/>
    <w:rsid w:val="003C644F"/>
    <w:rsid w:val="003C6639"/>
    <w:rsid w:val="003C66FB"/>
    <w:rsid w:val="003C78D3"/>
    <w:rsid w:val="003D166B"/>
    <w:rsid w:val="003D2089"/>
    <w:rsid w:val="003D252C"/>
    <w:rsid w:val="003D2950"/>
    <w:rsid w:val="003D36F7"/>
    <w:rsid w:val="003D37F3"/>
    <w:rsid w:val="003D3B98"/>
    <w:rsid w:val="003D4887"/>
    <w:rsid w:val="003D49C8"/>
    <w:rsid w:val="003D5195"/>
    <w:rsid w:val="003D52F8"/>
    <w:rsid w:val="003D532B"/>
    <w:rsid w:val="003D5C84"/>
    <w:rsid w:val="003D73F6"/>
    <w:rsid w:val="003D79A5"/>
    <w:rsid w:val="003D7B01"/>
    <w:rsid w:val="003E00B6"/>
    <w:rsid w:val="003E0158"/>
    <w:rsid w:val="003E0173"/>
    <w:rsid w:val="003E099C"/>
    <w:rsid w:val="003E10C9"/>
    <w:rsid w:val="003E1B40"/>
    <w:rsid w:val="003E1E4D"/>
    <w:rsid w:val="003E1F79"/>
    <w:rsid w:val="003E391A"/>
    <w:rsid w:val="003E4A64"/>
    <w:rsid w:val="003E500C"/>
    <w:rsid w:val="003E55C2"/>
    <w:rsid w:val="003E59FA"/>
    <w:rsid w:val="003E5D3A"/>
    <w:rsid w:val="003F0C5E"/>
    <w:rsid w:val="003F1125"/>
    <w:rsid w:val="003F13C6"/>
    <w:rsid w:val="003F1B21"/>
    <w:rsid w:val="003F2261"/>
    <w:rsid w:val="003F2D2E"/>
    <w:rsid w:val="003F2E3D"/>
    <w:rsid w:val="003F350D"/>
    <w:rsid w:val="003F36A6"/>
    <w:rsid w:val="003F3D2E"/>
    <w:rsid w:val="003F4177"/>
    <w:rsid w:val="003F4585"/>
    <w:rsid w:val="003F5B90"/>
    <w:rsid w:val="003F6784"/>
    <w:rsid w:val="003F7843"/>
    <w:rsid w:val="00403DB8"/>
    <w:rsid w:val="00404084"/>
    <w:rsid w:val="0040513C"/>
    <w:rsid w:val="00406029"/>
    <w:rsid w:val="004061E1"/>
    <w:rsid w:val="00406840"/>
    <w:rsid w:val="0040699F"/>
    <w:rsid w:val="0040747A"/>
    <w:rsid w:val="00410633"/>
    <w:rsid w:val="00410769"/>
    <w:rsid w:val="00411FA0"/>
    <w:rsid w:val="00413932"/>
    <w:rsid w:val="004142CA"/>
    <w:rsid w:val="00414593"/>
    <w:rsid w:val="004149B4"/>
    <w:rsid w:val="00415406"/>
    <w:rsid w:val="0041573F"/>
    <w:rsid w:val="00415859"/>
    <w:rsid w:val="00416584"/>
    <w:rsid w:val="0041779B"/>
    <w:rsid w:val="00417C3C"/>
    <w:rsid w:val="00420654"/>
    <w:rsid w:val="004216DD"/>
    <w:rsid w:val="00421BFB"/>
    <w:rsid w:val="00423BD1"/>
    <w:rsid w:val="004242AF"/>
    <w:rsid w:val="00424397"/>
    <w:rsid w:val="0042476C"/>
    <w:rsid w:val="004247DF"/>
    <w:rsid w:val="00425F40"/>
    <w:rsid w:val="00426F5C"/>
    <w:rsid w:val="0042735C"/>
    <w:rsid w:val="0042767D"/>
    <w:rsid w:val="00430708"/>
    <w:rsid w:val="0043082C"/>
    <w:rsid w:val="0043114A"/>
    <w:rsid w:val="00431522"/>
    <w:rsid w:val="004316D4"/>
    <w:rsid w:val="0043272A"/>
    <w:rsid w:val="00433444"/>
    <w:rsid w:val="004354C6"/>
    <w:rsid w:val="004357BC"/>
    <w:rsid w:val="00435992"/>
    <w:rsid w:val="00436F83"/>
    <w:rsid w:val="00437135"/>
    <w:rsid w:val="0043729D"/>
    <w:rsid w:val="00437F43"/>
    <w:rsid w:val="0044009D"/>
    <w:rsid w:val="00440B2B"/>
    <w:rsid w:val="004414D5"/>
    <w:rsid w:val="00443F41"/>
    <w:rsid w:val="00444372"/>
    <w:rsid w:val="00450228"/>
    <w:rsid w:val="0045039A"/>
    <w:rsid w:val="0045111E"/>
    <w:rsid w:val="0045125A"/>
    <w:rsid w:val="00451757"/>
    <w:rsid w:val="004521E5"/>
    <w:rsid w:val="004546CE"/>
    <w:rsid w:val="00454B01"/>
    <w:rsid w:val="00454C37"/>
    <w:rsid w:val="004550FA"/>
    <w:rsid w:val="004551F9"/>
    <w:rsid w:val="00455B4B"/>
    <w:rsid w:val="0045610E"/>
    <w:rsid w:val="0045623F"/>
    <w:rsid w:val="00456253"/>
    <w:rsid w:val="004565A9"/>
    <w:rsid w:val="00456861"/>
    <w:rsid w:val="00456C65"/>
    <w:rsid w:val="00456E15"/>
    <w:rsid w:val="00457C83"/>
    <w:rsid w:val="00460143"/>
    <w:rsid w:val="004606B0"/>
    <w:rsid w:val="004607F3"/>
    <w:rsid w:val="00460811"/>
    <w:rsid w:val="00460BDA"/>
    <w:rsid w:val="00460E4B"/>
    <w:rsid w:val="00461C8E"/>
    <w:rsid w:val="00461E4D"/>
    <w:rsid w:val="004638C2"/>
    <w:rsid w:val="00463A48"/>
    <w:rsid w:val="00463C4F"/>
    <w:rsid w:val="00464C35"/>
    <w:rsid w:val="00464C92"/>
    <w:rsid w:val="00464EFB"/>
    <w:rsid w:val="00465688"/>
    <w:rsid w:val="004657E4"/>
    <w:rsid w:val="00465895"/>
    <w:rsid w:val="00465D88"/>
    <w:rsid w:val="00466436"/>
    <w:rsid w:val="00467CA1"/>
    <w:rsid w:val="004707D6"/>
    <w:rsid w:val="004710F7"/>
    <w:rsid w:val="00471A05"/>
    <w:rsid w:val="00471DD4"/>
    <w:rsid w:val="00471F45"/>
    <w:rsid w:val="004727C1"/>
    <w:rsid w:val="0047478D"/>
    <w:rsid w:val="00474D23"/>
    <w:rsid w:val="00475242"/>
    <w:rsid w:val="00475A38"/>
    <w:rsid w:val="00475D24"/>
    <w:rsid w:val="0047618B"/>
    <w:rsid w:val="00476D34"/>
    <w:rsid w:val="0048048D"/>
    <w:rsid w:val="00480FDE"/>
    <w:rsid w:val="00481ABC"/>
    <w:rsid w:val="00481C46"/>
    <w:rsid w:val="004824A9"/>
    <w:rsid w:val="004825B7"/>
    <w:rsid w:val="00482D1D"/>
    <w:rsid w:val="004835D9"/>
    <w:rsid w:val="00484152"/>
    <w:rsid w:val="00484746"/>
    <w:rsid w:val="00484813"/>
    <w:rsid w:val="00486174"/>
    <w:rsid w:val="00486A61"/>
    <w:rsid w:val="00486FD0"/>
    <w:rsid w:val="00490420"/>
    <w:rsid w:val="00490754"/>
    <w:rsid w:val="0049097F"/>
    <w:rsid w:val="00490BC6"/>
    <w:rsid w:val="0049108A"/>
    <w:rsid w:val="004917BA"/>
    <w:rsid w:val="004924B2"/>
    <w:rsid w:val="00492D49"/>
    <w:rsid w:val="004932FC"/>
    <w:rsid w:val="00493735"/>
    <w:rsid w:val="00493C31"/>
    <w:rsid w:val="004946EA"/>
    <w:rsid w:val="004948C8"/>
    <w:rsid w:val="00494EC9"/>
    <w:rsid w:val="00495447"/>
    <w:rsid w:val="0049570D"/>
    <w:rsid w:val="00495B7A"/>
    <w:rsid w:val="0049629D"/>
    <w:rsid w:val="00496E4D"/>
    <w:rsid w:val="004975CA"/>
    <w:rsid w:val="004A0738"/>
    <w:rsid w:val="004A0AC5"/>
    <w:rsid w:val="004A0BB0"/>
    <w:rsid w:val="004A19B9"/>
    <w:rsid w:val="004A1E9E"/>
    <w:rsid w:val="004A25A6"/>
    <w:rsid w:val="004A26EB"/>
    <w:rsid w:val="004A2B24"/>
    <w:rsid w:val="004A2D93"/>
    <w:rsid w:val="004A3235"/>
    <w:rsid w:val="004A4455"/>
    <w:rsid w:val="004A4537"/>
    <w:rsid w:val="004A454D"/>
    <w:rsid w:val="004A4702"/>
    <w:rsid w:val="004A4AEC"/>
    <w:rsid w:val="004A4CEB"/>
    <w:rsid w:val="004A5A7C"/>
    <w:rsid w:val="004A5CA3"/>
    <w:rsid w:val="004A6C52"/>
    <w:rsid w:val="004A7426"/>
    <w:rsid w:val="004A77E9"/>
    <w:rsid w:val="004A7BC0"/>
    <w:rsid w:val="004B010E"/>
    <w:rsid w:val="004B021C"/>
    <w:rsid w:val="004B0657"/>
    <w:rsid w:val="004B073B"/>
    <w:rsid w:val="004B073E"/>
    <w:rsid w:val="004B0901"/>
    <w:rsid w:val="004B14E1"/>
    <w:rsid w:val="004B1E64"/>
    <w:rsid w:val="004B33E0"/>
    <w:rsid w:val="004B374D"/>
    <w:rsid w:val="004B3772"/>
    <w:rsid w:val="004B3825"/>
    <w:rsid w:val="004B3F21"/>
    <w:rsid w:val="004B53C5"/>
    <w:rsid w:val="004B5C30"/>
    <w:rsid w:val="004B5D74"/>
    <w:rsid w:val="004B6255"/>
    <w:rsid w:val="004B63F2"/>
    <w:rsid w:val="004B6446"/>
    <w:rsid w:val="004B64F5"/>
    <w:rsid w:val="004B6B77"/>
    <w:rsid w:val="004B6C49"/>
    <w:rsid w:val="004B7036"/>
    <w:rsid w:val="004C007A"/>
    <w:rsid w:val="004C0330"/>
    <w:rsid w:val="004C035F"/>
    <w:rsid w:val="004C15CE"/>
    <w:rsid w:val="004C1F16"/>
    <w:rsid w:val="004C252C"/>
    <w:rsid w:val="004C318F"/>
    <w:rsid w:val="004C325C"/>
    <w:rsid w:val="004C34CB"/>
    <w:rsid w:val="004C3B65"/>
    <w:rsid w:val="004C472E"/>
    <w:rsid w:val="004C4B78"/>
    <w:rsid w:val="004C579B"/>
    <w:rsid w:val="004C6250"/>
    <w:rsid w:val="004C7E7A"/>
    <w:rsid w:val="004D002C"/>
    <w:rsid w:val="004D0E4A"/>
    <w:rsid w:val="004D2392"/>
    <w:rsid w:val="004D2A7D"/>
    <w:rsid w:val="004D309F"/>
    <w:rsid w:val="004D3DD0"/>
    <w:rsid w:val="004D53A0"/>
    <w:rsid w:val="004D5708"/>
    <w:rsid w:val="004D60FB"/>
    <w:rsid w:val="004D7E03"/>
    <w:rsid w:val="004D7F4A"/>
    <w:rsid w:val="004E08BE"/>
    <w:rsid w:val="004E0E11"/>
    <w:rsid w:val="004E1202"/>
    <w:rsid w:val="004E2FFC"/>
    <w:rsid w:val="004E3329"/>
    <w:rsid w:val="004E3DA1"/>
    <w:rsid w:val="004E40C4"/>
    <w:rsid w:val="004E4194"/>
    <w:rsid w:val="004E4A9B"/>
    <w:rsid w:val="004E4C1F"/>
    <w:rsid w:val="004E501A"/>
    <w:rsid w:val="004E563F"/>
    <w:rsid w:val="004E6228"/>
    <w:rsid w:val="004E6A17"/>
    <w:rsid w:val="004F0B62"/>
    <w:rsid w:val="004F1855"/>
    <w:rsid w:val="004F1D65"/>
    <w:rsid w:val="004F2416"/>
    <w:rsid w:val="004F24D4"/>
    <w:rsid w:val="004F277F"/>
    <w:rsid w:val="004F3CD0"/>
    <w:rsid w:val="004F3D4F"/>
    <w:rsid w:val="004F412A"/>
    <w:rsid w:val="004F4468"/>
    <w:rsid w:val="004F6966"/>
    <w:rsid w:val="004F6E4A"/>
    <w:rsid w:val="004F7DFC"/>
    <w:rsid w:val="004F7EF9"/>
    <w:rsid w:val="00500002"/>
    <w:rsid w:val="0050122A"/>
    <w:rsid w:val="00501883"/>
    <w:rsid w:val="005018D7"/>
    <w:rsid w:val="00501D8F"/>
    <w:rsid w:val="00502274"/>
    <w:rsid w:val="0050307E"/>
    <w:rsid w:val="00503721"/>
    <w:rsid w:val="00503DDC"/>
    <w:rsid w:val="00504547"/>
    <w:rsid w:val="0050473D"/>
    <w:rsid w:val="00504910"/>
    <w:rsid w:val="00506996"/>
    <w:rsid w:val="00507A16"/>
    <w:rsid w:val="00507C1D"/>
    <w:rsid w:val="00507DD6"/>
    <w:rsid w:val="005101F2"/>
    <w:rsid w:val="005102FC"/>
    <w:rsid w:val="005109B6"/>
    <w:rsid w:val="00511A28"/>
    <w:rsid w:val="00511FA7"/>
    <w:rsid w:val="005123FD"/>
    <w:rsid w:val="0051268C"/>
    <w:rsid w:val="0051303F"/>
    <w:rsid w:val="00513CAE"/>
    <w:rsid w:val="00513E66"/>
    <w:rsid w:val="00514028"/>
    <w:rsid w:val="00514C1B"/>
    <w:rsid w:val="005159E7"/>
    <w:rsid w:val="00516968"/>
    <w:rsid w:val="005172C4"/>
    <w:rsid w:val="00517941"/>
    <w:rsid w:val="00517DB3"/>
    <w:rsid w:val="00517F69"/>
    <w:rsid w:val="005210A3"/>
    <w:rsid w:val="0052157D"/>
    <w:rsid w:val="00521F95"/>
    <w:rsid w:val="0052467F"/>
    <w:rsid w:val="00524F31"/>
    <w:rsid w:val="00525202"/>
    <w:rsid w:val="0052593D"/>
    <w:rsid w:val="00527C2A"/>
    <w:rsid w:val="005311CD"/>
    <w:rsid w:val="0053120B"/>
    <w:rsid w:val="005323CE"/>
    <w:rsid w:val="00533011"/>
    <w:rsid w:val="005336A7"/>
    <w:rsid w:val="00533971"/>
    <w:rsid w:val="00533C9B"/>
    <w:rsid w:val="005345CF"/>
    <w:rsid w:val="00535B23"/>
    <w:rsid w:val="00536955"/>
    <w:rsid w:val="005372F5"/>
    <w:rsid w:val="005402ED"/>
    <w:rsid w:val="00540875"/>
    <w:rsid w:val="00540C5A"/>
    <w:rsid w:val="00540CCD"/>
    <w:rsid w:val="0054142E"/>
    <w:rsid w:val="00541B40"/>
    <w:rsid w:val="00543B15"/>
    <w:rsid w:val="0054400F"/>
    <w:rsid w:val="00544759"/>
    <w:rsid w:val="005447B0"/>
    <w:rsid w:val="0054593C"/>
    <w:rsid w:val="00545955"/>
    <w:rsid w:val="00546F17"/>
    <w:rsid w:val="0054768C"/>
    <w:rsid w:val="0055038F"/>
    <w:rsid w:val="00550762"/>
    <w:rsid w:val="0055079B"/>
    <w:rsid w:val="005508C2"/>
    <w:rsid w:val="00550912"/>
    <w:rsid w:val="00550973"/>
    <w:rsid w:val="00550DDB"/>
    <w:rsid w:val="00551833"/>
    <w:rsid w:val="00551A34"/>
    <w:rsid w:val="005526EA"/>
    <w:rsid w:val="00553C1A"/>
    <w:rsid w:val="00553ED4"/>
    <w:rsid w:val="00553F4F"/>
    <w:rsid w:val="005543F2"/>
    <w:rsid w:val="00554447"/>
    <w:rsid w:val="00555180"/>
    <w:rsid w:val="0055519B"/>
    <w:rsid w:val="00556083"/>
    <w:rsid w:val="005565C9"/>
    <w:rsid w:val="00557721"/>
    <w:rsid w:val="005579E3"/>
    <w:rsid w:val="00560432"/>
    <w:rsid w:val="00560A53"/>
    <w:rsid w:val="00561441"/>
    <w:rsid w:val="005614FD"/>
    <w:rsid w:val="00561B43"/>
    <w:rsid w:val="0056214F"/>
    <w:rsid w:val="0056302F"/>
    <w:rsid w:val="0056303B"/>
    <w:rsid w:val="0056322A"/>
    <w:rsid w:val="005641B0"/>
    <w:rsid w:val="00564429"/>
    <w:rsid w:val="00564881"/>
    <w:rsid w:val="00564E2B"/>
    <w:rsid w:val="00565866"/>
    <w:rsid w:val="00565892"/>
    <w:rsid w:val="00566398"/>
    <w:rsid w:val="005668E8"/>
    <w:rsid w:val="00567B19"/>
    <w:rsid w:val="00570361"/>
    <w:rsid w:val="00570D11"/>
    <w:rsid w:val="00571C3F"/>
    <w:rsid w:val="005734B0"/>
    <w:rsid w:val="00574835"/>
    <w:rsid w:val="00574D13"/>
    <w:rsid w:val="0057534C"/>
    <w:rsid w:val="00576000"/>
    <w:rsid w:val="00576B44"/>
    <w:rsid w:val="005805C5"/>
    <w:rsid w:val="00580F3E"/>
    <w:rsid w:val="00582187"/>
    <w:rsid w:val="00582212"/>
    <w:rsid w:val="00583629"/>
    <w:rsid w:val="00584B5D"/>
    <w:rsid w:val="00584F92"/>
    <w:rsid w:val="005869CB"/>
    <w:rsid w:val="00586E11"/>
    <w:rsid w:val="0058744E"/>
    <w:rsid w:val="00587DB3"/>
    <w:rsid w:val="00590073"/>
    <w:rsid w:val="0059067C"/>
    <w:rsid w:val="005906A7"/>
    <w:rsid w:val="00591033"/>
    <w:rsid w:val="0059138B"/>
    <w:rsid w:val="00591845"/>
    <w:rsid w:val="0059228B"/>
    <w:rsid w:val="00592CEB"/>
    <w:rsid w:val="00593E32"/>
    <w:rsid w:val="00594220"/>
    <w:rsid w:val="00595846"/>
    <w:rsid w:val="00595ACE"/>
    <w:rsid w:val="00595F91"/>
    <w:rsid w:val="00596664"/>
    <w:rsid w:val="00597930"/>
    <w:rsid w:val="005A1958"/>
    <w:rsid w:val="005A1C0B"/>
    <w:rsid w:val="005A1F62"/>
    <w:rsid w:val="005A2436"/>
    <w:rsid w:val="005A27FB"/>
    <w:rsid w:val="005A326C"/>
    <w:rsid w:val="005A58C5"/>
    <w:rsid w:val="005A5B1B"/>
    <w:rsid w:val="005A6B84"/>
    <w:rsid w:val="005A6C88"/>
    <w:rsid w:val="005B013D"/>
    <w:rsid w:val="005B02EB"/>
    <w:rsid w:val="005B208B"/>
    <w:rsid w:val="005B25D6"/>
    <w:rsid w:val="005B260D"/>
    <w:rsid w:val="005B2A39"/>
    <w:rsid w:val="005B2C17"/>
    <w:rsid w:val="005B2C5D"/>
    <w:rsid w:val="005B5031"/>
    <w:rsid w:val="005B5554"/>
    <w:rsid w:val="005B5E1D"/>
    <w:rsid w:val="005B6BBD"/>
    <w:rsid w:val="005B6EF2"/>
    <w:rsid w:val="005B6F4F"/>
    <w:rsid w:val="005B746A"/>
    <w:rsid w:val="005B7F10"/>
    <w:rsid w:val="005C0001"/>
    <w:rsid w:val="005C0537"/>
    <w:rsid w:val="005C0AC9"/>
    <w:rsid w:val="005C1231"/>
    <w:rsid w:val="005C2914"/>
    <w:rsid w:val="005C3056"/>
    <w:rsid w:val="005C373C"/>
    <w:rsid w:val="005C3AD1"/>
    <w:rsid w:val="005C41EC"/>
    <w:rsid w:val="005C4843"/>
    <w:rsid w:val="005C52E9"/>
    <w:rsid w:val="005C61D1"/>
    <w:rsid w:val="005C6E85"/>
    <w:rsid w:val="005C6FDC"/>
    <w:rsid w:val="005C78AB"/>
    <w:rsid w:val="005D0529"/>
    <w:rsid w:val="005D100C"/>
    <w:rsid w:val="005D1A69"/>
    <w:rsid w:val="005D20B3"/>
    <w:rsid w:val="005D2D22"/>
    <w:rsid w:val="005D30D7"/>
    <w:rsid w:val="005D31B3"/>
    <w:rsid w:val="005D3587"/>
    <w:rsid w:val="005D4483"/>
    <w:rsid w:val="005D49D1"/>
    <w:rsid w:val="005D4D21"/>
    <w:rsid w:val="005D508B"/>
    <w:rsid w:val="005D580D"/>
    <w:rsid w:val="005D5C86"/>
    <w:rsid w:val="005D6D84"/>
    <w:rsid w:val="005D7908"/>
    <w:rsid w:val="005E017D"/>
    <w:rsid w:val="005E1873"/>
    <w:rsid w:val="005E1D99"/>
    <w:rsid w:val="005E22F3"/>
    <w:rsid w:val="005E2A2A"/>
    <w:rsid w:val="005E3093"/>
    <w:rsid w:val="005E31D2"/>
    <w:rsid w:val="005E3BA3"/>
    <w:rsid w:val="005E46DF"/>
    <w:rsid w:val="005E573A"/>
    <w:rsid w:val="005E5EB5"/>
    <w:rsid w:val="005E66A8"/>
    <w:rsid w:val="005E6904"/>
    <w:rsid w:val="005E699D"/>
    <w:rsid w:val="005E70CB"/>
    <w:rsid w:val="005E789E"/>
    <w:rsid w:val="005F0799"/>
    <w:rsid w:val="005F1D2B"/>
    <w:rsid w:val="005F2410"/>
    <w:rsid w:val="005F2D3B"/>
    <w:rsid w:val="005F3B30"/>
    <w:rsid w:val="005F423A"/>
    <w:rsid w:val="005F426B"/>
    <w:rsid w:val="005F4702"/>
    <w:rsid w:val="005F4949"/>
    <w:rsid w:val="005F5DC2"/>
    <w:rsid w:val="005F5FB1"/>
    <w:rsid w:val="005F5FC0"/>
    <w:rsid w:val="005F6BB0"/>
    <w:rsid w:val="0060018A"/>
    <w:rsid w:val="006003D1"/>
    <w:rsid w:val="0060082B"/>
    <w:rsid w:val="0060116E"/>
    <w:rsid w:val="00601C50"/>
    <w:rsid w:val="006024A0"/>
    <w:rsid w:val="00602538"/>
    <w:rsid w:val="00602FFD"/>
    <w:rsid w:val="006030FE"/>
    <w:rsid w:val="00603ABA"/>
    <w:rsid w:val="00604DEB"/>
    <w:rsid w:val="0060641F"/>
    <w:rsid w:val="0060678F"/>
    <w:rsid w:val="0061039B"/>
    <w:rsid w:val="00610AF6"/>
    <w:rsid w:val="00610C19"/>
    <w:rsid w:val="00610D2C"/>
    <w:rsid w:val="006120B9"/>
    <w:rsid w:val="006121A0"/>
    <w:rsid w:val="00612B23"/>
    <w:rsid w:val="00612C6E"/>
    <w:rsid w:val="00612EE7"/>
    <w:rsid w:val="00613E0F"/>
    <w:rsid w:val="00613FD2"/>
    <w:rsid w:val="00614227"/>
    <w:rsid w:val="006149CF"/>
    <w:rsid w:val="00615583"/>
    <w:rsid w:val="0061668A"/>
    <w:rsid w:val="0061714A"/>
    <w:rsid w:val="0061746C"/>
    <w:rsid w:val="00617C98"/>
    <w:rsid w:val="00620461"/>
    <w:rsid w:val="00620496"/>
    <w:rsid w:val="00620780"/>
    <w:rsid w:val="006215F8"/>
    <w:rsid w:val="0062259F"/>
    <w:rsid w:val="00622EFC"/>
    <w:rsid w:val="00623EE6"/>
    <w:rsid w:val="0062488D"/>
    <w:rsid w:val="00624C9B"/>
    <w:rsid w:val="00624DDF"/>
    <w:rsid w:val="006259D8"/>
    <w:rsid w:val="0062633F"/>
    <w:rsid w:val="00626446"/>
    <w:rsid w:val="00626631"/>
    <w:rsid w:val="00626887"/>
    <w:rsid w:val="00626B2D"/>
    <w:rsid w:val="006313B7"/>
    <w:rsid w:val="00631BFA"/>
    <w:rsid w:val="006325B9"/>
    <w:rsid w:val="0063264B"/>
    <w:rsid w:val="006326C6"/>
    <w:rsid w:val="00632F03"/>
    <w:rsid w:val="0063330F"/>
    <w:rsid w:val="00633AC4"/>
    <w:rsid w:val="006344B3"/>
    <w:rsid w:val="00634FD6"/>
    <w:rsid w:val="0063530C"/>
    <w:rsid w:val="00636AA1"/>
    <w:rsid w:val="00637A29"/>
    <w:rsid w:val="0064007F"/>
    <w:rsid w:val="00640B80"/>
    <w:rsid w:val="00641EF3"/>
    <w:rsid w:val="0064220E"/>
    <w:rsid w:val="00642C74"/>
    <w:rsid w:val="00643999"/>
    <w:rsid w:val="00643E2D"/>
    <w:rsid w:val="00643EEB"/>
    <w:rsid w:val="006440BC"/>
    <w:rsid w:val="00644562"/>
    <w:rsid w:val="006449A7"/>
    <w:rsid w:val="00645AE8"/>
    <w:rsid w:val="00645CDE"/>
    <w:rsid w:val="006469C4"/>
    <w:rsid w:val="0064701B"/>
    <w:rsid w:val="0064711F"/>
    <w:rsid w:val="00647DA6"/>
    <w:rsid w:val="00647DDE"/>
    <w:rsid w:val="006507D5"/>
    <w:rsid w:val="00650A43"/>
    <w:rsid w:val="00652B73"/>
    <w:rsid w:val="00652D1F"/>
    <w:rsid w:val="006530C2"/>
    <w:rsid w:val="00653681"/>
    <w:rsid w:val="00653E27"/>
    <w:rsid w:val="00653FB3"/>
    <w:rsid w:val="006551CF"/>
    <w:rsid w:val="0065549E"/>
    <w:rsid w:val="006564B5"/>
    <w:rsid w:val="00656892"/>
    <w:rsid w:val="00656FC2"/>
    <w:rsid w:val="0065706E"/>
    <w:rsid w:val="006578C2"/>
    <w:rsid w:val="006600D0"/>
    <w:rsid w:val="00660B1B"/>
    <w:rsid w:val="006612CF"/>
    <w:rsid w:val="006618B5"/>
    <w:rsid w:val="00661983"/>
    <w:rsid w:val="00661CEC"/>
    <w:rsid w:val="006622BD"/>
    <w:rsid w:val="00662A96"/>
    <w:rsid w:val="006630FD"/>
    <w:rsid w:val="00663609"/>
    <w:rsid w:val="0066368D"/>
    <w:rsid w:val="00664110"/>
    <w:rsid w:val="0066533F"/>
    <w:rsid w:val="006658CA"/>
    <w:rsid w:val="00665FEE"/>
    <w:rsid w:val="00666358"/>
    <w:rsid w:val="006665B9"/>
    <w:rsid w:val="00666B84"/>
    <w:rsid w:val="00667604"/>
    <w:rsid w:val="00667EE6"/>
    <w:rsid w:val="006706A8"/>
    <w:rsid w:val="00671596"/>
    <w:rsid w:val="0067207D"/>
    <w:rsid w:val="006743CF"/>
    <w:rsid w:val="00674541"/>
    <w:rsid w:val="0067471B"/>
    <w:rsid w:val="006752A0"/>
    <w:rsid w:val="00675AA8"/>
    <w:rsid w:val="00675CAF"/>
    <w:rsid w:val="00675FFB"/>
    <w:rsid w:val="00677AF4"/>
    <w:rsid w:val="00677AF8"/>
    <w:rsid w:val="0068129E"/>
    <w:rsid w:val="006813BC"/>
    <w:rsid w:val="006822DA"/>
    <w:rsid w:val="0068236E"/>
    <w:rsid w:val="006824C9"/>
    <w:rsid w:val="00682AFD"/>
    <w:rsid w:val="00682EAB"/>
    <w:rsid w:val="00683200"/>
    <w:rsid w:val="00683278"/>
    <w:rsid w:val="006834BF"/>
    <w:rsid w:val="00683627"/>
    <w:rsid w:val="0068396A"/>
    <w:rsid w:val="00683A6E"/>
    <w:rsid w:val="0068514B"/>
    <w:rsid w:val="00685CDB"/>
    <w:rsid w:val="00686051"/>
    <w:rsid w:val="00686C4E"/>
    <w:rsid w:val="00686E0E"/>
    <w:rsid w:val="006876C1"/>
    <w:rsid w:val="006902E5"/>
    <w:rsid w:val="006909CF"/>
    <w:rsid w:val="00690FAE"/>
    <w:rsid w:val="00691532"/>
    <w:rsid w:val="006916B1"/>
    <w:rsid w:val="00691A7C"/>
    <w:rsid w:val="006930D4"/>
    <w:rsid w:val="00693300"/>
    <w:rsid w:val="0069350D"/>
    <w:rsid w:val="006935F8"/>
    <w:rsid w:val="00694100"/>
    <w:rsid w:val="00694D21"/>
    <w:rsid w:val="00694FB6"/>
    <w:rsid w:val="006A00F1"/>
    <w:rsid w:val="006A0478"/>
    <w:rsid w:val="006A06A8"/>
    <w:rsid w:val="006A0D7A"/>
    <w:rsid w:val="006A21A7"/>
    <w:rsid w:val="006A23B5"/>
    <w:rsid w:val="006A2493"/>
    <w:rsid w:val="006A395B"/>
    <w:rsid w:val="006A42E0"/>
    <w:rsid w:val="006A47E2"/>
    <w:rsid w:val="006A4916"/>
    <w:rsid w:val="006A4B88"/>
    <w:rsid w:val="006A54E9"/>
    <w:rsid w:val="006A675F"/>
    <w:rsid w:val="006A6BA5"/>
    <w:rsid w:val="006A7738"/>
    <w:rsid w:val="006A78C7"/>
    <w:rsid w:val="006B0400"/>
    <w:rsid w:val="006B0878"/>
    <w:rsid w:val="006B213F"/>
    <w:rsid w:val="006B2CF8"/>
    <w:rsid w:val="006B2F7D"/>
    <w:rsid w:val="006B369A"/>
    <w:rsid w:val="006B3BFF"/>
    <w:rsid w:val="006B40A3"/>
    <w:rsid w:val="006B4E35"/>
    <w:rsid w:val="006B4ED1"/>
    <w:rsid w:val="006B5EC9"/>
    <w:rsid w:val="006B60F3"/>
    <w:rsid w:val="006B6880"/>
    <w:rsid w:val="006B76E6"/>
    <w:rsid w:val="006B7756"/>
    <w:rsid w:val="006B7AD9"/>
    <w:rsid w:val="006C0613"/>
    <w:rsid w:val="006C0F89"/>
    <w:rsid w:val="006C1E32"/>
    <w:rsid w:val="006C20B5"/>
    <w:rsid w:val="006C2152"/>
    <w:rsid w:val="006C28B6"/>
    <w:rsid w:val="006C2C44"/>
    <w:rsid w:val="006C2D11"/>
    <w:rsid w:val="006C37BA"/>
    <w:rsid w:val="006C48F8"/>
    <w:rsid w:val="006C4977"/>
    <w:rsid w:val="006C5870"/>
    <w:rsid w:val="006C5B8A"/>
    <w:rsid w:val="006C7055"/>
    <w:rsid w:val="006C70C9"/>
    <w:rsid w:val="006C73B7"/>
    <w:rsid w:val="006D02FF"/>
    <w:rsid w:val="006D1609"/>
    <w:rsid w:val="006D2793"/>
    <w:rsid w:val="006D2FC0"/>
    <w:rsid w:val="006D3395"/>
    <w:rsid w:val="006D3A4E"/>
    <w:rsid w:val="006D3B6C"/>
    <w:rsid w:val="006D3D58"/>
    <w:rsid w:val="006D4187"/>
    <w:rsid w:val="006D44D6"/>
    <w:rsid w:val="006D4927"/>
    <w:rsid w:val="006D4FD5"/>
    <w:rsid w:val="006D570C"/>
    <w:rsid w:val="006D73C3"/>
    <w:rsid w:val="006D76A5"/>
    <w:rsid w:val="006E1E6E"/>
    <w:rsid w:val="006E2469"/>
    <w:rsid w:val="006E2ED0"/>
    <w:rsid w:val="006E3310"/>
    <w:rsid w:val="006E3A00"/>
    <w:rsid w:val="006E3C19"/>
    <w:rsid w:val="006E46F9"/>
    <w:rsid w:val="006E4C57"/>
    <w:rsid w:val="006E4E85"/>
    <w:rsid w:val="006E50F7"/>
    <w:rsid w:val="006E545A"/>
    <w:rsid w:val="006E62D2"/>
    <w:rsid w:val="006E67A2"/>
    <w:rsid w:val="006E72D1"/>
    <w:rsid w:val="006E7361"/>
    <w:rsid w:val="006F01E4"/>
    <w:rsid w:val="006F06CC"/>
    <w:rsid w:val="006F0F66"/>
    <w:rsid w:val="006F1E9D"/>
    <w:rsid w:val="006F1FE0"/>
    <w:rsid w:val="006F2C1B"/>
    <w:rsid w:val="006F37CB"/>
    <w:rsid w:val="006F3D26"/>
    <w:rsid w:val="006F3FC0"/>
    <w:rsid w:val="006F42C8"/>
    <w:rsid w:val="006F525B"/>
    <w:rsid w:val="006F57D1"/>
    <w:rsid w:val="006F5FE2"/>
    <w:rsid w:val="006F688B"/>
    <w:rsid w:val="007003ED"/>
    <w:rsid w:val="00701B80"/>
    <w:rsid w:val="00702B44"/>
    <w:rsid w:val="0070335C"/>
    <w:rsid w:val="0070338E"/>
    <w:rsid w:val="0070410E"/>
    <w:rsid w:val="00704342"/>
    <w:rsid w:val="007048D0"/>
    <w:rsid w:val="00705615"/>
    <w:rsid w:val="00705A59"/>
    <w:rsid w:val="00705CCA"/>
    <w:rsid w:val="00706AA9"/>
    <w:rsid w:val="00706CEC"/>
    <w:rsid w:val="00707067"/>
    <w:rsid w:val="00707146"/>
    <w:rsid w:val="00707871"/>
    <w:rsid w:val="00710187"/>
    <w:rsid w:val="00710BB3"/>
    <w:rsid w:val="00710C80"/>
    <w:rsid w:val="0071305E"/>
    <w:rsid w:val="00713F9D"/>
    <w:rsid w:val="0071415E"/>
    <w:rsid w:val="00714640"/>
    <w:rsid w:val="007154CE"/>
    <w:rsid w:val="00716CB8"/>
    <w:rsid w:val="00717A49"/>
    <w:rsid w:val="0072220D"/>
    <w:rsid w:val="00722428"/>
    <w:rsid w:val="00722575"/>
    <w:rsid w:val="00722702"/>
    <w:rsid w:val="0072294B"/>
    <w:rsid w:val="00722D83"/>
    <w:rsid w:val="00722E2A"/>
    <w:rsid w:val="007234B4"/>
    <w:rsid w:val="00723C2F"/>
    <w:rsid w:val="0072560D"/>
    <w:rsid w:val="0072582D"/>
    <w:rsid w:val="0072590E"/>
    <w:rsid w:val="00725B41"/>
    <w:rsid w:val="007266A9"/>
    <w:rsid w:val="00726C7F"/>
    <w:rsid w:val="00726F39"/>
    <w:rsid w:val="00727055"/>
    <w:rsid w:val="007271FD"/>
    <w:rsid w:val="007274CB"/>
    <w:rsid w:val="0072761F"/>
    <w:rsid w:val="00727E0A"/>
    <w:rsid w:val="00730438"/>
    <w:rsid w:val="00730861"/>
    <w:rsid w:val="00730F66"/>
    <w:rsid w:val="00731233"/>
    <w:rsid w:val="0073176E"/>
    <w:rsid w:val="00731C34"/>
    <w:rsid w:val="0073228D"/>
    <w:rsid w:val="00732861"/>
    <w:rsid w:val="007328BF"/>
    <w:rsid w:val="00732D5B"/>
    <w:rsid w:val="00732E05"/>
    <w:rsid w:val="0073326F"/>
    <w:rsid w:val="00733328"/>
    <w:rsid w:val="007335C1"/>
    <w:rsid w:val="00733610"/>
    <w:rsid w:val="00733C22"/>
    <w:rsid w:val="00733E52"/>
    <w:rsid w:val="00734209"/>
    <w:rsid w:val="0073434D"/>
    <w:rsid w:val="00734F19"/>
    <w:rsid w:val="007356ED"/>
    <w:rsid w:val="00735CA5"/>
    <w:rsid w:val="00735DCE"/>
    <w:rsid w:val="00735F6D"/>
    <w:rsid w:val="007363E1"/>
    <w:rsid w:val="007364AF"/>
    <w:rsid w:val="007366B9"/>
    <w:rsid w:val="00736763"/>
    <w:rsid w:val="00736D94"/>
    <w:rsid w:val="00740697"/>
    <w:rsid w:val="00741686"/>
    <w:rsid w:val="00741A1C"/>
    <w:rsid w:val="00742EBF"/>
    <w:rsid w:val="00744629"/>
    <w:rsid w:val="007447D7"/>
    <w:rsid w:val="00744AAE"/>
    <w:rsid w:val="00744AF1"/>
    <w:rsid w:val="007452FF"/>
    <w:rsid w:val="00745307"/>
    <w:rsid w:val="0074622D"/>
    <w:rsid w:val="0074699B"/>
    <w:rsid w:val="00746D9E"/>
    <w:rsid w:val="00747B14"/>
    <w:rsid w:val="00747FA5"/>
    <w:rsid w:val="00751C68"/>
    <w:rsid w:val="007520AD"/>
    <w:rsid w:val="00752266"/>
    <w:rsid w:val="0075293E"/>
    <w:rsid w:val="0075348E"/>
    <w:rsid w:val="0075375B"/>
    <w:rsid w:val="007539A8"/>
    <w:rsid w:val="00753F29"/>
    <w:rsid w:val="0075496E"/>
    <w:rsid w:val="00755A2F"/>
    <w:rsid w:val="00756320"/>
    <w:rsid w:val="007570AF"/>
    <w:rsid w:val="007570E7"/>
    <w:rsid w:val="00757724"/>
    <w:rsid w:val="007579B6"/>
    <w:rsid w:val="00757B8B"/>
    <w:rsid w:val="00761175"/>
    <w:rsid w:val="00761302"/>
    <w:rsid w:val="00761734"/>
    <w:rsid w:val="00762E4D"/>
    <w:rsid w:val="00763C45"/>
    <w:rsid w:val="00764740"/>
    <w:rsid w:val="007647C1"/>
    <w:rsid w:val="0076480F"/>
    <w:rsid w:val="0076507D"/>
    <w:rsid w:val="007652E2"/>
    <w:rsid w:val="007668E4"/>
    <w:rsid w:val="00766AE7"/>
    <w:rsid w:val="00770065"/>
    <w:rsid w:val="00770626"/>
    <w:rsid w:val="00771182"/>
    <w:rsid w:val="00771EC0"/>
    <w:rsid w:val="00772097"/>
    <w:rsid w:val="00772823"/>
    <w:rsid w:val="00773358"/>
    <w:rsid w:val="00773622"/>
    <w:rsid w:val="00774045"/>
    <w:rsid w:val="00774054"/>
    <w:rsid w:val="00774D17"/>
    <w:rsid w:val="00774F8A"/>
    <w:rsid w:val="00775688"/>
    <w:rsid w:val="007765C0"/>
    <w:rsid w:val="007768E9"/>
    <w:rsid w:val="00776B83"/>
    <w:rsid w:val="00777085"/>
    <w:rsid w:val="00777118"/>
    <w:rsid w:val="007777A6"/>
    <w:rsid w:val="0078012D"/>
    <w:rsid w:val="00780A1D"/>
    <w:rsid w:val="00780AC8"/>
    <w:rsid w:val="00780C8E"/>
    <w:rsid w:val="0078139A"/>
    <w:rsid w:val="007817B6"/>
    <w:rsid w:val="007820D7"/>
    <w:rsid w:val="00782839"/>
    <w:rsid w:val="00782CAD"/>
    <w:rsid w:val="00782E61"/>
    <w:rsid w:val="00784941"/>
    <w:rsid w:val="00784D00"/>
    <w:rsid w:val="00785412"/>
    <w:rsid w:val="00785D49"/>
    <w:rsid w:val="00786238"/>
    <w:rsid w:val="00786B04"/>
    <w:rsid w:val="00787019"/>
    <w:rsid w:val="00787E38"/>
    <w:rsid w:val="0079031D"/>
    <w:rsid w:val="00790DE4"/>
    <w:rsid w:val="00791893"/>
    <w:rsid w:val="00791A1A"/>
    <w:rsid w:val="00791CD1"/>
    <w:rsid w:val="007923C7"/>
    <w:rsid w:val="007923D9"/>
    <w:rsid w:val="007925B1"/>
    <w:rsid w:val="0079329F"/>
    <w:rsid w:val="0079377C"/>
    <w:rsid w:val="00793CFF"/>
    <w:rsid w:val="00794DFD"/>
    <w:rsid w:val="0079607B"/>
    <w:rsid w:val="007971BD"/>
    <w:rsid w:val="00797733"/>
    <w:rsid w:val="00797D72"/>
    <w:rsid w:val="007A1068"/>
    <w:rsid w:val="007A1163"/>
    <w:rsid w:val="007A1E8C"/>
    <w:rsid w:val="007A2B7E"/>
    <w:rsid w:val="007A453E"/>
    <w:rsid w:val="007A5284"/>
    <w:rsid w:val="007A54A2"/>
    <w:rsid w:val="007A61C1"/>
    <w:rsid w:val="007A6583"/>
    <w:rsid w:val="007A6E1D"/>
    <w:rsid w:val="007A7FF0"/>
    <w:rsid w:val="007B02E2"/>
    <w:rsid w:val="007B0370"/>
    <w:rsid w:val="007B051F"/>
    <w:rsid w:val="007B0568"/>
    <w:rsid w:val="007B0B45"/>
    <w:rsid w:val="007B2703"/>
    <w:rsid w:val="007B2715"/>
    <w:rsid w:val="007B3706"/>
    <w:rsid w:val="007B385C"/>
    <w:rsid w:val="007B4754"/>
    <w:rsid w:val="007B4965"/>
    <w:rsid w:val="007B6A2C"/>
    <w:rsid w:val="007B7B27"/>
    <w:rsid w:val="007C0242"/>
    <w:rsid w:val="007C03CA"/>
    <w:rsid w:val="007C043C"/>
    <w:rsid w:val="007C08D8"/>
    <w:rsid w:val="007C10AF"/>
    <w:rsid w:val="007C1B0B"/>
    <w:rsid w:val="007C2551"/>
    <w:rsid w:val="007C285A"/>
    <w:rsid w:val="007C32CA"/>
    <w:rsid w:val="007C3663"/>
    <w:rsid w:val="007C39EA"/>
    <w:rsid w:val="007C3ED4"/>
    <w:rsid w:val="007C435E"/>
    <w:rsid w:val="007C44CE"/>
    <w:rsid w:val="007C5380"/>
    <w:rsid w:val="007C5B2E"/>
    <w:rsid w:val="007C5BD4"/>
    <w:rsid w:val="007C62E7"/>
    <w:rsid w:val="007C6563"/>
    <w:rsid w:val="007C6FDA"/>
    <w:rsid w:val="007C7877"/>
    <w:rsid w:val="007C7AED"/>
    <w:rsid w:val="007D0A69"/>
    <w:rsid w:val="007D0A87"/>
    <w:rsid w:val="007D0AF8"/>
    <w:rsid w:val="007D1B19"/>
    <w:rsid w:val="007D2018"/>
    <w:rsid w:val="007D2605"/>
    <w:rsid w:val="007D284E"/>
    <w:rsid w:val="007D31C0"/>
    <w:rsid w:val="007D4864"/>
    <w:rsid w:val="007D4953"/>
    <w:rsid w:val="007D4EB6"/>
    <w:rsid w:val="007D59C6"/>
    <w:rsid w:val="007D64B5"/>
    <w:rsid w:val="007D6760"/>
    <w:rsid w:val="007D68F4"/>
    <w:rsid w:val="007D6997"/>
    <w:rsid w:val="007D6FC0"/>
    <w:rsid w:val="007D7B74"/>
    <w:rsid w:val="007E0B72"/>
    <w:rsid w:val="007E1064"/>
    <w:rsid w:val="007E1291"/>
    <w:rsid w:val="007E1838"/>
    <w:rsid w:val="007E33E0"/>
    <w:rsid w:val="007E49AF"/>
    <w:rsid w:val="007E4FA6"/>
    <w:rsid w:val="007E5486"/>
    <w:rsid w:val="007E584E"/>
    <w:rsid w:val="007E69ED"/>
    <w:rsid w:val="007E6FAE"/>
    <w:rsid w:val="007E7208"/>
    <w:rsid w:val="007E79D2"/>
    <w:rsid w:val="007E79ED"/>
    <w:rsid w:val="007E7AB2"/>
    <w:rsid w:val="007F0276"/>
    <w:rsid w:val="007F1AA3"/>
    <w:rsid w:val="007F2523"/>
    <w:rsid w:val="007F34A9"/>
    <w:rsid w:val="007F3D73"/>
    <w:rsid w:val="007F3DDB"/>
    <w:rsid w:val="007F3DE0"/>
    <w:rsid w:val="007F41B6"/>
    <w:rsid w:val="007F4389"/>
    <w:rsid w:val="007F4594"/>
    <w:rsid w:val="007F5952"/>
    <w:rsid w:val="007F5BA0"/>
    <w:rsid w:val="007F5CCE"/>
    <w:rsid w:val="007F5D02"/>
    <w:rsid w:val="007F5DC1"/>
    <w:rsid w:val="007F643B"/>
    <w:rsid w:val="007F6C6B"/>
    <w:rsid w:val="00801766"/>
    <w:rsid w:val="00802032"/>
    <w:rsid w:val="008028B0"/>
    <w:rsid w:val="00802FDA"/>
    <w:rsid w:val="008039DF"/>
    <w:rsid w:val="0080405A"/>
    <w:rsid w:val="00804246"/>
    <w:rsid w:val="0080536C"/>
    <w:rsid w:val="00806402"/>
    <w:rsid w:val="008064B2"/>
    <w:rsid w:val="008067FE"/>
    <w:rsid w:val="0080737E"/>
    <w:rsid w:val="0081093A"/>
    <w:rsid w:val="0081120E"/>
    <w:rsid w:val="008118DD"/>
    <w:rsid w:val="00811A15"/>
    <w:rsid w:val="008126A1"/>
    <w:rsid w:val="008130D5"/>
    <w:rsid w:val="00813D8C"/>
    <w:rsid w:val="008148BA"/>
    <w:rsid w:val="00814A33"/>
    <w:rsid w:val="0081534B"/>
    <w:rsid w:val="00815DFF"/>
    <w:rsid w:val="008162DF"/>
    <w:rsid w:val="00816FED"/>
    <w:rsid w:val="00817DB8"/>
    <w:rsid w:val="008204F4"/>
    <w:rsid w:val="00820524"/>
    <w:rsid w:val="00820E8C"/>
    <w:rsid w:val="00821527"/>
    <w:rsid w:val="00821648"/>
    <w:rsid w:val="00822A5F"/>
    <w:rsid w:val="00822B93"/>
    <w:rsid w:val="00823FFD"/>
    <w:rsid w:val="00824E4D"/>
    <w:rsid w:val="00825327"/>
    <w:rsid w:val="0082543D"/>
    <w:rsid w:val="00826B7E"/>
    <w:rsid w:val="00826E30"/>
    <w:rsid w:val="00827A29"/>
    <w:rsid w:val="00827A65"/>
    <w:rsid w:val="00830029"/>
    <w:rsid w:val="008301FB"/>
    <w:rsid w:val="00831C92"/>
    <w:rsid w:val="00832731"/>
    <w:rsid w:val="00832BC3"/>
    <w:rsid w:val="00834A82"/>
    <w:rsid w:val="00834DC0"/>
    <w:rsid w:val="008357E0"/>
    <w:rsid w:val="00835EE8"/>
    <w:rsid w:val="008360DD"/>
    <w:rsid w:val="008363C9"/>
    <w:rsid w:val="0083654C"/>
    <w:rsid w:val="008367B7"/>
    <w:rsid w:val="008371EB"/>
    <w:rsid w:val="00840373"/>
    <w:rsid w:val="008403B4"/>
    <w:rsid w:val="0084120B"/>
    <w:rsid w:val="00842295"/>
    <w:rsid w:val="00842669"/>
    <w:rsid w:val="00842B67"/>
    <w:rsid w:val="008441FF"/>
    <w:rsid w:val="00844D52"/>
    <w:rsid w:val="00844ECD"/>
    <w:rsid w:val="008458CF"/>
    <w:rsid w:val="008467AD"/>
    <w:rsid w:val="00847B50"/>
    <w:rsid w:val="008502D0"/>
    <w:rsid w:val="008513F1"/>
    <w:rsid w:val="0085258E"/>
    <w:rsid w:val="00852A63"/>
    <w:rsid w:val="00853FB6"/>
    <w:rsid w:val="00854395"/>
    <w:rsid w:val="00854D96"/>
    <w:rsid w:val="008560F9"/>
    <w:rsid w:val="00856276"/>
    <w:rsid w:val="00856F87"/>
    <w:rsid w:val="008574CD"/>
    <w:rsid w:val="008576F2"/>
    <w:rsid w:val="008576F7"/>
    <w:rsid w:val="0085789A"/>
    <w:rsid w:val="00857AE4"/>
    <w:rsid w:val="008619BE"/>
    <w:rsid w:val="00861A42"/>
    <w:rsid w:val="008626E4"/>
    <w:rsid w:val="00862A43"/>
    <w:rsid w:val="00863163"/>
    <w:rsid w:val="008640AA"/>
    <w:rsid w:val="00864332"/>
    <w:rsid w:val="008644E0"/>
    <w:rsid w:val="00865227"/>
    <w:rsid w:val="008653EE"/>
    <w:rsid w:val="008655FC"/>
    <w:rsid w:val="008659B7"/>
    <w:rsid w:val="00865CDA"/>
    <w:rsid w:val="008661BD"/>
    <w:rsid w:val="00867C8E"/>
    <w:rsid w:val="0087003B"/>
    <w:rsid w:val="00870259"/>
    <w:rsid w:val="008704F6"/>
    <w:rsid w:val="00870723"/>
    <w:rsid w:val="00870B80"/>
    <w:rsid w:val="0087293C"/>
    <w:rsid w:val="0087328E"/>
    <w:rsid w:val="00873B16"/>
    <w:rsid w:val="00875222"/>
    <w:rsid w:val="0087561A"/>
    <w:rsid w:val="0087597D"/>
    <w:rsid w:val="00875F9A"/>
    <w:rsid w:val="00876B2C"/>
    <w:rsid w:val="00877A16"/>
    <w:rsid w:val="00880B81"/>
    <w:rsid w:val="0088114B"/>
    <w:rsid w:val="00881664"/>
    <w:rsid w:val="008817C5"/>
    <w:rsid w:val="00881E1E"/>
    <w:rsid w:val="008823CC"/>
    <w:rsid w:val="00882652"/>
    <w:rsid w:val="00882BA8"/>
    <w:rsid w:val="008842A9"/>
    <w:rsid w:val="00885C5C"/>
    <w:rsid w:val="008865BB"/>
    <w:rsid w:val="00886951"/>
    <w:rsid w:val="00887A4C"/>
    <w:rsid w:val="00887F32"/>
    <w:rsid w:val="0089158D"/>
    <w:rsid w:val="00891C67"/>
    <w:rsid w:val="00892548"/>
    <w:rsid w:val="00892C5E"/>
    <w:rsid w:val="00893627"/>
    <w:rsid w:val="00893F54"/>
    <w:rsid w:val="0089417D"/>
    <w:rsid w:val="00894ECB"/>
    <w:rsid w:val="00894F56"/>
    <w:rsid w:val="008956C7"/>
    <w:rsid w:val="0089603C"/>
    <w:rsid w:val="0089643D"/>
    <w:rsid w:val="0089688F"/>
    <w:rsid w:val="008A08BB"/>
    <w:rsid w:val="008A0B98"/>
    <w:rsid w:val="008A13C4"/>
    <w:rsid w:val="008A19A9"/>
    <w:rsid w:val="008A1E04"/>
    <w:rsid w:val="008A23C3"/>
    <w:rsid w:val="008A2DD8"/>
    <w:rsid w:val="008A2F45"/>
    <w:rsid w:val="008A404F"/>
    <w:rsid w:val="008A4793"/>
    <w:rsid w:val="008A5071"/>
    <w:rsid w:val="008A546C"/>
    <w:rsid w:val="008A637F"/>
    <w:rsid w:val="008A6DF6"/>
    <w:rsid w:val="008A7C51"/>
    <w:rsid w:val="008B03FD"/>
    <w:rsid w:val="008B051D"/>
    <w:rsid w:val="008B0AB6"/>
    <w:rsid w:val="008B19D6"/>
    <w:rsid w:val="008B224C"/>
    <w:rsid w:val="008B2455"/>
    <w:rsid w:val="008B2664"/>
    <w:rsid w:val="008B3219"/>
    <w:rsid w:val="008B38D4"/>
    <w:rsid w:val="008B3C16"/>
    <w:rsid w:val="008B4505"/>
    <w:rsid w:val="008B4C2D"/>
    <w:rsid w:val="008B6A93"/>
    <w:rsid w:val="008B6AC4"/>
    <w:rsid w:val="008B6E28"/>
    <w:rsid w:val="008B70F4"/>
    <w:rsid w:val="008B77EF"/>
    <w:rsid w:val="008B7EAC"/>
    <w:rsid w:val="008C0025"/>
    <w:rsid w:val="008C0700"/>
    <w:rsid w:val="008C11E4"/>
    <w:rsid w:val="008C21AB"/>
    <w:rsid w:val="008C29A4"/>
    <w:rsid w:val="008C41EA"/>
    <w:rsid w:val="008C4261"/>
    <w:rsid w:val="008C457D"/>
    <w:rsid w:val="008C4BDD"/>
    <w:rsid w:val="008C61AC"/>
    <w:rsid w:val="008C66A9"/>
    <w:rsid w:val="008C6860"/>
    <w:rsid w:val="008C6864"/>
    <w:rsid w:val="008C6B03"/>
    <w:rsid w:val="008C6B5C"/>
    <w:rsid w:val="008C7DFA"/>
    <w:rsid w:val="008D099F"/>
    <w:rsid w:val="008D1160"/>
    <w:rsid w:val="008D1801"/>
    <w:rsid w:val="008D1DC5"/>
    <w:rsid w:val="008D2134"/>
    <w:rsid w:val="008D2905"/>
    <w:rsid w:val="008D3771"/>
    <w:rsid w:val="008D3F2B"/>
    <w:rsid w:val="008D4274"/>
    <w:rsid w:val="008D45A0"/>
    <w:rsid w:val="008D4875"/>
    <w:rsid w:val="008D5258"/>
    <w:rsid w:val="008D59BE"/>
    <w:rsid w:val="008D6BE9"/>
    <w:rsid w:val="008D7100"/>
    <w:rsid w:val="008D79EE"/>
    <w:rsid w:val="008E023D"/>
    <w:rsid w:val="008E032B"/>
    <w:rsid w:val="008E0A65"/>
    <w:rsid w:val="008E1CDD"/>
    <w:rsid w:val="008E24D5"/>
    <w:rsid w:val="008E26AE"/>
    <w:rsid w:val="008E2929"/>
    <w:rsid w:val="008E2EBD"/>
    <w:rsid w:val="008E30B4"/>
    <w:rsid w:val="008E494D"/>
    <w:rsid w:val="008E54B9"/>
    <w:rsid w:val="008E6195"/>
    <w:rsid w:val="008E61CF"/>
    <w:rsid w:val="008E70C5"/>
    <w:rsid w:val="008E75BA"/>
    <w:rsid w:val="008E7C6C"/>
    <w:rsid w:val="008E7E69"/>
    <w:rsid w:val="008F17A6"/>
    <w:rsid w:val="008F19A6"/>
    <w:rsid w:val="008F2414"/>
    <w:rsid w:val="008F2B51"/>
    <w:rsid w:val="008F498A"/>
    <w:rsid w:val="008F58DB"/>
    <w:rsid w:val="008F5EC8"/>
    <w:rsid w:val="008F61EE"/>
    <w:rsid w:val="00901B44"/>
    <w:rsid w:val="00903081"/>
    <w:rsid w:val="00903BE6"/>
    <w:rsid w:val="00904D5A"/>
    <w:rsid w:val="00904F3F"/>
    <w:rsid w:val="009056A6"/>
    <w:rsid w:val="00905DDC"/>
    <w:rsid w:val="009065BC"/>
    <w:rsid w:val="00906F0C"/>
    <w:rsid w:val="00906F6A"/>
    <w:rsid w:val="00907C64"/>
    <w:rsid w:val="00910376"/>
    <w:rsid w:val="0091182C"/>
    <w:rsid w:val="00912B48"/>
    <w:rsid w:val="00912D60"/>
    <w:rsid w:val="00912DE4"/>
    <w:rsid w:val="0091369C"/>
    <w:rsid w:val="009137DA"/>
    <w:rsid w:val="009137FF"/>
    <w:rsid w:val="0091425B"/>
    <w:rsid w:val="0091448E"/>
    <w:rsid w:val="009150DF"/>
    <w:rsid w:val="009155BB"/>
    <w:rsid w:val="00915E86"/>
    <w:rsid w:val="00916077"/>
    <w:rsid w:val="00916135"/>
    <w:rsid w:val="009166BC"/>
    <w:rsid w:val="009206D4"/>
    <w:rsid w:val="00921315"/>
    <w:rsid w:val="00921E0C"/>
    <w:rsid w:val="00922CAA"/>
    <w:rsid w:val="00922F43"/>
    <w:rsid w:val="0092359F"/>
    <w:rsid w:val="009236C7"/>
    <w:rsid w:val="00924AD9"/>
    <w:rsid w:val="00924BF0"/>
    <w:rsid w:val="00924C31"/>
    <w:rsid w:val="009250BE"/>
    <w:rsid w:val="00925928"/>
    <w:rsid w:val="0092593E"/>
    <w:rsid w:val="00926413"/>
    <w:rsid w:val="0092667C"/>
    <w:rsid w:val="00926DA1"/>
    <w:rsid w:val="00927C0B"/>
    <w:rsid w:val="00927CE6"/>
    <w:rsid w:val="00927D0C"/>
    <w:rsid w:val="00930073"/>
    <w:rsid w:val="00930D79"/>
    <w:rsid w:val="009312C8"/>
    <w:rsid w:val="009313EA"/>
    <w:rsid w:val="009317A4"/>
    <w:rsid w:val="009318D4"/>
    <w:rsid w:val="00931BB6"/>
    <w:rsid w:val="00932281"/>
    <w:rsid w:val="009333EE"/>
    <w:rsid w:val="00933B53"/>
    <w:rsid w:val="009345F0"/>
    <w:rsid w:val="00934AF4"/>
    <w:rsid w:val="009359CE"/>
    <w:rsid w:val="00935A26"/>
    <w:rsid w:val="00935D02"/>
    <w:rsid w:val="00936040"/>
    <w:rsid w:val="009362C6"/>
    <w:rsid w:val="0093731A"/>
    <w:rsid w:val="00937569"/>
    <w:rsid w:val="009375A2"/>
    <w:rsid w:val="009417EA"/>
    <w:rsid w:val="009418FE"/>
    <w:rsid w:val="009419E1"/>
    <w:rsid w:val="00941EBF"/>
    <w:rsid w:val="00942492"/>
    <w:rsid w:val="00943C8F"/>
    <w:rsid w:val="00944162"/>
    <w:rsid w:val="00944282"/>
    <w:rsid w:val="009443E1"/>
    <w:rsid w:val="009449C9"/>
    <w:rsid w:val="00945544"/>
    <w:rsid w:val="00945740"/>
    <w:rsid w:val="00946256"/>
    <w:rsid w:val="009464F1"/>
    <w:rsid w:val="0094680A"/>
    <w:rsid w:val="00950046"/>
    <w:rsid w:val="0095026A"/>
    <w:rsid w:val="009504CE"/>
    <w:rsid w:val="00950E82"/>
    <w:rsid w:val="00953231"/>
    <w:rsid w:val="009534BD"/>
    <w:rsid w:val="00953F77"/>
    <w:rsid w:val="009541FC"/>
    <w:rsid w:val="00954981"/>
    <w:rsid w:val="00954F09"/>
    <w:rsid w:val="00955D98"/>
    <w:rsid w:val="009568C2"/>
    <w:rsid w:val="00957D6F"/>
    <w:rsid w:val="00960056"/>
    <w:rsid w:val="00960390"/>
    <w:rsid w:val="0096042E"/>
    <w:rsid w:val="009605F4"/>
    <w:rsid w:val="00960889"/>
    <w:rsid w:val="00962858"/>
    <w:rsid w:val="00962E45"/>
    <w:rsid w:val="0096501E"/>
    <w:rsid w:val="00965B90"/>
    <w:rsid w:val="00966A9F"/>
    <w:rsid w:val="0096718B"/>
    <w:rsid w:val="009707A3"/>
    <w:rsid w:val="00970A2A"/>
    <w:rsid w:val="00972022"/>
    <w:rsid w:val="009723F1"/>
    <w:rsid w:val="00972B26"/>
    <w:rsid w:val="00975CDA"/>
    <w:rsid w:val="00975F2D"/>
    <w:rsid w:val="0097630C"/>
    <w:rsid w:val="00976609"/>
    <w:rsid w:val="00976EDC"/>
    <w:rsid w:val="0098015D"/>
    <w:rsid w:val="009810A7"/>
    <w:rsid w:val="00981731"/>
    <w:rsid w:val="00981816"/>
    <w:rsid w:val="00981B3F"/>
    <w:rsid w:val="00982625"/>
    <w:rsid w:val="00982B68"/>
    <w:rsid w:val="0098356A"/>
    <w:rsid w:val="0098463D"/>
    <w:rsid w:val="0098495F"/>
    <w:rsid w:val="009854B4"/>
    <w:rsid w:val="00986168"/>
    <w:rsid w:val="009869CF"/>
    <w:rsid w:val="0098772A"/>
    <w:rsid w:val="0099015E"/>
    <w:rsid w:val="00990D73"/>
    <w:rsid w:val="009911CC"/>
    <w:rsid w:val="00991D59"/>
    <w:rsid w:val="009926CC"/>
    <w:rsid w:val="00992A39"/>
    <w:rsid w:val="009937B4"/>
    <w:rsid w:val="00993E28"/>
    <w:rsid w:val="009942A0"/>
    <w:rsid w:val="009945D4"/>
    <w:rsid w:val="009950C8"/>
    <w:rsid w:val="00995735"/>
    <w:rsid w:val="00995A22"/>
    <w:rsid w:val="00995EAA"/>
    <w:rsid w:val="00996027"/>
    <w:rsid w:val="009966A1"/>
    <w:rsid w:val="00996E50"/>
    <w:rsid w:val="00997237"/>
    <w:rsid w:val="009978F2"/>
    <w:rsid w:val="00997B0D"/>
    <w:rsid w:val="009A0C99"/>
    <w:rsid w:val="009A1A9A"/>
    <w:rsid w:val="009A21F9"/>
    <w:rsid w:val="009A2548"/>
    <w:rsid w:val="009A2A19"/>
    <w:rsid w:val="009A2ED2"/>
    <w:rsid w:val="009A330C"/>
    <w:rsid w:val="009A35B3"/>
    <w:rsid w:val="009A4258"/>
    <w:rsid w:val="009A5891"/>
    <w:rsid w:val="009A5D54"/>
    <w:rsid w:val="009A620F"/>
    <w:rsid w:val="009A62DA"/>
    <w:rsid w:val="009A685E"/>
    <w:rsid w:val="009A69D2"/>
    <w:rsid w:val="009A7DDE"/>
    <w:rsid w:val="009B02F8"/>
    <w:rsid w:val="009B0843"/>
    <w:rsid w:val="009B136D"/>
    <w:rsid w:val="009B1674"/>
    <w:rsid w:val="009B19C8"/>
    <w:rsid w:val="009B41FC"/>
    <w:rsid w:val="009B44B9"/>
    <w:rsid w:val="009B5867"/>
    <w:rsid w:val="009B6C0E"/>
    <w:rsid w:val="009B6D4F"/>
    <w:rsid w:val="009C01BD"/>
    <w:rsid w:val="009C036C"/>
    <w:rsid w:val="009C12C9"/>
    <w:rsid w:val="009C136D"/>
    <w:rsid w:val="009C1A1E"/>
    <w:rsid w:val="009C2C66"/>
    <w:rsid w:val="009C3329"/>
    <w:rsid w:val="009C3776"/>
    <w:rsid w:val="009C3827"/>
    <w:rsid w:val="009C422E"/>
    <w:rsid w:val="009C69F8"/>
    <w:rsid w:val="009C6C08"/>
    <w:rsid w:val="009C72BE"/>
    <w:rsid w:val="009C7939"/>
    <w:rsid w:val="009D0576"/>
    <w:rsid w:val="009D108C"/>
    <w:rsid w:val="009D1C24"/>
    <w:rsid w:val="009D3651"/>
    <w:rsid w:val="009D36F7"/>
    <w:rsid w:val="009D3827"/>
    <w:rsid w:val="009D44C8"/>
    <w:rsid w:val="009D4E7B"/>
    <w:rsid w:val="009D4ED8"/>
    <w:rsid w:val="009D5D82"/>
    <w:rsid w:val="009D6304"/>
    <w:rsid w:val="009D6430"/>
    <w:rsid w:val="009D6884"/>
    <w:rsid w:val="009D70DD"/>
    <w:rsid w:val="009D7381"/>
    <w:rsid w:val="009D7785"/>
    <w:rsid w:val="009E0942"/>
    <w:rsid w:val="009E104B"/>
    <w:rsid w:val="009E1800"/>
    <w:rsid w:val="009E2734"/>
    <w:rsid w:val="009E37BF"/>
    <w:rsid w:val="009E3C6A"/>
    <w:rsid w:val="009E4470"/>
    <w:rsid w:val="009E501A"/>
    <w:rsid w:val="009E5756"/>
    <w:rsid w:val="009E5B13"/>
    <w:rsid w:val="009E5D4D"/>
    <w:rsid w:val="009E61F9"/>
    <w:rsid w:val="009E62BD"/>
    <w:rsid w:val="009E6A4A"/>
    <w:rsid w:val="009E7281"/>
    <w:rsid w:val="009E73A2"/>
    <w:rsid w:val="009E766A"/>
    <w:rsid w:val="009E767D"/>
    <w:rsid w:val="009F2300"/>
    <w:rsid w:val="009F25C6"/>
    <w:rsid w:val="009F3690"/>
    <w:rsid w:val="009F3699"/>
    <w:rsid w:val="009F5BB8"/>
    <w:rsid w:val="009F5D69"/>
    <w:rsid w:val="009F5EEB"/>
    <w:rsid w:val="009F6212"/>
    <w:rsid w:val="009F6244"/>
    <w:rsid w:val="009F6C8D"/>
    <w:rsid w:val="009F7716"/>
    <w:rsid w:val="00A0070E"/>
    <w:rsid w:val="00A016B4"/>
    <w:rsid w:val="00A0220A"/>
    <w:rsid w:val="00A02913"/>
    <w:rsid w:val="00A02D85"/>
    <w:rsid w:val="00A0334C"/>
    <w:rsid w:val="00A0368F"/>
    <w:rsid w:val="00A041C0"/>
    <w:rsid w:val="00A043C7"/>
    <w:rsid w:val="00A0490C"/>
    <w:rsid w:val="00A04E76"/>
    <w:rsid w:val="00A051FD"/>
    <w:rsid w:val="00A05793"/>
    <w:rsid w:val="00A05A75"/>
    <w:rsid w:val="00A066B9"/>
    <w:rsid w:val="00A067DA"/>
    <w:rsid w:val="00A07102"/>
    <w:rsid w:val="00A07340"/>
    <w:rsid w:val="00A076DB"/>
    <w:rsid w:val="00A07799"/>
    <w:rsid w:val="00A077B8"/>
    <w:rsid w:val="00A07ACC"/>
    <w:rsid w:val="00A10A53"/>
    <w:rsid w:val="00A1101B"/>
    <w:rsid w:val="00A11C50"/>
    <w:rsid w:val="00A11CDE"/>
    <w:rsid w:val="00A125F6"/>
    <w:rsid w:val="00A12C39"/>
    <w:rsid w:val="00A139F6"/>
    <w:rsid w:val="00A1470B"/>
    <w:rsid w:val="00A14A33"/>
    <w:rsid w:val="00A15287"/>
    <w:rsid w:val="00A1598D"/>
    <w:rsid w:val="00A15E83"/>
    <w:rsid w:val="00A167AE"/>
    <w:rsid w:val="00A16D2F"/>
    <w:rsid w:val="00A17D8E"/>
    <w:rsid w:val="00A20004"/>
    <w:rsid w:val="00A2017F"/>
    <w:rsid w:val="00A2066A"/>
    <w:rsid w:val="00A209B7"/>
    <w:rsid w:val="00A21E91"/>
    <w:rsid w:val="00A21FB1"/>
    <w:rsid w:val="00A22A95"/>
    <w:rsid w:val="00A2301C"/>
    <w:rsid w:val="00A23E27"/>
    <w:rsid w:val="00A2436A"/>
    <w:rsid w:val="00A24441"/>
    <w:rsid w:val="00A244FC"/>
    <w:rsid w:val="00A25306"/>
    <w:rsid w:val="00A2626D"/>
    <w:rsid w:val="00A262DD"/>
    <w:rsid w:val="00A2665A"/>
    <w:rsid w:val="00A26868"/>
    <w:rsid w:val="00A268C0"/>
    <w:rsid w:val="00A26FD4"/>
    <w:rsid w:val="00A279C2"/>
    <w:rsid w:val="00A30431"/>
    <w:rsid w:val="00A30580"/>
    <w:rsid w:val="00A315D1"/>
    <w:rsid w:val="00A316A3"/>
    <w:rsid w:val="00A32689"/>
    <w:rsid w:val="00A32B57"/>
    <w:rsid w:val="00A32CCB"/>
    <w:rsid w:val="00A32DB7"/>
    <w:rsid w:val="00A33D22"/>
    <w:rsid w:val="00A33DCB"/>
    <w:rsid w:val="00A34866"/>
    <w:rsid w:val="00A34C61"/>
    <w:rsid w:val="00A350E6"/>
    <w:rsid w:val="00A353FA"/>
    <w:rsid w:val="00A35457"/>
    <w:rsid w:val="00A402C4"/>
    <w:rsid w:val="00A40ABC"/>
    <w:rsid w:val="00A40D2B"/>
    <w:rsid w:val="00A41136"/>
    <w:rsid w:val="00A412D8"/>
    <w:rsid w:val="00A417CA"/>
    <w:rsid w:val="00A42919"/>
    <w:rsid w:val="00A43442"/>
    <w:rsid w:val="00A43904"/>
    <w:rsid w:val="00A43FDF"/>
    <w:rsid w:val="00A44847"/>
    <w:rsid w:val="00A44972"/>
    <w:rsid w:val="00A4564C"/>
    <w:rsid w:val="00A456FF"/>
    <w:rsid w:val="00A45A71"/>
    <w:rsid w:val="00A45C95"/>
    <w:rsid w:val="00A46A8B"/>
    <w:rsid w:val="00A46CC1"/>
    <w:rsid w:val="00A46F65"/>
    <w:rsid w:val="00A47818"/>
    <w:rsid w:val="00A47E54"/>
    <w:rsid w:val="00A509F9"/>
    <w:rsid w:val="00A50A56"/>
    <w:rsid w:val="00A510DD"/>
    <w:rsid w:val="00A513E9"/>
    <w:rsid w:val="00A5160F"/>
    <w:rsid w:val="00A51886"/>
    <w:rsid w:val="00A51982"/>
    <w:rsid w:val="00A52B60"/>
    <w:rsid w:val="00A53B74"/>
    <w:rsid w:val="00A53CB7"/>
    <w:rsid w:val="00A547DC"/>
    <w:rsid w:val="00A54F6A"/>
    <w:rsid w:val="00A55524"/>
    <w:rsid w:val="00A555B2"/>
    <w:rsid w:val="00A55A17"/>
    <w:rsid w:val="00A55E27"/>
    <w:rsid w:val="00A561A7"/>
    <w:rsid w:val="00A56B09"/>
    <w:rsid w:val="00A575BF"/>
    <w:rsid w:val="00A600D3"/>
    <w:rsid w:val="00A603B1"/>
    <w:rsid w:val="00A603B8"/>
    <w:rsid w:val="00A6047C"/>
    <w:rsid w:val="00A60C49"/>
    <w:rsid w:val="00A61769"/>
    <w:rsid w:val="00A61DB0"/>
    <w:rsid w:val="00A62087"/>
    <w:rsid w:val="00A62982"/>
    <w:rsid w:val="00A62F74"/>
    <w:rsid w:val="00A62FDB"/>
    <w:rsid w:val="00A634FE"/>
    <w:rsid w:val="00A63784"/>
    <w:rsid w:val="00A638BA"/>
    <w:rsid w:val="00A6394E"/>
    <w:rsid w:val="00A64EEC"/>
    <w:rsid w:val="00A657F4"/>
    <w:rsid w:val="00A66589"/>
    <w:rsid w:val="00A679DF"/>
    <w:rsid w:val="00A700F1"/>
    <w:rsid w:val="00A711F6"/>
    <w:rsid w:val="00A71AD0"/>
    <w:rsid w:val="00A71F6C"/>
    <w:rsid w:val="00A71FA7"/>
    <w:rsid w:val="00A7257E"/>
    <w:rsid w:val="00A72DB9"/>
    <w:rsid w:val="00A73000"/>
    <w:rsid w:val="00A733EB"/>
    <w:rsid w:val="00A73F22"/>
    <w:rsid w:val="00A742A0"/>
    <w:rsid w:val="00A74434"/>
    <w:rsid w:val="00A74627"/>
    <w:rsid w:val="00A75ED8"/>
    <w:rsid w:val="00A75F75"/>
    <w:rsid w:val="00A7752C"/>
    <w:rsid w:val="00A77CAB"/>
    <w:rsid w:val="00A801E7"/>
    <w:rsid w:val="00A80714"/>
    <w:rsid w:val="00A80CCB"/>
    <w:rsid w:val="00A81C28"/>
    <w:rsid w:val="00A82CA4"/>
    <w:rsid w:val="00A82E3F"/>
    <w:rsid w:val="00A83659"/>
    <w:rsid w:val="00A83CA5"/>
    <w:rsid w:val="00A843C2"/>
    <w:rsid w:val="00A84D33"/>
    <w:rsid w:val="00A84E89"/>
    <w:rsid w:val="00A84F79"/>
    <w:rsid w:val="00A85042"/>
    <w:rsid w:val="00A85945"/>
    <w:rsid w:val="00A86661"/>
    <w:rsid w:val="00A86ADC"/>
    <w:rsid w:val="00A872E8"/>
    <w:rsid w:val="00A87A5B"/>
    <w:rsid w:val="00A87B7B"/>
    <w:rsid w:val="00A87C24"/>
    <w:rsid w:val="00A87FD9"/>
    <w:rsid w:val="00A90154"/>
    <w:rsid w:val="00A90891"/>
    <w:rsid w:val="00A90929"/>
    <w:rsid w:val="00A90998"/>
    <w:rsid w:val="00A91B82"/>
    <w:rsid w:val="00A91E82"/>
    <w:rsid w:val="00A92D13"/>
    <w:rsid w:val="00A934B5"/>
    <w:rsid w:val="00A93DE6"/>
    <w:rsid w:val="00A94252"/>
    <w:rsid w:val="00A9503C"/>
    <w:rsid w:val="00A96234"/>
    <w:rsid w:val="00A96597"/>
    <w:rsid w:val="00A97B32"/>
    <w:rsid w:val="00AA01A4"/>
    <w:rsid w:val="00AA0475"/>
    <w:rsid w:val="00AA05A6"/>
    <w:rsid w:val="00AA0E01"/>
    <w:rsid w:val="00AA12AC"/>
    <w:rsid w:val="00AA1472"/>
    <w:rsid w:val="00AA19B0"/>
    <w:rsid w:val="00AA1FF4"/>
    <w:rsid w:val="00AA278F"/>
    <w:rsid w:val="00AA279D"/>
    <w:rsid w:val="00AA3095"/>
    <w:rsid w:val="00AA3331"/>
    <w:rsid w:val="00AA43FE"/>
    <w:rsid w:val="00AA51D3"/>
    <w:rsid w:val="00AA603E"/>
    <w:rsid w:val="00AB04AB"/>
    <w:rsid w:val="00AB0FA8"/>
    <w:rsid w:val="00AB126D"/>
    <w:rsid w:val="00AB2015"/>
    <w:rsid w:val="00AB3046"/>
    <w:rsid w:val="00AB3050"/>
    <w:rsid w:val="00AB382F"/>
    <w:rsid w:val="00AB40AA"/>
    <w:rsid w:val="00AB4354"/>
    <w:rsid w:val="00AB45A0"/>
    <w:rsid w:val="00AB4FA7"/>
    <w:rsid w:val="00AB55E5"/>
    <w:rsid w:val="00AB5901"/>
    <w:rsid w:val="00AB5A84"/>
    <w:rsid w:val="00AB5E05"/>
    <w:rsid w:val="00AB6521"/>
    <w:rsid w:val="00AB6CBA"/>
    <w:rsid w:val="00AB7012"/>
    <w:rsid w:val="00AB7343"/>
    <w:rsid w:val="00AB76ED"/>
    <w:rsid w:val="00AB7B31"/>
    <w:rsid w:val="00AB7EBF"/>
    <w:rsid w:val="00AC020B"/>
    <w:rsid w:val="00AC160E"/>
    <w:rsid w:val="00AC1FAA"/>
    <w:rsid w:val="00AC24F2"/>
    <w:rsid w:val="00AC252D"/>
    <w:rsid w:val="00AC2EBD"/>
    <w:rsid w:val="00AC2F01"/>
    <w:rsid w:val="00AC3242"/>
    <w:rsid w:val="00AC32D4"/>
    <w:rsid w:val="00AC3A0D"/>
    <w:rsid w:val="00AC3FC9"/>
    <w:rsid w:val="00AC508B"/>
    <w:rsid w:val="00AC571E"/>
    <w:rsid w:val="00AC62FF"/>
    <w:rsid w:val="00AC63A7"/>
    <w:rsid w:val="00AC7242"/>
    <w:rsid w:val="00AC768C"/>
    <w:rsid w:val="00AC7C64"/>
    <w:rsid w:val="00AD012F"/>
    <w:rsid w:val="00AD0582"/>
    <w:rsid w:val="00AD09DD"/>
    <w:rsid w:val="00AD1595"/>
    <w:rsid w:val="00AD1993"/>
    <w:rsid w:val="00AD20CD"/>
    <w:rsid w:val="00AD28BE"/>
    <w:rsid w:val="00AD308D"/>
    <w:rsid w:val="00AD332A"/>
    <w:rsid w:val="00AD3946"/>
    <w:rsid w:val="00AD49F3"/>
    <w:rsid w:val="00AD4F5E"/>
    <w:rsid w:val="00AD528F"/>
    <w:rsid w:val="00AD57CE"/>
    <w:rsid w:val="00AD5B3D"/>
    <w:rsid w:val="00AD5D31"/>
    <w:rsid w:val="00AD632A"/>
    <w:rsid w:val="00AD7385"/>
    <w:rsid w:val="00AD7520"/>
    <w:rsid w:val="00AE0333"/>
    <w:rsid w:val="00AE180C"/>
    <w:rsid w:val="00AE228A"/>
    <w:rsid w:val="00AE22E7"/>
    <w:rsid w:val="00AE356D"/>
    <w:rsid w:val="00AE42EF"/>
    <w:rsid w:val="00AE4F9B"/>
    <w:rsid w:val="00AE50B9"/>
    <w:rsid w:val="00AE582E"/>
    <w:rsid w:val="00AE6D60"/>
    <w:rsid w:val="00AE730B"/>
    <w:rsid w:val="00AE792F"/>
    <w:rsid w:val="00AF040C"/>
    <w:rsid w:val="00AF14BE"/>
    <w:rsid w:val="00AF16BB"/>
    <w:rsid w:val="00AF16E5"/>
    <w:rsid w:val="00AF18E7"/>
    <w:rsid w:val="00AF1E5A"/>
    <w:rsid w:val="00AF26B4"/>
    <w:rsid w:val="00AF2904"/>
    <w:rsid w:val="00AF36D5"/>
    <w:rsid w:val="00AF384C"/>
    <w:rsid w:val="00AF442A"/>
    <w:rsid w:val="00AF4BA2"/>
    <w:rsid w:val="00AF4EC2"/>
    <w:rsid w:val="00AF580D"/>
    <w:rsid w:val="00AF5E14"/>
    <w:rsid w:val="00AF69BA"/>
    <w:rsid w:val="00AF69C2"/>
    <w:rsid w:val="00AF72FD"/>
    <w:rsid w:val="00AF74FD"/>
    <w:rsid w:val="00AF7778"/>
    <w:rsid w:val="00AF7A8F"/>
    <w:rsid w:val="00B00303"/>
    <w:rsid w:val="00B003F4"/>
    <w:rsid w:val="00B00446"/>
    <w:rsid w:val="00B007A9"/>
    <w:rsid w:val="00B00D9A"/>
    <w:rsid w:val="00B01831"/>
    <w:rsid w:val="00B02264"/>
    <w:rsid w:val="00B02688"/>
    <w:rsid w:val="00B02EF0"/>
    <w:rsid w:val="00B033CE"/>
    <w:rsid w:val="00B0394A"/>
    <w:rsid w:val="00B042EA"/>
    <w:rsid w:val="00B050E3"/>
    <w:rsid w:val="00B052FA"/>
    <w:rsid w:val="00B067F8"/>
    <w:rsid w:val="00B07E28"/>
    <w:rsid w:val="00B10882"/>
    <w:rsid w:val="00B122FC"/>
    <w:rsid w:val="00B12FC6"/>
    <w:rsid w:val="00B14314"/>
    <w:rsid w:val="00B1441B"/>
    <w:rsid w:val="00B1442B"/>
    <w:rsid w:val="00B144ED"/>
    <w:rsid w:val="00B14AEA"/>
    <w:rsid w:val="00B14B3D"/>
    <w:rsid w:val="00B151AC"/>
    <w:rsid w:val="00B1565B"/>
    <w:rsid w:val="00B15FC9"/>
    <w:rsid w:val="00B16EEC"/>
    <w:rsid w:val="00B16F7B"/>
    <w:rsid w:val="00B218A7"/>
    <w:rsid w:val="00B21EFE"/>
    <w:rsid w:val="00B227C7"/>
    <w:rsid w:val="00B22B6F"/>
    <w:rsid w:val="00B2391F"/>
    <w:rsid w:val="00B240CD"/>
    <w:rsid w:val="00B24854"/>
    <w:rsid w:val="00B24E28"/>
    <w:rsid w:val="00B254A3"/>
    <w:rsid w:val="00B2623F"/>
    <w:rsid w:val="00B267C9"/>
    <w:rsid w:val="00B26BAF"/>
    <w:rsid w:val="00B272D6"/>
    <w:rsid w:val="00B27731"/>
    <w:rsid w:val="00B30161"/>
    <w:rsid w:val="00B3195C"/>
    <w:rsid w:val="00B31C39"/>
    <w:rsid w:val="00B32205"/>
    <w:rsid w:val="00B329D9"/>
    <w:rsid w:val="00B3380F"/>
    <w:rsid w:val="00B33E1F"/>
    <w:rsid w:val="00B33F56"/>
    <w:rsid w:val="00B3405D"/>
    <w:rsid w:val="00B344AA"/>
    <w:rsid w:val="00B34C29"/>
    <w:rsid w:val="00B36151"/>
    <w:rsid w:val="00B36E15"/>
    <w:rsid w:val="00B36EF3"/>
    <w:rsid w:val="00B37F7D"/>
    <w:rsid w:val="00B37FCF"/>
    <w:rsid w:val="00B40007"/>
    <w:rsid w:val="00B40237"/>
    <w:rsid w:val="00B40BED"/>
    <w:rsid w:val="00B415E9"/>
    <w:rsid w:val="00B4168A"/>
    <w:rsid w:val="00B41E4A"/>
    <w:rsid w:val="00B422B1"/>
    <w:rsid w:val="00B425C1"/>
    <w:rsid w:val="00B42744"/>
    <w:rsid w:val="00B42FC4"/>
    <w:rsid w:val="00B43111"/>
    <w:rsid w:val="00B43DBD"/>
    <w:rsid w:val="00B45165"/>
    <w:rsid w:val="00B454A6"/>
    <w:rsid w:val="00B456CB"/>
    <w:rsid w:val="00B47C12"/>
    <w:rsid w:val="00B50481"/>
    <w:rsid w:val="00B50F11"/>
    <w:rsid w:val="00B51567"/>
    <w:rsid w:val="00B522EF"/>
    <w:rsid w:val="00B525BB"/>
    <w:rsid w:val="00B5298E"/>
    <w:rsid w:val="00B5363F"/>
    <w:rsid w:val="00B53C3D"/>
    <w:rsid w:val="00B542FA"/>
    <w:rsid w:val="00B54583"/>
    <w:rsid w:val="00B5538E"/>
    <w:rsid w:val="00B565A8"/>
    <w:rsid w:val="00B60122"/>
    <w:rsid w:val="00B601A9"/>
    <w:rsid w:val="00B6186F"/>
    <w:rsid w:val="00B6195A"/>
    <w:rsid w:val="00B61AF0"/>
    <w:rsid w:val="00B61DEC"/>
    <w:rsid w:val="00B629F4"/>
    <w:rsid w:val="00B6349C"/>
    <w:rsid w:val="00B63E4F"/>
    <w:rsid w:val="00B647BB"/>
    <w:rsid w:val="00B66657"/>
    <w:rsid w:val="00B66726"/>
    <w:rsid w:val="00B66D18"/>
    <w:rsid w:val="00B6700C"/>
    <w:rsid w:val="00B678C9"/>
    <w:rsid w:val="00B678FA"/>
    <w:rsid w:val="00B67CF6"/>
    <w:rsid w:val="00B704CE"/>
    <w:rsid w:val="00B70C74"/>
    <w:rsid w:val="00B70FB9"/>
    <w:rsid w:val="00B7106B"/>
    <w:rsid w:val="00B716B4"/>
    <w:rsid w:val="00B7239E"/>
    <w:rsid w:val="00B7329A"/>
    <w:rsid w:val="00B73FFA"/>
    <w:rsid w:val="00B754B9"/>
    <w:rsid w:val="00B75552"/>
    <w:rsid w:val="00B75775"/>
    <w:rsid w:val="00B75C19"/>
    <w:rsid w:val="00B760A9"/>
    <w:rsid w:val="00B76E5C"/>
    <w:rsid w:val="00B77BEB"/>
    <w:rsid w:val="00B8027F"/>
    <w:rsid w:val="00B8124B"/>
    <w:rsid w:val="00B81BFC"/>
    <w:rsid w:val="00B827A1"/>
    <w:rsid w:val="00B828EB"/>
    <w:rsid w:val="00B83EEF"/>
    <w:rsid w:val="00B83F30"/>
    <w:rsid w:val="00B841DE"/>
    <w:rsid w:val="00B84E7C"/>
    <w:rsid w:val="00B85A9B"/>
    <w:rsid w:val="00B85AD7"/>
    <w:rsid w:val="00B85EAA"/>
    <w:rsid w:val="00B86C69"/>
    <w:rsid w:val="00B86DDD"/>
    <w:rsid w:val="00B873B9"/>
    <w:rsid w:val="00B877A0"/>
    <w:rsid w:val="00B9057A"/>
    <w:rsid w:val="00B90647"/>
    <w:rsid w:val="00B91083"/>
    <w:rsid w:val="00B91461"/>
    <w:rsid w:val="00B91F5D"/>
    <w:rsid w:val="00B921C1"/>
    <w:rsid w:val="00B92509"/>
    <w:rsid w:val="00B92B29"/>
    <w:rsid w:val="00B92ED5"/>
    <w:rsid w:val="00B93205"/>
    <w:rsid w:val="00B93289"/>
    <w:rsid w:val="00B938B4"/>
    <w:rsid w:val="00B93AC5"/>
    <w:rsid w:val="00B94117"/>
    <w:rsid w:val="00B942DE"/>
    <w:rsid w:val="00B95850"/>
    <w:rsid w:val="00B96423"/>
    <w:rsid w:val="00BA08D7"/>
    <w:rsid w:val="00BA18DF"/>
    <w:rsid w:val="00BA1953"/>
    <w:rsid w:val="00BA1AEE"/>
    <w:rsid w:val="00BA22B1"/>
    <w:rsid w:val="00BA3AA6"/>
    <w:rsid w:val="00BA442A"/>
    <w:rsid w:val="00BA4AFA"/>
    <w:rsid w:val="00BA4DDA"/>
    <w:rsid w:val="00BA5299"/>
    <w:rsid w:val="00BA5F7E"/>
    <w:rsid w:val="00BA6550"/>
    <w:rsid w:val="00BA67E9"/>
    <w:rsid w:val="00BA6926"/>
    <w:rsid w:val="00BA6AA2"/>
    <w:rsid w:val="00BA7471"/>
    <w:rsid w:val="00BA7A8F"/>
    <w:rsid w:val="00BB04BB"/>
    <w:rsid w:val="00BB1F50"/>
    <w:rsid w:val="00BB3166"/>
    <w:rsid w:val="00BB3497"/>
    <w:rsid w:val="00BB38E8"/>
    <w:rsid w:val="00BB3D70"/>
    <w:rsid w:val="00BB4BEA"/>
    <w:rsid w:val="00BB518F"/>
    <w:rsid w:val="00BB55B3"/>
    <w:rsid w:val="00BB594B"/>
    <w:rsid w:val="00BB707E"/>
    <w:rsid w:val="00BB7D13"/>
    <w:rsid w:val="00BC0803"/>
    <w:rsid w:val="00BC2AA7"/>
    <w:rsid w:val="00BC2F36"/>
    <w:rsid w:val="00BC32F2"/>
    <w:rsid w:val="00BC40A7"/>
    <w:rsid w:val="00BC41F8"/>
    <w:rsid w:val="00BC43B2"/>
    <w:rsid w:val="00BC4E92"/>
    <w:rsid w:val="00BC5EE2"/>
    <w:rsid w:val="00BC61E4"/>
    <w:rsid w:val="00BC6AB8"/>
    <w:rsid w:val="00BC6FD0"/>
    <w:rsid w:val="00BC76C6"/>
    <w:rsid w:val="00BC7C4D"/>
    <w:rsid w:val="00BD0077"/>
    <w:rsid w:val="00BD0248"/>
    <w:rsid w:val="00BD095D"/>
    <w:rsid w:val="00BD0D65"/>
    <w:rsid w:val="00BD1350"/>
    <w:rsid w:val="00BD15CE"/>
    <w:rsid w:val="00BD176C"/>
    <w:rsid w:val="00BD1A82"/>
    <w:rsid w:val="00BD321A"/>
    <w:rsid w:val="00BD41C1"/>
    <w:rsid w:val="00BD480B"/>
    <w:rsid w:val="00BD483E"/>
    <w:rsid w:val="00BD4C0E"/>
    <w:rsid w:val="00BD50EA"/>
    <w:rsid w:val="00BD6644"/>
    <w:rsid w:val="00BD6702"/>
    <w:rsid w:val="00BD6DD8"/>
    <w:rsid w:val="00BD6E85"/>
    <w:rsid w:val="00BD7142"/>
    <w:rsid w:val="00BD7CA0"/>
    <w:rsid w:val="00BD7CDE"/>
    <w:rsid w:val="00BE01E4"/>
    <w:rsid w:val="00BE06B1"/>
    <w:rsid w:val="00BE0F8B"/>
    <w:rsid w:val="00BE165B"/>
    <w:rsid w:val="00BE1C3C"/>
    <w:rsid w:val="00BE1E93"/>
    <w:rsid w:val="00BE22E5"/>
    <w:rsid w:val="00BE263A"/>
    <w:rsid w:val="00BE29EA"/>
    <w:rsid w:val="00BE2A8B"/>
    <w:rsid w:val="00BE308E"/>
    <w:rsid w:val="00BE3373"/>
    <w:rsid w:val="00BE33BA"/>
    <w:rsid w:val="00BE3DAD"/>
    <w:rsid w:val="00BE402A"/>
    <w:rsid w:val="00BE5F6A"/>
    <w:rsid w:val="00BE722C"/>
    <w:rsid w:val="00BF0287"/>
    <w:rsid w:val="00BF02CF"/>
    <w:rsid w:val="00BF0320"/>
    <w:rsid w:val="00BF1E7E"/>
    <w:rsid w:val="00BF20D3"/>
    <w:rsid w:val="00BF2788"/>
    <w:rsid w:val="00BF2814"/>
    <w:rsid w:val="00BF2E0B"/>
    <w:rsid w:val="00BF2EEF"/>
    <w:rsid w:val="00BF307F"/>
    <w:rsid w:val="00BF32B8"/>
    <w:rsid w:val="00BF3C2F"/>
    <w:rsid w:val="00BF49AF"/>
    <w:rsid w:val="00BF4F84"/>
    <w:rsid w:val="00BF4FFF"/>
    <w:rsid w:val="00BF58D1"/>
    <w:rsid w:val="00BF5C81"/>
    <w:rsid w:val="00BF64BC"/>
    <w:rsid w:val="00BF6FB2"/>
    <w:rsid w:val="00BF7249"/>
    <w:rsid w:val="00BF7349"/>
    <w:rsid w:val="00BF7AE5"/>
    <w:rsid w:val="00C009DF"/>
    <w:rsid w:val="00C00D91"/>
    <w:rsid w:val="00C046A9"/>
    <w:rsid w:val="00C047A2"/>
    <w:rsid w:val="00C04963"/>
    <w:rsid w:val="00C05509"/>
    <w:rsid w:val="00C05630"/>
    <w:rsid w:val="00C069A5"/>
    <w:rsid w:val="00C06D9C"/>
    <w:rsid w:val="00C06E91"/>
    <w:rsid w:val="00C0748C"/>
    <w:rsid w:val="00C10859"/>
    <w:rsid w:val="00C10C47"/>
    <w:rsid w:val="00C11466"/>
    <w:rsid w:val="00C117A0"/>
    <w:rsid w:val="00C11B74"/>
    <w:rsid w:val="00C12FC6"/>
    <w:rsid w:val="00C1367B"/>
    <w:rsid w:val="00C13CCA"/>
    <w:rsid w:val="00C153E0"/>
    <w:rsid w:val="00C178A7"/>
    <w:rsid w:val="00C17ACD"/>
    <w:rsid w:val="00C203FB"/>
    <w:rsid w:val="00C209A9"/>
    <w:rsid w:val="00C20A6A"/>
    <w:rsid w:val="00C20AB6"/>
    <w:rsid w:val="00C21A2C"/>
    <w:rsid w:val="00C21EF4"/>
    <w:rsid w:val="00C22C39"/>
    <w:rsid w:val="00C2355B"/>
    <w:rsid w:val="00C238E1"/>
    <w:rsid w:val="00C239F9"/>
    <w:rsid w:val="00C2490B"/>
    <w:rsid w:val="00C2564D"/>
    <w:rsid w:val="00C26FAD"/>
    <w:rsid w:val="00C27A60"/>
    <w:rsid w:val="00C30027"/>
    <w:rsid w:val="00C310C3"/>
    <w:rsid w:val="00C313D2"/>
    <w:rsid w:val="00C3152F"/>
    <w:rsid w:val="00C31E42"/>
    <w:rsid w:val="00C31FEE"/>
    <w:rsid w:val="00C331C5"/>
    <w:rsid w:val="00C33B0D"/>
    <w:rsid w:val="00C33B51"/>
    <w:rsid w:val="00C349E4"/>
    <w:rsid w:val="00C34BC7"/>
    <w:rsid w:val="00C356F2"/>
    <w:rsid w:val="00C35D74"/>
    <w:rsid w:val="00C36717"/>
    <w:rsid w:val="00C3672D"/>
    <w:rsid w:val="00C36B82"/>
    <w:rsid w:val="00C372E2"/>
    <w:rsid w:val="00C373AD"/>
    <w:rsid w:val="00C37550"/>
    <w:rsid w:val="00C37807"/>
    <w:rsid w:val="00C37A27"/>
    <w:rsid w:val="00C40F63"/>
    <w:rsid w:val="00C427DF"/>
    <w:rsid w:val="00C428AC"/>
    <w:rsid w:val="00C42F03"/>
    <w:rsid w:val="00C43390"/>
    <w:rsid w:val="00C438A3"/>
    <w:rsid w:val="00C4480F"/>
    <w:rsid w:val="00C44A55"/>
    <w:rsid w:val="00C46395"/>
    <w:rsid w:val="00C4718F"/>
    <w:rsid w:val="00C477DA"/>
    <w:rsid w:val="00C504D1"/>
    <w:rsid w:val="00C5092C"/>
    <w:rsid w:val="00C509E3"/>
    <w:rsid w:val="00C50CAA"/>
    <w:rsid w:val="00C50F21"/>
    <w:rsid w:val="00C514AF"/>
    <w:rsid w:val="00C5153D"/>
    <w:rsid w:val="00C51B92"/>
    <w:rsid w:val="00C51BCD"/>
    <w:rsid w:val="00C52684"/>
    <w:rsid w:val="00C52855"/>
    <w:rsid w:val="00C52922"/>
    <w:rsid w:val="00C531C4"/>
    <w:rsid w:val="00C533B1"/>
    <w:rsid w:val="00C535CE"/>
    <w:rsid w:val="00C5383F"/>
    <w:rsid w:val="00C538F7"/>
    <w:rsid w:val="00C542D8"/>
    <w:rsid w:val="00C54A0D"/>
    <w:rsid w:val="00C5554A"/>
    <w:rsid w:val="00C559E9"/>
    <w:rsid w:val="00C55CB6"/>
    <w:rsid w:val="00C5603D"/>
    <w:rsid w:val="00C56102"/>
    <w:rsid w:val="00C56C86"/>
    <w:rsid w:val="00C572D4"/>
    <w:rsid w:val="00C57902"/>
    <w:rsid w:val="00C601E4"/>
    <w:rsid w:val="00C60E97"/>
    <w:rsid w:val="00C61003"/>
    <w:rsid w:val="00C612B9"/>
    <w:rsid w:val="00C6163A"/>
    <w:rsid w:val="00C6163C"/>
    <w:rsid w:val="00C620A0"/>
    <w:rsid w:val="00C62A97"/>
    <w:rsid w:val="00C62B31"/>
    <w:rsid w:val="00C63738"/>
    <w:rsid w:val="00C649B0"/>
    <w:rsid w:val="00C64DA1"/>
    <w:rsid w:val="00C655FB"/>
    <w:rsid w:val="00C65CF8"/>
    <w:rsid w:val="00C6665C"/>
    <w:rsid w:val="00C67AE7"/>
    <w:rsid w:val="00C70320"/>
    <w:rsid w:val="00C70918"/>
    <w:rsid w:val="00C70B08"/>
    <w:rsid w:val="00C724AC"/>
    <w:rsid w:val="00C72ED5"/>
    <w:rsid w:val="00C73050"/>
    <w:rsid w:val="00C73BB3"/>
    <w:rsid w:val="00C73BD0"/>
    <w:rsid w:val="00C745BC"/>
    <w:rsid w:val="00C748DD"/>
    <w:rsid w:val="00C759E3"/>
    <w:rsid w:val="00C76012"/>
    <w:rsid w:val="00C76580"/>
    <w:rsid w:val="00C7697B"/>
    <w:rsid w:val="00C7730F"/>
    <w:rsid w:val="00C77469"/>
    <w:rsid w:val="00C7796B"/>
    <w:rsid w:val="00C77A9C"/>
    <w:rsid w:val="00C80093"/>
    <w:rsid w:val="00C80B87"/>
    <w:rsid w:val="00C80D76"/>
    <w:rsid w:val="00C828FB"/>
    <w:rsid w:val="00C82936"/>
    <w:rsid w:val="00C82F1A"/>
    <w:rsid w:val="00C8312C"/>
    <w:rsid w:val="00C83FD0"/>
    <w:rsid w:val="00C847C1"/>
    <w:rsid w:val="00C84FBB"/>
    <w:rsid w:val="00C852BF"/>
    <w:rsid w:val="00C85598"/>
    <w:rsid w:val="00C863B3"/>
    <w:rsid w:val="00C866AC"/>
    <w:rsid w:val="00C8774B"/>
    <w:rsid w:val="00C87FD9"/>
    <w:rsid w:val="00C9034C"/>
    <w:rsid w:val="00C90BB0"/>
    <w:rsid w:val="00C90D39"/>
    <w:rsid w:val="00C911C7"/>
    <w:rsid w:val="00C92041"/>
    <w:rsid w:val="00C92072"/>
    <w:rsid w:val="00C92937"/>
    <w:rsid w:val="00C94631"/>
    <w:rsid w:val="00C9469B"/>
    <w:rsid w:val="00C946E1"/>
    <w:rsid w:val="00C9485A"/>
    <w:rsid w:val="00C96A89"/>
    <w:rsid w:val="00C97424"/>
    <w:rsid w:val="00CA0021"/>
    <w:rsid w:val="00CA02A9"/>
    <w:rsid w:val="00CA0869"/>
    <w:rsid w:val="00CA0A64"/>
    <w:rsid w:val="00CA0FF9"/>
    <w:rsid w:val="00CA1DFA"/>
    <w:rsid w:val="00CA2E34"/>
    <w:rsid w:val="00CA377B"/>
    <w:rsid w:val="00CA3986"/>
    <w:rsid w:val="00CA3A5F"/>
    <w:rsid w:val="00CA3EF1"/>
    <w:rsid w:val="00CA4A8F"/>
    <w:rsid w:val="00CA53AA"/>
    <w:rsid w:val="00CA5B54"/>
    <w:rsid w:val="00CA5BF4"/>
    <w:rsid w:val="00CA7554"/>
    <w:rsid w:val="00CA7DF2"/>
    <w:rsid w:val="00CB0D2D"/>
    <w:rsid w:val="00CB32CE"/>
    <w:rsid w:val="00CB3618"/>
    <w:rsid w:val="00CB4443"/>
    <w:rsid w:val="00CB4FCA"/>
    <w:rsid w:val="00CB58BE"/>
    <w:rsid w:val="00CB6943"/>
    <w:rsid w:val="00CB7B86"/>
    <w:rsid w:val="00CB7FC4"/>
    <w:rsid w:val="00CC057F"/>
    <w:rsid w:val="00CC1807"/>
    <w:rsid w:val="00CC19DF"/>
    <w:rsid w:val="00CC292C"/>
    <w:rsid w:val="00CC3738"/>
    <w:rsid w:val="00CC454D"/>
    <w:rsid w:val="00CC4901"/>
    <w:rsid w:val="00CC5F98"/>
    <w:rsid w:val="00CC6D6B"/>
    <w:rsid w:val="00CC6FB6"/>
    <w:rsid w:val="00CD01F2"/>
    <w:rsid w:val="00CD069E"/>
    <w:rsid w:val="00CD0C85"/>
    <w:rsid w:val="00CD13C0"/>
    <w:rsid w:val="00CD1540"/>
    <w:rsid w:val="00CD25E6"/>
    <w:rsid w:val="00CD2AE3"/>
    <w:rsid w:val="00CD2CF5"/>
    <w:rsid w:val="00CD2E6D"/>
    <w:rsid w:val="00CD3024"/>
    <w:rsid w:val="00CD4539"/>
    <w:rsid w:val="00CD4DFD"/>
    <w:rsid w:val="00CD51A5"/>
    <w:rsid w:val="00CD52AD"/>
    <w:rsid w:val="00CD5B23"/>
    <w:rsid w:val="00CD65C1"/>
    <w:rsid w:val="00CD68C2"/>
    <w:rsid w:val="00CD732B"/>
    <w:rsid w:val="00CD7A9F"/>
    <w:rsid w:val="00CE050E"/>
    <w:rsid w:val="00CE064D"/>
    <w:rsid w:val="00CE11E8"/>
    <w:rsid w:val="00CE1C52"/>
    <w:rsid w:val="00CE2449"/>
    <w:rsid w:val="00CE4089"/>
    <w:rsid w:val="00CE40C6"/>
    <w:rsid w:val="00CE4137"/>
    <w:rsid w:val="00CE4804"/>
    <w:rsid w:val="00CE487F"/>
    <w:rsid w:val="00CE4BCD"/>
    <w:rsid w:val="00CE5C32"/>
    <w:rsid w:val="00CE5DBC"/>
    <w:rsid w:val="00CE5E19"/>
    <w:rsid w:val="00CE5E1C"/>
    <w:rsid w:val="00CE6152"/>
    <w:rsid w:val="00CE769C"/>
    <w:rsid w:val="00CE7D47"/>
    <w:rsid w:val="00CF00BE"/>
    <w:rsid w:val="00CF073B"/>
    <w:rsid w:val="00CF1247"/>
    <w:rsid w:val="00CF133B"/>
    <w:rsid w:val="00CF1F1B"/>
    <w:rsid w:val="00CF23E7"/>
    <w:rsid w:val="00CF25DF"/>
    <w:rsid w:val="00CF2A4D"/>
    <w:rsid w:val="00CF2F99"/>
    <w:rsid w:val="00CF34F1"/>
    <w:rsid w:val="00CF36C5"/>
    <w:rsid w:val="00CF3C55"/>
    <w:rsid w:val="00CF3D0C"/>
    <w:rsid w:val="00CF4677"/>
    <w:rsid w:val="00CF4B94"/>
    <w:rsid w:val="00CF7870"/>
    <w:rsid w:val="00D0077C"/>
    <w:rsid w:val="00D01312"/>
    <w:rsid w:val="00D01704"/>
    <w:rsid w:val="00D01AA8"/>
    <w:rsid w:val="00D01B2B"/>
    <w:rsid w:val="00D0245F"/>
    <w:rsid w:val="00D032D1"/>
    <w:rsid w:val="00D034F4"/>
    <w:rsid w:val="00D03EC5"/>
    <w:rsid w:val="00D047C0"/>
    <w:rsid w:val="00D05005"/>
    <w:rsid w:val="00D05D08"/>
    <w:rsid w:val="00D10AB2"/>
    <w:rsid w:val="00D10BF2"/>
    <w:rsid w:val="00D10C49"/>
    <w:rsid w:val="00D10FC3"/>
    <w:rsid w:val="00D120F0"/>
    <w:rsid w:val="00D123BF"/>
    <w:rsid w:val="00D1290E"/>
    <w:rsid w:val="00D134E2"/>
    <w:rsid w:val="00D13AB6"/>
    <w:rsid w:val="00D13CB9"/>
    <w:rsid w:val="00D13D11"/>
    <w:rsid w:val="00D1518D"/>
    <w:rsid w:val="00D152F3"/>
    <w:rsid w:val="00D1546A"/>
    <w:rsid w:val="00D1547C"/>
    <w:rsid w:val="00D15D5F"/>
    <w:rsid w:val="00D1613A"/>
    <w:rsid w:val="00D16C2A"/>
    <w:rsid w:val="00D17736"/>
    <w:rsid w:val="00D17CC0"/>
    <w:rsid w:val="00D17E09"/>
    <w:rsid w:val="00D21531"/>
    <w:rsid w:val="00D21DE7"/>
    <w:rsid w:val="00D22889"/>
    <w:rsid w:val="00D2400C"/>
    <w:rsid w:val="00D24CDA"/>
    <w:rsid w:val="00D26335"/>
    <w:rsid w:val="00D26D5A"/>
    <w:rsid w:val="00D26F6D"/>
    <w:rsid w:val="00D27489"/>
    <w:rsid w:val="00D300EA"/>
    <w:rsid w:val="00D30448"/>
    <w:rsid w:val="00D310D4"/>
    <w:rsid w:val="00D323B6"/>
    <w:rsid w:val="00D32823"/>
    <w:rsid w:val="00D32953"/>
    <w:rsid w:val="00D32AF5"/>
    <w:rsid w:val="00D3400A"/>
    <w:rsid w:val="00D34078"/>
    <w:rsid w:val="00D34771"/>
    <w:rsid w:val="00D34EC1"/>
    <w:rsid w:val="00D35714"/>
    <w:rsid w:val="00D369C9"/>
    <w:rsid w:val="00D36B12"/>
    <w:rsid w:val="00D37011"/>
    <w:rsid w:val="00D3734D"/>
    <w:rsid w:val="00D40515"/>
    <w:rsid w:val="00D40B9A"/>
    <w:rsid w:val="00D436F6"/>
    <w:rsid w:val="00D43A48"/>
    <w:rsid w:val="00D44A0F"/>
    <w:rsid w:val="00D44DCC"/>
    <w:rsid w:val="00D44E4B"/>
    <w:rsid w:val="00D4543F"/>
    <w:rsid w:val="00D45AED"/>
    <w:rsid w:val="00D4664C"/>
    <w:rsid w:val="00D468FF"/>
    <w:rsid w:val="00D46C7F"/>
    <w:rsid w:val="00D46F98"/>
    <w:rsid w:val="00D47C6E"/>
    <w:rsid w:val="00D47DFE"/>
    <w:rsid w:val="00D5000E"/>
    <w:rsid w:val="00D503B8"/>
    <w:rsid w:val="00D507AC"/>
    <w:rsid w:val="00D50A88"/>
    <w:rsid w:val="00D5185D"/>
    <w:rsid w:val="00D52C91"/>
    <w:rsid w:val="00D53556"/>
    <w:rsid w:val="00D539B1"/>
    <w:rsid w:val="00D5416F"/>
    <w:rsid w:val="00D5439D"/>
    <w:rsid w:val="00D544BC"/>
    <w:rsid w:val="00D550C3"/>
    <w:rsid w:val="00D56B2A"/>
    <w:rsid w:val="00D56C69"/>
    <w:rsid w:val="00D56F46"/>
    <w:rsid w:val="00D60990"/>
    <w:rsid w:val="00D60DC6"/>
    <w:rsid w:val="00D60F40"/>
    <w:rsid w:val="00D6278F"/>
    <w:rsid w:val="00D630BD"/>
    <w:rsid w:val="00D6348F"/>
    <w:rsid w:val="00D6439A"/>
    <w:rsid w:val="00D64F9F"/>
    <w:rsid w:val="00D650F4"/>
    <w:rsid w:val="00D6531A"/>
    <w:rsid w:val="00D6553E"/>
    <w:rsid w:val="00D65634"/>
    <w:rsid w:val="00D666AE"/>
    <w:rsid w:val="00D67601"/>
    <w:rsid w:val="00D705D7"/>
    <w:rsid w:val="00D715C9"/>
    <w:rsid w:val="00D71B9A"/>
    <w:rsid w:val="00D71F30"/>
    <w:rsid w:val="00D72C1F"/>
    <w:rsid w:val="00D72D91"/>
    <w:rsid w:val="00D7464E"/>
    <w:rsid w:val="00D75281"/>
    <w:rsid w:val="00D76C73"/>
    <w:rsid w:val="00D77443"/>
    <w:rsid w:val="00D77A8C"/>
    <w:rsid w:val="00D77C1E"/>
    <w:rsid w:val="00D8096D"/>
    <w:rsid w:val="00D80978"/>
    <w:rsid w:val="00D81908"/>
    <w:rsid w:val="00D81F4D"/>
    <w:rsid w:val="00D82B17"/>
    <w:rsid w:val="00D836E7"/>
    <w:rsid w:val="00D83702"/>
    <w:rsid w:val="00D84EF2"/>
    <w:rsid w:val="00D84F2B"/>
    <w:rsid w:val="00D851A1"/>
    <w:rsid w:val="00D85B5D"/>
    <w:rsid w:val="00D85C7D"/>
    <w:rsid w:val="00D86C2C"/>
    <w:rsid w:val="00D86CB5"/>
    <w:rsid w:val="00D870F4"/>
    <w:rsid w:val="00D870FF"/>
    <w:rsid w:val="00D8748F"/>
    <w:rsid w:val="00D87F47"/>
    <w:rsid w:val="00D90B45"/>
    <w:rsid w:val="00D91024"/>
    <w:rsid w:val="00D927E4"/>
    <w:rsid w:val="00D929AB"/>
    <w:rsid w:val="00D93587"/>
    <w:rsid w:val="00D9391C"/>
    <w:rsid w:val="00D93969"/>
    <w:rsid w:val="00D93B54"/>
    <w:rsid w:val="00D93C28"/>
    <w:rsid w:val="00D93FC8"/>
    <w:rsid w:val="00D940C0"/>
    <w:rsid w:val="00DA0EC3"/>
    <w:rsid w:val="00DA2318"/>
    <w:rsid w:val="00DA2F05"/>
    <w:rsid w:val="00DA32A8"/>
    <w:rsid w:val="00DA3371"/>
    <w:rsid w:val="00DA352A"/>
    <w:rsid w:val="00DA353F"/>
    <w:rsid w:val="00DA4495"/>
    <w:rsid w:val="00DA5300"/>
    <w:rsid w:val="00DA5E65"/>
    <w:rsid w:val="00DA625B"/>
    <w:rsid w:val="00DA70D6"/>
    <w:rsid w:val="00DA76BA"/>
    <w:rsid w:val="00DA7ABF"/>
    <w:rsid w:val="00DA7EDE"/>
    <w:rsid w:val="00DB0394"/>
    <w:rsid w:val="00DB0786"/>
    <w:rsid w:val="00DB079D"/>
    <w:rsid w:val="00DB14A2"/>
    <w:rsid w:val="00DB169D"/>
    <w:rsid w:val="00DB1AC3"/>
    <w:rsid w:val="00DB31C7"/>
    <w:rsid w:val="00DB3B78"/>
    <w:rsid w:val="00DB3D8F"/>
    <w:rsid w:val="00DB468C"/>
    <w:rsid w:val="00DB5454"/>
    <w:rsid w:val="00DB61C4"/>
    <w:rsid w:val="00DB672A"/>
    <w:rsid w:val="00DB6917"/>
    <w:rsid w:val="00DB75AC"/>
    <w:rsid w:val="00DB7A9B"/>
    <w:rsid w:val="00DB7E98"/>
    <w:rsid w:val="00DC010E"/>
    <w:rsid w:val="00DC0250"/>
    <w:rsid w:val="00DC184A"/>
    <w:rsid w:val="00DC1870"/>
    <w:rsid w:val="00DC1BC3"/>
    <w:rsid w:val="00DC1FB8"/>
    <w:rsid w:val="00DC224C"/>
    <w:rsid w:val="00DC2F8C"/>
    <w:rsid w:val="00DC388F"/>
    <w:rsid w:val="00DC5503"/>
    <w:rsid w:val="00DC56B8"/>
    <w:rsid w:val="00DC5FDC"/>
    <w:rsid w:val="00DC6B3A"/>
    <w:rsid w:val="00DC7346"/>
    <w:rsid w:val="00DC7764"/>
    <w:rsid w:val="00DD0356"/>
    <w:rsid w:val="00DD099F"/>
    <w:rsid w:val="00DD0A91"/>
    <w:rsid w:val="00DD0E52"/>
    <w:rsid w:val="00DD0F3D"/>
    <w:rsid w:val="00DD10AB"/>
    <w:rsid w:val="00DD16D4"/>
    <w:rsid w:val="00DD2117"/>
    <w:rsid w:val="00DD2143"/>
    <w:rsid w:val="00DD2EFB"/>
    <w:rsid w:val="00DD3853"/>
    <w:rsid w:val="00DD4333"/>
    <w:rsid w:val="00DD4443"/>
    <w:rsid w:val="00DD477B"/>
    <w:rsid w:val="00DD4C1B"/>
    <w:rsid w:val="00DD5A79"/>
    <w:rsid w:val="00DD5FFC"/>
    <w:rsid w:val="00DD6181"/>
    <w:rsid w:val="00DD6532"/>
    <w:rsid w:val="00DD7327"/>
    <w:rsid w:val="00DE09B4"/>
    <w:rsid w:val="00DE153F"/>
    <w:rsid w:val="00DE1593"/>
    <w:rsid w:val="00DE1A9D"/>
    <w:rsid w:val="00DE216B"/>
    <w:rsid w:val="00DE24E9"/>
    <w:rsid w:val="00DE322D"/>
    <w:rsid w:val="00DE352F"/>
    <w:rsid w:val="00DE39F4"/>
    <w:rsid w:val="00DE3D10"/>
    <w:rsid w:val="00DE3D4A"/>
    <w:rsid w:val="00DE3EE0"/>
    <w:rsid w:val="00DE3F62"/>
    <w:rsid w:val="00DE530C"/>
    <w:rsid w:val="00DE59F4"/>
    <w:rsid w:val="00DE5A96"/>
    <w:rsid w:val="00DE600D"/>
    <w:rsid w:val="00DE63CE"/>
    <w:rsid w:val="00DE66FC"/>
    <w:rsid w:val="00DE6D3B"/>
    <w:rsid w:val="00DE7E96"/>
    <w:rsid w:val="00DF0788"/>
    <w:rsid w:val="00DF0827"/>
    <w:rsid w:val="00DF0B7F"/>
    <w:rsid w:val="00DF16DC"/>
    <w:rsid w:val="00DF213B"/>
    <w:rsid w:val="00DF2678"/>
    <w:rsid w:val="00DF3219"/>
    <w:rsid w:val="00DF3D79"/>
    <w:rsid w:val="00DF4A0D"/>
    <w:rsid w:val="00DF6566"/>
    <w:rsid w:val="00DF6C2B"/>
    <w:rsid w:val="00DF7B30"/>
    <w:rsid w:val="00E0025E"/>
    <w:rsid w:val="00E013DC"/>
    <w:rsid w:val="00E015AC"/>
    <w:rsid w:val="00E01A31"/>
    <w:rsid w:val="00E02B35"/>
    <w:rsid w:val="00E02CA1"/>
    <w:rsid w:val="00E0318B"/>
    <w:rsid w:val="00E03C6A"/>
    <w:rsid w:val="00E04E7A"/>
    <w:rsid w:val="00E0500B"/>
    <w:rsid w:val="00E0582F"/>
    <w:rsid w:val="00E05B09"/>
    <w:rsid w:val="00E067F0"/>
    <w:rsid w:val="00E0797C"/>
    <w:rsid w:val="00E10423"/>
    <w:rsid w:val="00E11553"/>
    <w:rsid w:val="00E11A84"/>
    <w:rsid w:val="00E12207"/>
    <w:rsid w:val="00E129CA"/>
    <w:rsid w:val="00E13186"/>
    <w:rsid w:val="00E13448"/>
    <w:rsid w:val="00E13A19"/>
    <w:rsid w:val="00E15C59"/>
    <w:rsid w:val="00E15E22"/>
    <w:rsid w:val="00E16D49"/>
    <w:rsid w:val="00E17A6A"/>
    <w:rsid w:val="00E17CCB"/>
    <w:rsid w:val="00E20694"/>
    <w:rsid w:val="00E208D7"/>
    <w:rsid w:val="00E20F6B"/>
    <w:rsid w:val="00E21801"/>
    <w:rsid w:val="00E21C8A"/>
    <w:rsid w:val="00E22DC9"/>
    <w:rsid w:val="00E23666"/>
    <w:rsid w:val="00E23B2B"/>
    <w:rsid w:val="00E23D77"/>
    <w:rsid w:val="00E24156"/>
    <w:rsid w:val="00E248D7"/>
    <w:rsid w:val="00E252F6"/>
    <w:rsid w:val="00E25393"/>
    <w:rsid w:val="00E25871"/>
    <w:rsid w:val="00E262F5"/>
    <w:rsid w:val="00E264BC"/>
    <w:rsid w:val="00E267A6"/>
    <w:rsid w:val="00E268DA"/>
    <w:rsid w:val="00E26BE1"/>
    <w:rsid w:val="00E26EDC"/>
    <w:rsid w:val="00E26F09"/>
    <w:rsid w:val="00E27AA6"/>
    <w:rsid w:val="00E27E3E"/>
    <w:rsid w:val="00E30354"/>
    <w:rsid w:val="00E304DE"/>
    <w:rsid w:val="00E30A9C"/>
    <w:rsid w:val="00E30DCA"/>
    <w:rsid w:val="00E3234C"/>
    <w:rsid w:val="00E32F72"/>
    <w:rsid w:val="00E33911"/>
    <w:rsid w:val="00E33CF2"/>
    <w:rsid w:val="00E33E52"/>
    <w:rsid w:val="00E34416"/>
    <w:rsid w:val="00E34826"/>
    <w:rsid w:val="00E35A0F"/>
    <w:rsid w:val="00E36603"/>
    <w:rsid w:val="00E366BF"/>
    <w:rsid w:val="00E36969"/>
    <w:rsid w:val="00E36A7E"/>
    <w:rsid w:val="00E37209"/>
    <w:rsid w:val="00E37804"/>
    <w:rsid w:val="00E37EDA"/>
    <w:rsid w:val="00E40BFE"/>
    <w:rsid w:val="00E40DAD"/>
    <w:rsid w:val="00E41C66"/>
    <w:rsid w:val="00E42A24"/>
    <w:rsid w:val="00E42D19"/>
    <w:rsid w:val="00E433BA"/>
    <w:rsid w:val="00E44552"/>
    <w:rsid w:val="00E448DA"/>
    <w:rsid w:val="00E45697"/>
    <w:rsid w:val="00E45A25"/>
    <w:rsid w:val="00E45B32"/>
    <w:rsid w:val="00E467DE"/>
    <w:rsid w:val="00E47387"/>
    <w:rsid w:val="00E500A6"/>
    <w:rsid w:val="00E50555"/>
    <w:rsid w:val="00E5083F"/>
    <w:rsid w:val="00E51370"/>
    <w:rsid w:val="00E519FC"/>
    <w:rsid w:val="00E54928"/>
    <w:rsid w:val="00E54E8D"/>
    <w:rsid w:val="00E55058"/>
    <w:rsid w:val="00E55346"/>
    <w:rsid w:val="00E5550D"/>
    <w:rsid w:val="00E560D8"/>
    <w:rsid w:val="00E573F4"/>
    <w:rsid w:val="00E57EEA"/>
    <w:rsid w:val="00E6041F"/>
    <w:rsid w:val="00E61596"/>
    <w:rsid w:val="00E6222D"/>
    <w:rsid w:val="00E62FF3"/>
    <w:rsid w:val="00E63304"/>
    <w:rsid w:val="00E63A19"/>
    <w:rsid w:val="00E63D7B"/>
    <w:rsid w:val="00E64591"/>
    <w:rsid w:val="00E64713"/>
    <w:rsid w:val="00E65156"/>
    <w:rsid w:val="00E65AFE"/>
    <w:rsid w:val="00E65D32"/>
    <w:rsid w:val="00E66902"/>
    <w:rsid w:val="00E673A1"/>
    <w:rsid w:val="00E67426"/>
    <w:rsid w:val="00E675FC"/>
    <w:rsid w:val="00E677BE"/>
    <w:rsid w:val="00E707B1"/>
    <w:rsid w:val="00E7089C"/>
    <w:rsid w:val="00E70F5B"/>
    <w:rsid w:val="00E71758"/>
    <w:rsid w:val="00E723DE"/>
    <w:rsid w:val="00E739D4"/>
    <w:rsid w:val="00E73F80"/>
    <w:rsid w:val="00E74245"/>
    <w:rsid w:val="00E74C84"/>
    <w:rsid w:val="00E75583"/>
    <w:rsid w:val="00E763A2"/>
    <w:rsid w:val="00E7651F"/>
    <w:rsid w:val="00E76AE6"/>
    <w:rsid w:val="00E77246"/>
    <w:rsid w:val="00E774F7"/>
    <w:rsid w:val="00E77DE5"/>
    <w:rsid w:val="00E80B4C"/>
    <w:rsid w:val="00E81551"/>
    <w:rsid w:val="00E81754"/>
    <w:rsid w:val="00E824BF"/>
    <w:rsid w:val="00E8337B"/>
    <w:rsid w:val="00E8426F"/>
    <w:rsid w:val="00E853F8"/>
    <w:rsid w:val="00E8590B"/>
    <w:rsid w:val="00E85A4B"/>
    <w:rsid w:val="00E85B3F"/>
    <w:rsid w:val="00E865BF"/>
    <w:rsid w:val="00E86D4A"/>
    <w:rsid w:val="00E872FC"/>
    <w:rsid w:val="00E87730"/>
    <w:rsid w:val="00E87A64"/>
    <w:rsid w:val="00E905B4"/>
    <w:rsid w:val="00E9133E"/>
    <w:rsid w:val="00E92031"/>
    <w:rsid w:val="00E931B2"/>
    <w:rsid w:val="00E93429"/>
    <w:rsid w:val="00E93569"/>
    <w:rsid w:val="00E93F1C"/>
    <w:rsid w:val="00E94D13"/>
    <w:rsid w:val="00E9571D"/>
    <w:rsid w:val="00E962F0"/>
    <w:rsid w:val="00E97111"/>
    <w:rsid w:val="00E97870"/>
    <w:rsid w:val="00E978BA"/>
    <w:rsid w:val="00E97A43"/>
    <w:rsid w:val="00EA01BE"/>
    <w:rsid w:val="00EA10A6"/>
    <w:rsid w:val="00EA1DE7"/>
    <w:rsid w:val="00EA2807"/>
    <w:rsid w:val="00EA28A4"/>
    <w:rsid w:val="00EA2AED"/>
    <w:rsid w:val="00EA2F5C"/>
    <w:rsid w:val="00EA32AD"/>
    <w:rsid w:val="00EA44F9"/>
    <w:rsid w:val="00EA4557"/>
    <w:rsid w:val="00EA45D8"/>
    <w:rsid w:val="00EA4F3C"/>
    <w:rsid w:val="00EA517A"/>
    <w:rsid w:val="00EA56C7"/>
    <w:rsid w:val="00EA6BBD"/>
    <w:rsid w:val="00EA7679"/>
    <w:rsid w:val="00EA797A"/>
    <w:rsid w:val="00EB0451"/>
    <w:rsid w:val="00EB1648"/>
    <w:rsid w:val="00EB1997"/>
    <w:rsid w:val="00EB1C45"/>
    <w:rsid w:val="00EB20A6"/>
    <w:rsid w:val="00EB20F7"/>
    <w:rsid w:val="00EB2613"/>
    <w:rsid w:val="00EB299F"/>
    <w:rsid w:val="00EB29CA"/>
    <w:rsid w:val="00EB305A"/>
    <w:rsid w:val="00EB3D9C"/>
    <w:rsid w:val="00EB4360"/>
    <w:rsid w:val="00EB44CD"/>
    <w:rsid w:val="00EB48B9"/>
    <w:rsid w:val="00EB5606"/>
    <w:rsid w:val="00EB6318"/>
    <w:rsid w:val="00EB63DF"/>
    <w:rsid w:val="00EB6606"/>
    <w:rsid w:val="00EB6C3B"/>
    <w:rsid w:val="00EB6D31"/>
    <w:rsid w:val="00EC05E5"/>
    <w:rsid w:val="00EC061A"/>
    <w:rsid w:val="00EC0A85"/>
    <w:rsid w:val="00EC1868"/>
    <w:rsid w:val="00EC1903"/>
    <w:rsid w:val="00EC47B8"/>
    <w:rsid w:val="00EC4D1D"/>
    <w:rsid w:val="00EC51A4"/>
    <w:rsid w:val="00EC5741"/>
    <w:rsid w:val="00EC620B"/>
    <w:rsid w:val="00EC6B13"/>
    <w:rsid w:val="00EC6FBB"/>
    <w:rsid w:val="00EC7524"/>
    <w:rsid w:val="00EC754F"/>
    <w:rsid w:val="00EC7A74"/>
    <w:rsid w:val="00ED0EA1"/>
    <w:rsid w:val="00ED105A"/>
    <w:rsid w:val="00ED1254"/>
    <w:rsid w:val="00ED1467"/>
    <w:rsid w:val="00ED1CD9"/>
    <w:rsid w:val="00ED21A6"/>
    <w:rsid w:val="00ED21E7"/>
    <w:rsid w:val="00ED29E6"/>
    <w:rsid w:val="00ED2F68"/>
    <w:rsid w:val="00ED3656"/>
    <w:rsid w:val="00ED39B8"/>
    <w:rsid w:val="00ED3C54"/>
    <w:rsid w:val="00ED3D32"/>
    <w:rsid w:val="00ED42E1"/>
    <w:rsid w:val="00ED46C3"/>
    <w:rsid w:val="00ED48C0"/>
    <w:rsid w:val="00ED75D0"/>
    <w:rsid w:val="00ED7B71"/>
    <w:rsid w:val="00ED7BF4"/>
    <w:rsid w:val="00EE02C3"/>
    <w:rsid w:val="00EE09DA"/>
    <w:rsid w:val="00EE0CDE"/>
    <w:rsid w:val="00EE0D99"/>
    <w:rsid w:val="00EE0E10"/>
    <w:rsid w:val="00EE1211"/>
    <w:rsid w:val="00EE184A"/>
    <w:rsid w:val="00EE1C42"/>
    <w:rsid w:val="00EE2782"/>
    <w:rsid w:val="00EE31B6"/>
    <w:rsid w:val="00EE3AAF"/>
    <w:rsid w:val="00EE45A6"/>
    <w:rsid w:val="00EE49B6"/>
    <w:rsid w:val="00EE52CF"/>
    <w:rsid w:val="00EE5903"/>
    <w:rsid w:val="00EE600A"/>
    <w:rsid w:val="00EE6182"/>
    <w:rsid w:val="00EE701A"/>
    <w:rsid w:val="00EF00B1"/>
    <w:rsid w:val="00EF01F7"/>
    <w:rsid w:val="00EF0979"/>
    <w:rsid w:val="00EF160A"/>
    <w:rsid w:val="00EF32EB"/>
    <w:rsid w:val="00EF37F8"/>
    <w:rsid w:val="00EF38AF"/>
    <w:rsid w:val="00EF47E7"/>
    <w:rsid w:val="00EF4A6E"/>
    <w:rsid w:val="00EF60AE"/>
    <w:rsid w:val="00EF689E"/>
    <w:rsid w:val="00EF6AB6"/>
    <w:rsid w:val="00EF6D7F"/>
    <w:rsid w:val="00EF6DB2"/>
    <w:rsid w:val="00EF6E9C"/>
    <w:rsid w:val="00EF7001"/>
    <w:rsid w:val="00F0005F"/>
    <w:rsid w:val="00F005A0"/>
    <w:rsid w:val="00F006F7"/>
    <w:rsid w:val="00F00933"/>
    <w:rsid w:val="00F00FED"/>
    <w:rsid w:val="00F013DA"/>
    <w:rsid w:val="00F01627"/>
    <w:rsid w:val="00F0178F"/>
    <w:rsid w:val="00F027DE"/>
    <w:rsid w:val="00F02FFB"/>
    <w:rsid w:val="00F033D5"/>
    <w:rsid w:val="00F038A1"/>
    <w:rsid w:val="00F03C1D"/>
    <w:rsid w:val="00F040DB"/>
    <w:rsid w:val="00F04982"/>
    <w:rsid w:val="00F10CCA"/>
    <w:rsid w:val="00F112D3"/>
    <w:rsid w:val="00F116E0"/>
    <w:rsid w:val="00F117D2"/>
    <w:rsid w:val="00F12281"/>
    <w:rsid w:val="00F12394"/>
    <w:rsid w:val="00F12492"/>
    <w:rsid w:val="00F12724"/>
    <w:rsid w:val="00F12931"/>
    <w:rsid w:val="00F13DF7"/>
    <w:rsid w:val="00F14030"/>
    <w:rsid w:val="00F147B6"/>
    <w:rsid w:val="00F15A5B"/>
    <w:rsid w:val="00F15F8A"/>
    <w:rsid w:val="00F1692A"/>
    <w:rsid w:val="00F16A5A"/>
    <w:rsid w:val="00F16C7B"/>
    <w:rsid w:val="00F17966"/>
    <w:rsid w:val="00F2096F"/>
    <w:rsid w:val="00F21483"/>
    <w:rsid w:val="00F21686"/>
    <w:rsid w:val="00F227EB"/>
    <w:rsid w:val="00F2324A"/>
    <w:rsid w:val="00F23ECE"/>
    <w:rsid w:val="00F2447F"/>
    <w:rsid w:val="00F252F4"/>
    <w:rsid w:val="00F25984"/>
    <w:rsid w:val="00F25A17"/>
    <w:rsid w:val="00F25CAC"/>
    <w:rsid w:val="00F26636"/>
    <w:rsid w:val="00F26720"/>
    <w:rsid w:val="00F26777"/>
    <w:rsid w:val="00F26EDB"/>
    <w:rsid w:val="00F276BF"/>
    <w:rsid w:val="00F27C86"/>
    <w:rsid w:val="00F27F16"/>
    <w:rsid w:val="00F30C04"/>
    <w:rsid w:val="00F30D8B"/>
    <w:rsid w:val="00F30DC3"/>
    <w:rsid w:val="00F30F22"/>
    <w:rsid w:val="00F3124A"/>
    <w:rsid w:val="00F31692"/>
    <w:rsid w:val="00F318E7"/>
    <w:rsid w:val="00F320FC"/>
    <w:rsid w:val="00F3287D"/>
    <w:rsid w:val="00F33ABD"/>
    <w:rsid w:val="00F33D3A"/>
    <w:rsid w:val="00F340ED"/>
    <w:rsid w:val="00F35470"/>
    <w:rsid w:val="00F357FE"/>
    <w:rsid w:val="00F35939"/>
    <w:rsid w:val="00F35E2A"/>
    <w:rsid w:val="00F3657B"/>
    <w:rsid w:val="00F36D8D"/>
    <w:rsid w:val="00F36E15"/>
    <w:rsid w:val="00F37760"/>
    <w:rsid w:val="00F37D4F"/>
    <w:rsid w:val="00F37DEF"/>
    <w:rsid w:val="00F37F84"/>
    <w:rsid w:val="00F4050D"/>
    <w:rsid w:val="00F411B3"/>
    <w:rsid w:val="00F411CE"/>
    <w:rsid w:val="00F41259"/>
    <w:rsid w:val="00F4227E"/>
    <w:rsid w:val="00F426BF"/>
    <w:rsid w:val="00F43482"/>
    <w:rsid w:val="00F43E7F"/>
    <w:rsid w:val="00F445F2"/>
    <w:rsid w:val="00F44C42"/>
    <w:rsid w:val="00F4549F"/>
    <w:rsid w:val="00F45697"/>
    <w:rsid w:val="00F464D4"/>
    <w:rsid w:val="00F468EE"/>
    <w:rsid w:val="00F475D2"/>
    <w:rsid w:val="00F47952"/>
    <w:rsid w:val="00F47EE5"/>
    <w:rsid w:val="00F50505"/>
    <w:rsid w:val="00F50D65"/>
    <w:rsid w:val="00F50F12"/>
    <w:rsid w:val="00F53286"/>
    <w:rsid w:val="00F538E5"/>
    <w:rsid w:val="00F53AC8"/>
    <w:rsid w:val="00F54420"/>
    <w:rsid w:val="00F54B0C"/>
    <w:rsid w:val="00F554D7"/>
    <w:rsid w:val="00F557B3"/>
    <w:rsid w:val="00F559D8"/>
    <w:rsid w:val="00F5670D"/>
    <w:rsid w:val="00F57423"/>
    <w:rsid w:val="00F57850"/>
    <w:rsid w:val="00F57A0F"/>
    <w:rsid w:val="00F60260"/>
    <w:rsid w:val="00F60906"/>
    <w:rsid w:val="00F60987"/>
    <w:rsid w:val="00F6191D"/>
    <w:rsid w:val="00F624B1"/>
    <w:rsid w:val="00F62F22"/>
    <w:rsid w:val="00F6339C"/>
    <w:rsid w:val="00F63630"/>
    <w:rsid w:val="00F63A01"/>
    <w:rsid w:val="00F64EC1"/>
    <w:rsid w:val="00F651BF"/>
    <w:rsid w:val="00F659A0"/>
    <w:rsid w:val="00F66536"/>
    <w:rsid w:val="00F708DE"/>
    <w:rsid w:val="00F717A9"/>
    <w:rsid w:val="00F71BF3"/>
    <w:rsid w:val="00F722C3"/>
    <w:rsid w:val="00F72426"/>
    <w:rsid w:val="00F7254F"/>
    <w:rsid w:val="00F7406D"/>
    <w:rsid w:val="00F743EA"/>
    <w:rsid w:val="00F7689B"/>
    <w:rsid w:val="00F76932"/>
    <w:rsid w:val="00F76DDB"/>
    <w:rsid w:val="00F7713F"/>
    <w:rsid w:val="00F777C3"/>
    <w:rsid w:val="00F77E22"/>
    <w:rsid w:val="00F80A98"/>
    <w:rsid w:val="00F823D7"/>
    <w:rsid w:val="00F8291E"/>
    <w:rsid w:val="00F82A5D"/>
    <w:rsid w:val="00F841AB"/>
    <w:rsid w:val="00F841FF"/>
    <w:rsid w:val="00F856AC"/>
    <w:rsid w:val="00F85893"/>
    <w:rsid w:val="00F86657"/>
    <w:rsid w:val="00F868A1"/>
    <w:rsid w:val="00F86DD9"/>
    <w:rsid w:val="00F87A2D"/>
    <w:rsid w:val="00F902F5"/>
    <w:rsid w:val="00F90AF6"/>
    <w:rsid w:val="00F91407"/>
    <w:rsid w:val="00F91A68"/>
    <w:rsid w:val="00F91E8C"/>
    <w:rsid w:val="00F92ACE"/>
    <w:rsid w:val="00F931CC"/>
    <w:rsid w:val="00F9385A"/>
    <w:rsid w:val="00F93883"/>
    <w:rsid w:val="00F94F07"/>
    <w:rsid w:val="00F95CA2"/>
    <w:rsid w:val="00F9664F"/>
    <w:rsid w:val="00F967F4"/>
    <w:rsid w:val="00F96BDC"/>
    <w:rsid w:val="00F974A6"/>
    <w:rsid w:val="00F97D5C"/>
    <w:rsid w:val="00F97E77"/>
    <w:rsid w:val="00FA0C3D"/>
    <w:rsid w:val="00FA11E0"/>
    <w:rsid w:val="00FA1A6F"/>
    <w:rsid w:val="00FA21B4"/>
    <w:rsid w:val="00FA21FA"/>
    <w:rsid w:val="00FA279A"/>
    <w:rsid w:val="00FA3FDE"/>
    <w:rsid w:val="00FA4E4A"/>
    <w:rsid w:val="00FA5313"/>
    <w:rsid w:val="00FA58CD"/>
    <w:rsid w:val="00FA5C06"/>
    <w:rsid w:val="00FA5E54"/>
    <w:rsid w:val="00FA6364"/>
    <w:rsid w:val="00FA7542"/>
    <w:rsid w:val="00FA798E"/>
    <w:rsid w:val="00FA7F13"/>
    <w:rsid w:val="00FA7F23"/>
    <w:rsid w:val="00FB0112"/>
    <w:rsid w:val="00FB09F1"/>
    <w:rsid w:val="00FB0C51"/>
    <w:rsid w:val="00FB1F58"/>
    <w:rsid w:val="00FB2925"/>
    <w:rsid w:val="00FB29DE"/>
    <w:rsid w:val="00FB3AA7"/>
    <w:rsid w:val="00FB48AF"/>
    <w:rsid w:val="00FB5A58"/>
    <w:rsid w:val="00FB612E"/>
    <w:rsid w:val="00FB6503"/>
    <w:rsid w:val="00FB6B9A"/>
    <w:rsid w:val="00FB6E1E"/>
    <w:rsid w:val="00FC0DD0"/>
    <w:rsid w:val="00FC1451"/>
    <w:rsid w:val="00FC1A8F"/>
    <w:rsid w:val="00FC1EB7"/>
    <w:rsid w:val="00FC29E5"/>
    <w:rsid w:val="00FC32FE"/>
    <w:rsid w:val="00FC39C0"/>
    <w:rsid w:val="00FC410E"/>
    <w:rsid w:val="00FC43DA"/>
    <w:rsid w:val="00FC44CE"/>
    <w:rsid w:val="00FC4820"/>
    <w:rsid w:val="00FC60C5"/>
    <w:rsid w:val="00FC61F7"/>
    <w:rsid w:val="00FC7699"/>
    <w:rsid w:val="00FD0088"/>
    <w:rsid w:val="00FD13F0"/>
    <w:rsid w:val="00FD198E"/>
    <w:rsid w:val="00FD19CC"/>
    <w:rsid w:val="00FD19EA"/>
    <w:rsid w:val="00FD2271"/>
    <w:rsid w:val="00FD3972"/>
    <w:rsid w:val="00FD3E13"/>
    <w:rsid w:val="00FD48F1"/>
    <w:rsid w:val="00FD59E9"/>
    <w:rsid w:val="00FD5D61"/>
    <w:rsid w:val="00FD6076"/>
    <w:rsid w:val="00FD6151"/>
    <w:rsid w:val="00FD6301"/>
    <w:rsid w:val="00FD679E"/>
    <w:rsid w:val="00FD6A6D"/>
    <w:rsid w:val="00FD6FFE"/>
    <w:rsid w:val="00FD76BE"/>
    <w:rsid w:val="00FE02C7"/>
    <w:rsid w:val="00FE072E"/>
    <w:rsid w:val="00FE078C"/>
    <w:rsid w:val="00FE0DBA"/>
    <w:rsid w:val="00FE1715"/>
    <w:rsid w:val="00FE1B9E"/>
    <w:rsid w:val="00FE1EEF"/>
    <w:rsid w:val="00FE1F52"/>
    <w:rsid w:val="00FE3D3C"/>
    <w:rsid w:val="00FE3E0C"/>
    <w:rsid w:val="00FE45AD"/>
    <w:rsid w:val="00FE4F80"/>
    <w:rsid w:val="00FE5B3C"/>
    <w:rsid w:val="00FE6136"/>
    <w:rsid w:val="00FE613B"/>
    <w:rsid w:val="00FE6B0A"/>
    <w:rsid w:val="00FE6F43"/>
    <w:rsid w:val="00FE75D3"/>
    <w:rsid w:val="00FE78BB"/>
    <w:rsid w:val="00FF04E5"/>
    <w:rsid w:val="00FF06EC"/>
    <w:rsid w:val="00FF1F72"/>
    <w:rsid w:val="00FF1FA0"/>
    <w:rsid w:val="00FF27E8"/>
    <w:rsid w:val="00FF39A2"/>
    <w:rsid w:val="00FF3B55"/>
    <w:rsid w:val="00FF4FDF"/>
    <w:rsid w:val="00FF527B"/>
    <w:rsid w:val="00FF61D0"/>
    <w:rsid w:val="00FF6DFE"/>
    <w:rsid w:val="00FF700F"/>
    <w:rsid w:val="00FF7182"/>
    <w:rsid w:val="00FF74CD"/>
    <w:rsid w:val="00FF7A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C487944"/>
  <w15:chartTrackingRefBased/>
  <w15:docId w15:val="{8604F058-EA85-4E05-BBD3-57F4C2E85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qFormat="1"/>
    <w:lsdException w:name="HTML Keyboard" w:semiHidden="1" w:unhideWhenUsed="1"/>
    <w:lsdException w:name="HTML Preformatted" w:semiHidden="1" w:uiPriority="99"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0">
    <w:name w:val="Normal"/>
    <w:qFormat/>
    <w:rsid w:val="00D93B54"/>
    <w:rPr>
      <w:lang w:val="uk-UA"/>
    </w:rPr>
  </w:style>
  <w:style w:type="paragraph" w:styleId="1">
    <w:name w:val="heading 1"/>
    <w:basedOn w:val="a0"/>
    <w:next w:val="a0"/>
    <w:link w:val="10"/>
    <w:qFormat/>
    <w:rsid w:val="000B063F"/>
    <w:pPr>
      <w:keepNext/>
      <w:keepLines/>
      <w:widowControl w:val="0"/>
      <w:tabs>
        <w:tab w:val="left" w:pos="1134"/>
      </w:tabs>
      <w:spacing w:before="80" w:after="80"/>
      <w:ind w:left="360" w:hanging="360"/>
      <w:jc w:val="center"/>
      <w:outlineLvl w:val="0"/>
    </w:pPr>
    <w:rPr>
      <w:rFonts w:cs="Helvetica"/>
      <w:b/>
      <w:color w:val="000000"/>
      <w:sz w:val="28"/>
      <w:szCs w:val="32"/>
      <w:lang w:eastAsia="en-US"/>
    </w:rPr>
  </w:style>
  <w:style w:type="paragraph" w:styleId="2">
    <w:name w:val="heading 2"/>
    <w:basedOn w:val="a0"/>
    <w:next w:val="a0"/>
    <w:link w:val="20"/>
    <w:semiHidden/>
    <w:unhideWhenUsed/>
    <w:qFormat/>
    <w:rsid w:val="007570E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next w:val="a0"/>
    <w:link w:val="30"/>
    <w:unhideWhenUsed/>
    <w:qFormat/>
    <w:rsid w:val="0051268C"/>
    <w:pPr>
      <w:keepNext/>
      <w:spacing w:before="240" w:after="60"/>
      <w:outlineLvl w:val="2"/>
    </w:pPr>
    <w:rPr>
      <w:rFonts w:ascii="Calibri Light" w:hAnsi="Calibri Light"/>
      <w:b/>
      <w:bCs/>
      <w:sz w:val="26"/>
      <w:szCs w:val="26"/>
      <w:lang w:val="x-none"/>
    </w:rPr>
  </w:style>
  <w:style w:type="paragraph" w:styleId="4">
    <w:name w:val="heading 4"/>
    <w:basedOn w:val="a0"/>
    <w:next w:val="a0"/>
    <w:qFormat/>
    <w:rsid w:val="009150DF"/>
    <w:pPr>
      <w:keepNext/>
      <w:spacing w:before="240" w:after="60"/>
      <w:outlineLvl w:val="3"/>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pPr>
      <w:tabs>
        <w:tab w:val="center" w:pos="4536"/>
        <w:tab w:val="right" w:pos="9072"/>
      </w:tabs>
    </w:pPr>
  </w:style>
  <w:style w:type="paragraph" w:styleId="a6">
    <w:name w:val="footer"/>
    <w:basedOn w:val="a0"/>
    <w:link w:val="a7"/>
    <w:uiPriority w:val="99"/>
    <w:pPr>
      <w:tabs>
        <w:tab w:val="center" w:pos="4536"/>
        <w:tab w:val="right" w:pos="9072"/>
      </w:tabs>
    </w:pPr>
  </w:style>
  <w:style w:type="table" w:styleId="a8">
    <w:name w:val="Table Grid"/>
    <w:basedOn w:val="a2"/>
    <w:uiPriority w:val="39"/>
    <w:rsid w:val="000F1E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page number"/>
    <w:basedOn w:val="a1"/>
    <w:rsid w:val="00AC2EBD"/>
  </w:style>
  <w:style w:type="paragraph" w:styleId="aa">
    <w:name w:val="Balloon Text"/>
    <w:basedOn w:val="a0"/>
    <w:link w:val="ab"/>
    <w:uiPriority w:val="99"/>
    <w:semiHidden/>
    <w:rsid w:val="00D369C9"/>
    <w:rPr>
      <w:rFonts w:ascii="Tahoma" w:hAnsi="Tahoma" w:cs="Tahoma"/>
      <w:sz w:val="16"/>
      <w:szCs w:val="16"/>
    </w:rPr>
  </w:style>
  <w:style w:type="paragraph" w:styleId="21">
    <w:name w:val="Body Text 2"/>
    <w:basedOn w:val="a0"/>
    <w:link w:val="22"/>
    <w:rsid w:val="008A13C4"/>
    <w:pPr>
      <w:jc w:val="both"/>
    </w:pPr>
    <w:rPr>
      <w:sz w:val="28"/>
      <w:lang w:eastAsia="x-none"/>
    </w:rPr>
  </w:style>
  <w:style w:type="paragraph" w:customStyle="1" w:styleId="ac">
    <w:name w:val="Знак Знак Знак Знак"/>
    <w:basedOn w:val="a0"/>
    <w:rsid w:val="00735DCE"/>
    <w:rPr>
      <w:rFonts w:ascii="Verdana" w:hAnsi="Verdana" w:cs="Verdana"/>
      <w:lang w:val="en-US" w:eastAsia="en-US"/>
    </w:rPr>
  </w:style>
  <w:style w:type="character" w:styleId="ad">
    <w:name w:val="Hyperlink"/>
    <w:uiPriority w:val="99"/>
    <w:rsid w:val="008C4BDD"/>
    <w:rPr>
      <w:color w:val="0000FF"/>
      <w:u w:val="single"/>
    </w:rPr>
  </w:style>
  <w:style w:type="paragraph" w:customStyle="1" w:styleId="ae">
    <w:name w:val="Знак Знак Знак Знак Знак Знак Знак"/>
    <w:basedOn w:val="a0"/>
    <w:rsid w:val="00A64EEC"/>
    <w:rPr>
      <w:rFonts w:ascii="Verdana" w:hAnsi="Verdana" w:cs="Verdana"/>
      <w:lang w:val="en-US" w:eastAsia="en-US"/>
    </w:rPr>
  </w:style>
  <w:style w:type="character" w:styleId="af">
    <w:name w:val="annotation reference"/>
    <w:uiPriority w:val="99"/>
    <w:rsid w:val="00615583"/>
    <w:rPr>
      <w:sz w:val="16"/>
      <w:szCs w:val="16"/>
    </w:rPr>
  </w:style>
  <w:style w:type="paragraph" w:styleId="af0">
    <w:name w:val="annotation text"/>
    <w:basedOn w:val="a0"/>
    <w:link w:val="af1"/>
    <w:rsid w:val="00615583"/>
    <w:rPr>
      <w:lang w:val="x-none"/>
    </w:rPr>
  </w:style>
  <w:style w:type="character" w:customStyle="1" w:styleId="af1">
    <w:name w:val="Текст примітки Знак"/>
    <w:link w:val="af0"/>
    <w:rsid w:val="00615583"/>
    <w:rPr>
      <w:lang w:eastAsia="ru-RU"/>
    </w:rPr>
  </w:style>
  <w:style w:type="paragraph" w:styleId="af2">
    <w:name w:val="annotation subject"/>
    <w:basedOn w:val="af0"/>
    <w:next w:val="af0"/>
    <w:link w:val="af3"/>
    <w:uiPriority w:val="99"/>
    <w:rsid w:val="00615583"/>
    <w:rPr>
      <w:b/>
      <w:bCs/>
    </w:rPr>
  </w:style>
  <w:style w:type="character" w:customStyle="1" w:styleId="af3">
    <w:name w:val="Тема примітки Знак"/>
    <w:link w:val="af2"/>
    <w:uiPriority w:val="99"/>
    <w:rsid w:val="00615583"/>
    <w:rPr>
      <w:b/>
      <w:bCs/>
      <w:lang w:eastAsia="ru-RU"/>
    </w:rPr>
  </w:style>
  <w:style w:type="paragraph" w:customStyle="1" w:styleId="11">
    <w:name w:val="Знак Знак1 Знак Знак Знак Знак Знак Знак Знак Знак"/>
    <w:basedOn w:val="a0"/>
    <w:rsid w:val="00F01627"/>
    <w:rPr>
      <w:rFonts w:ascii="Verdana" w:hAnsi="Verdana" w:cs="Verdana"/>
      <w:lang w:val="en-US" w:eastAsia="en-US"/>
    </w:rPr>
  </w:style>
  <w:style w:type="character" w:customStyle="1" w:styleId="22">
    <w:name w:val="Основний текст 2 Знак"/>
    <w:link w:val="21"/>
    <w:rsid w:val="004A77E9"/>
    <w:rPr>
      <w:sz w:val="28"/>
      <w:lang w:val="uk-UA"/>
    </w:rPr>
  </w:style>
  <w:style w:type="character" w:customStyle="1" w:styleId="30">
    <w:name w:val="Заголовок 3 Знак"/>
    <w:link w:val="3"/>
    <w:rsid w:val="0051268C"/>
    <w:rPr>
      <w:rFonts w:ascii="Calibri Light" w:eastAsia="Times New Roman" w:hAnsi="Calibri Light" w:cs="Times New Roman"/>
      <w:b/>
      <w:bCs/>
      <w:sz w:val="26"/>
      <w:szCs w:val="26"/>
      <w:lang w:eastAsia="ru-RU"/>
    </w:rPr>
  </w:style>
  <w:style w:type="character" w:customStyle="1" w:styleId="af4">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f5"/>
    <w:locked/>
    <w:rsid w:val="007A1E8C"/>
    <w:rPr>
      <w:sz w:val="24"/>
      <w:szCs w:val="24"/>
      <w:lang w:val="uk-UA" w:eastAsia="uk-UA"/>
    </w:rPr>
  </w:style>
  <w:style w:type="paragraph" w:styleId="af5">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0"/>
    <w:link w:val="af4"/>
    <w:uiPriority w:val="99"/>
    <w:unhideWhenUsed/>
    <w:qFormat/>
    <w:rsid w:val="007A1E8C"/>
    <w:pPr>
      <w:spacing w:before="100" w:beforeAutospacing="1" w:after="100" w:afterAutospacing="1"/>
    </w:pPr>
    <w:rPr>
      <w:sz w:val="24"/>
      <w:szCs w:val="24"/>
      <w:lang w:eastAsia="uk-UA"/>
    </w:rPr>
  </w:style>
  <w:style w:type="paragraph" w:styleId="HTML">
    <w:name w:val="HTML Preformatted"/>
    <w:basedOn w:val="a0"/>
    <w:link w:val="HTML0"/>
    <w:uiPriority w:val="99"/>
    <w:unhideWhenUsed/>
    <w:rsid w:val="00227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HTML0">
    <w:name w:val="Стандартний HTML Знак"/>
    <w:link w:val="HTML"/>
    <w:uiPriority w:val="99"/>
    <w:rsid w:val="00227C25"/>
    <w:rPr>
      <w:rFonts w:ascii="Courier New" w:hAnsi="Courier New" w:cs="Courier New"/>
    </w:rPr>
  </w:style>
  <w:style w:type="paragraph" w:customStyle="1" w:styleId="rvps2">
    <w:name w:val="rvps2"/>
    <w:basedOn w:val="a0"/>
    <w:link w:val="rvps2Char"/>
    <w:uiPriority w:val="99"/>
    <w:qFormat/>
    <w:rsid w:val="00953F77"/>
    <w:pPr>
      <w:spacing w:before="100" w:beforeAutospacing="1" w:after="100" w:afterAutospacing="1"/>
    </w:pPr>
    <w:rPr>
      <w:sz w:val="24"/>
      <w:szCs w:val="24"/>
      <w:lang w:val="ru-RU"/>
    </w:rPr>
  </w:style>
  <w:style w:type="paragraph" w:styleId="af6">
    <w:name w:val="List Paragraph"/>
    <w:basedOn w:val="a0"/>
    <w:link w:val="af7"/>
    <w:uiPriority w:val="34"/>
    <w:qFormat/>
    <w:rsid w:val="00816FED"/>
    <w:pPr>
      <w:spacing w:after="160" w:line="259" w:lineRule="auto"/>
      <w:ind w:left="720"/>
      <w:contextualSpacing/>
    </w:pPr>
    <w:rPr>
      <w:rFonts w:ascii="Calibri" w:eastAsia="Calibri" w:hAnsi="Calibri"/>
      <w:sz w:val="22"/>
      <w:szCs w:val="22"/>
      <w:lang w:val="x-none" w:eastAsia="en-US"/>
    </w:rPr>
  </w:style>
  <w:style w:type="character" w:customStyle="1" w:styleId="af7">
    <w:name w:val="Абзац списку Знак"/>
    <w:link w:val="af6"/>
    <w:uiPriority w:val="34"/>
    <w:rsid w:val="00816FED"/>
    <w:rPr>
      <w:rFonts w:ascii="Calibri" w:eastAsia="Calibri" w:hAnsi="Calibri"/>
      <w:sz w:val="22"/>
      <w:szCs w:val="22"/>
      <w:lang w:eastAsia="en-US"/>
    </w:rPr>
  </w:style>
  <w:style w:type="paragraph" w:styleId="af8">
    <w:name w:val="Revision"/>
    <w:hidden/>
    <w:uiPriority w:val="99"/>
    <w:semiHidden/>
    <w:rsid w:val="006C0613"/>
    <w:rPr>
      <w:lang w:val="uk-UA"/>
    </w:rPr>
  </w:style>
  <w:style w:type="character" w:customStyle="1" w:styleId="bx-messenger-message">
    <w:name w:val="bx-messenger-message"/>
    <w:rsid w:val="000C042A"/>
  </w:style>
  <w:style w:type="character" w:customStyle="1" w:styleId="bx-messenger-content-item-date">
    <w:name w:val="bx-messenger-content-item-date"/>
    <w:rsid w:val="000C042A"/>
  </w:style>
  <w:style w:type="character" w:customStyle="1" w:styleId="bx-messenger-content-like-button">
    <w:name w:val="bx-messenger-content-like-button"/>
    <w:rsid w:val="000C042A"/>
  </w:style>
  <w:style w:type="character" w:customStyle="1" w:styleId="ab">
    <w:name w:val="Текст у виносці Знак"/>
    <w:link w:val="aa"/>
    <w:uiPriority w:val="99"/>
    <w:semiHidden/>
    <w:rsid w:val="00076A8A"/>
    <w:rPr>
      <w:rFonts w:ascii="Tahoma" w:hAnsi="Tahoma" w:cs="Tahoma"/>
      <w:sz w:val="16"/>
      <w:szCs w:val="16"/>
      <w:lang w:eastAsia="ru-RU"/>
    </w:rPr>
  </w:style>
  <w:style w:type="character" w:customStyle="1" w:styleId="a5">
    <w:name w:val="Верхній колонтитул Знак"/>
    <w:link w:val="a4"/>
    <w:uiPriority w:val="99"/>
    <w:rsid w:val="00076A8A"/>
    <w:rPr>
      <w:lang w:eastAsia="ru-RU"/>
    </w:rPr>
  </w:style>
  <w:style w:type="character" w:customStyle="1" w:styleId="a7">
    <w:name w:val="Нижній колонтитул Знак"/>
    <w:link w:val="a6"/>
    <w:uiPriority w:val="99"/>
    <w:rsid w:val="00076A8A"/>
    <w:rPr>
      <w:lang w:eastAsia="ru-RU"/>
    </w:rPr>
  </w:style>
  <w:style w:type="character" w:styleId="af9">
    <w:name w:val="Strong"/>
    <w:uiPriority w:val="22"/>
    <w:qFormat/>
    <w:rsid w:val="008502D0"/>
    <w:rPr>
      <w:b/>
      <w:bCs/>
    </w:rPr>
  </w:style>
  <w:style w:type="paragraph" w:customStyle="1" w:styleId="12">
    <w:name w:val="Основной текст1"/>
    <w:basedOn w:val="a0"/>
    <w:rsid w:val="004B6255"/>
    <w:pPr>
      <w:suppressAutoHyphens/>
      <w:spacing w:after="600" w:line="288" w:lineRule="auto"/>
      <w:jc w:val="center"/>
    </w:pPr>
    <w:rPr>
      <w:sz w:val="28"/>
      <w:szCs w:val="28"/>
      <w:lang w:eastAsia="zh-CN"/>
    </w:rPr>
  </w:style>
  <w:style w:type="paragraph" w:customStyle="1" w:styleId="rvps7">
    <w:name w:val="rvps7"/>
    <w:basedOn w:val="a0"/>
    <w:rsid w:val="00BC2F36"/>
    <w:pPr>
      <w:spacing w:before="100" w:beforeAutospacing="1" w:after="100" w:afterAutospacing="1"/>
    </w:pPr>
    <w:rPr>
      <w:sz w:val="24"/>
      <w:szCs w:val="24"/>
      <w:lang w:eastAsia="uk-UA"/>
    </w:rPr>
  </w:style>
  <w:style w:type="character" w:customStyle="1" w:styleId="rvts0">
    <w:name w:val="rvts0"/>
    <w:rsid w:val="00BC2F36"/>
  </w:style>
  <w:style w:type="paragraph" w:styleId="afa">
    <w:name w:val="Body Text Indent"/>
    <w:basedOn w:val="a0"/>
    <w:link w:val="afb"/>
    <w:rsid w:val="00AF16E5"/>
    <w:pPr>
      <w:ind w:firstLine="708"/>
      <w:jc w:val="both"/>
    </w:pPr>
    <w:rPr>
      <w:sz w:val="28"/>
    </w:rPr>
  </w:style>
  <w:style w:type="character" w:customStyle="1" w:styleId="afb">
    <w:name w:val="Основний текст з відступом Знак"/>
    <w:basedOn w:val="a1"/>
    <w:link w:val="afa"/>
    <w:rsid w:val="00AF16E5"/>
    <w:rPr>
      <w:sz w:val="28"/>
      <w:lang w:val="uk-UA"/>
    </w:rPr>
  </w:style>
  <w:style w:type="paragraph" w:customStyle="1" w:styleId="Normalnumbering">
    <w:name w:val="Normal numbering"/>
    <w:basedOn w:val="a0"/>
    <w:link w:val="NormalnumberingChar"/>
    <w:uiPriority w:val="99"/>
    <w:rsid w:val="000B063F"/>
    <w:pPr>
      <w:widowControl w:val="0"/>
      <w:tabs>
        <w:tab w:val="left" w:pos="1701"/>
        <w:tab w:val="num" w:pos="2211"/>
      </w:tabs>
      <w:spacing w:before="120" w:after="120"/>
      <w:ind w:firstLine="851"/>
      <w:jc w:val="both"/>
      <w:outlineLvl w:val="0"/>
    </w:pPr>
    <w:rPr>
      <w:rFonts w:eastAsia="Calibri" w:cs="Helvetica"/>
      <w:sz w:val="28"/>
      <w:szCs w:val="24"/>
      <w:lang w:val="ru-RU" w:eastAsia="en-US"/>
    </w:rPr>
  </w:style>
  <w:style w:type="character" w:customStyle="1" w:styleId="NormalnumberingChar">
    <w:name w:val="Normal numbering Char"/>
    <w:link w:val="Normalnumbering"/>
    <w:uiPriority w:val="99"/>
    <w:locked/>
    <w:rsid w:val="000B063F"/>
    <w:rPr>
      <w:rFonts w:eastAsia="Calibri" w:cs="Helvetica"/>
      <w:sz w:val="28"/>
      <w:szCs w:val="24"/>
      <w:lang w:eastAsia="en-US"/>
    </w:rPr>
  </w:style>
  <w:style w:type="character" w:customStyle="1" w:styleId="10">
    <w:name w:val="Заголовок 1 Знак"/>
    <w:basedOn w:val="a1"/>
    <w:link w:val="1"/>
    <w:rsid w:val="000B063F"/>
    <w:rPr>
      <w:rFonts w:cs="Helvetica"/>
      <w:b/>
      <w:color w:val="000000"/>
      <w:sz w:val="28"/>
      <w:szCs w:val="32"/>
      <w:lang w:val="uk-UA" w:eastAsia="en-US"/>
    </w:rPr>
  </w:style>
  <w:style w:type="paragraph" w:styleId="afc">
    <w:name w:val="No Spacing"/>
    <w:link w:val="afd"/>
    <w:uiPriority w:val="1"/>
    <w:qFormat/>
    <w:rsid w:val="00026909"/>
    <w:rPr>
      <w:rFonts w:asciiTheme="minorHAnsi" w:eastAsiaTheme="minorHAnsi" w:hAnsiTheme="minorHAnsi" w:cstheme="minorBidi"/>
      <w:sz w:val="22"/>
      <w:szCs w:val="22"/>
      <w:lang w:val="uk-UA" w:eastAsia="en-US"/>
    </w:rPr>
  </w:style>
  <w:style w:type="paragraph" w:customStyle="1" w:styleId="Normalwithoutnum">
    <w:name w:val="Normal without num"/>
    <w:basedOn w:val="a0"/>
    <w:qFormat/>
    <w:rsid w:val="00E42A24"/>
    <w:pPr>
      <w:widowControl w:val="0"/>
      <w:ind w:firstLine="851"/>
      <w:jc w:val="both"/>
      <w:outlineLvl w:val="2"/>
    </w:pPr>
    <w:rPr>
      <w:rFonts w:eastAsia="Calibri"/>
      <w:sz w:val="28"/>
      <w:szCs w:val="28"/>
      <w:lang w:eastAsia="en-US"/>
    </w:rPr>
  </w:style>
  <w:style w:type="paragraph" w:customStyle="1" w:styleId="afe">
    <w:name w:val="Обычный формула"/>
    <w:basedOn w:val="a0"/>
    <w:uiPriority w:val="99"/>
    <w:rsid w:val="00E42A24"/>
    <w:pPr>
      <w:widowControl w:val="0"/>
      <w:tabs>
        <w:tab w:val="left" w:pos="1701"/>
      </w:tabs>
      <w:spacing w:before="120" w:after="120"/>
      <w:jc w:val="center"/>
      <w:outlineLvl w:val="2"/>
    </w:pPr>
    <w:rPr>
      <w:rFonts w:cs="Helvetica"/>
      <w:sz w:val="28"/>
      <w:szCs w:val="24"/>
      <w:lang w:val="ru-RU" w:eastAsia="en-US"/>
    </w:rPr>
  </w:style>
  <w:style w:type="character" w:customStyle="1" w:styleId="xfm68768843">
    <w:name w:val="xfm_68768843"/>
    <w:basedOn w:val="a1"/>
    <w:rsid w:val="004A4537"/>
  </w:style>
  <w:style w:type="paragraph" w:styleId="31">
    <w:name w:val="Body Text Indent 3"/>
    <w:basedOn w:val="a0"/>
    <w:link w:val="32"/>
    <w:rsid w:val="006B3BFF"/>
    <w:pPr>
      <w:spacing w:after="120"/>
      <w:ind w:left="283"/>
    </w:pPr>
    <w:rPr>
      <w:rFonts w:eastAsia="SimSun" w:cs="Latha"/>
      <w:sz w:val="16"/>
      <w:szCs w:val="16"/>
      <w:lang w:bidi="ta-IN"/>
    </w:rPr>
  </w:style>
  <w:style w:type="character" w:customStyle="1" w:styleId="32">
    <w:name w:val="Основний текст з відступом 3 Знак"/>
    <w:basedOn w:val="a1"/>
    <w:link w:val="31"/>
    <w:rsid w:val="006B3BFF"/>
    <w:rPr>
      <w:rFonts w:eastAsia="SimSun" w:cs="Latha"/>
      <w:sz w:val="16"/>
      <w:szCs w:val="16"/>
      <w:lang w:val="uk-UA" w:bidi="ta-IN"/>
    </w:rPr>
  </w:style>
  <w:style w:type="character" w:customStyle="1" w:styleId="23">
    <w:name w:val="Основной текст (2)_"/>
    <w:link w:val="24"/>
    <w:rsid w:val="00A21FB1"/>
    <w:rPr>
      <w:shd w:val="clear" w:color="auto" w:fill="FFFFFF"/>
    </w:rPr>
  </w:style>
  <w:style w:type="paragraph" w:customStyle="1" w:styleId="24">
    <w:name w:val="Основной текст (2)"/>
    <w:basedOn w:val="a0"/>
    <w:link w:val="23"/>
    <w:rsid w:val="00A21FB1"/>
    <w:pPr>
      <w:widowControl w:val="0"/>
      <w:shd w:val="clear" w:color="auto" w:fill="FFFFFF"/>
      <w:spacing w:before="120" w:after="2880" w:line="269" w:lineRule="exact"/>
      <w:jc w:val="center"/>
    </w:pPr>
    <w:rPr>
      <w:lang w:val="ru-RU"/>
    </w:rPr>
  </w:style>
  <w:style w:type="character" w:customStyle="1" w:styleId="rvts80">
    <w:name w:val="rvts80"/>
    <w:basedOn w:val="a1"/>
    <w:rsid w:val="00856276"/>
  </w:style>
  <w:style w:type="paragraph" w:customStyle="1" w:styleId="rvps12">
    <w:name w:val="rvps12"/>
    <w:basedOn w:val="a0"/>
    <w:rsid w:val="00856276"/>
    <w:pPr>
      <w:spacing w:before="100" w:beforeAutospacing="1" w:after="100" w:afterAutospacing="1"/>
    </w:pPr>
    <w:rPr>
      <w:sz w:val="24"/>
      <w:szCs w:val="24"/>
      <w:lang w:eastAsia="uk-UA"/>
    </w:rPr>
  </w:style>
  <w:style w:type="character" w:customStyle="1" w:styleId="rvts40">
    <w:name w:val="rvts40"/>
    <w:basedOn w:val="a1"/>
    <w:rsid w:val="00856276"/>
  </w:style>
  <w:style w:type="paragraph" w:customStyle="1" w:styleId="rvps11">
    <w:name w:val="rvps11"/>
    <w:basedOn w:val="a0"/>
    <w:rsid w:val="00856276"/>
    <w:pPr>
      <w:spacing w:before="100" w:beforeAutospacing="1" w:after="100" w:afterAutospacing="1"/>
    </w:pPr>
    <w:rPr>
      <w:sz w:val="24"/>
      <w:szCs w:val="24"/>
      <w:lang w:eastAsia="uk-UA"/>
    </w:rPr>
  </w:style>
  <w:style w:type="paragraph" w:customStyle="1" w:styleId="rvps14">
    <w:name w:val="rvps14"/>
    <w:basedOn w:val="a0"/>
    <w:rsid w:val="00856276"/>
    <w:pPr>
      <w:spacing w:before="100" w:beforeAutospacing="1" w:after="100" w:afterAutospacing="1"/>
    </w:pPr>
    <w:rPr>
      <w:sz w:val="24"/>
      <w:szCs w:val="24"/>
      <w:lang w:eastAsia="uk-UA"/>
    </w:rPr>
  </w:style>
  <w:style w:type="paragraph" w:customStyle="1" w:styleId="aff">
    <w:name w:val="Обычный додатки"/>
    <w:basedOn w:val="a0"/>
    <w:qFormat/>
    <w:rsid w:val="00D310D4"/>
    <w:pPr>
      <w:widowControl w:val="0"/>
      <w:tabs>
        <w:tab w:val="left" w:pos="1701"/>
      </w:tabs>
      <w:spacing w:before="120" w:after="120"/>
      <w:jc w:val="both"/>
      <w:outlineLvl w:val="2"/>
    </w:pPr>
    <w:rPr>
      <w:rFonts w:eastAsia="Calibri" w:cs="Helvetica"/>
      <w:sz w:val="28"/>
      <w:szCs w:val="24"/>
      <w:lang w:eastAsia="en-US"/>
    </w:rPr>
  </w:style>
  <w:style w:type="paragraph" w:customStyle="1" w:styleId="pf0">
    <w:name w:val="pf0"/>
    <w:basedOn w:val="a0"/>
    <w:rsid w:val="00D310D4"/>
    <w:pPr>
      <w:spacing w:before="100" w:beforeAutospacing="1" w:after="100" w:afterAutospacing="1"/>
    </w:pPr>
    <w:rPr>
      <w:sz w:val="24"/>
      <w:szCs w:val="24"/>
      <w:lang w:val="ru-RU"/>
    </w:rPr>
  </w:style>
  <w:style w:type="character" w:customStyle="1" w:styleId="cf01">
    <w:name w:val="cf01"/>
    <w:basedOn w:val="a1"/>
    <w:rsid w:val="00D310D4"/>
    <w:rPr>
      <w:rFonts w:ascii="Segoe UI" w:hAnsi="Segoe UI" w:cs="Segoe UI" w:hint="default"/>
      <w:sz w:val="18"/>
      <w:szCs w:val="18"/>
    </w:rPr>
  </w:style>
  <w:style w:type="character" w:customStyle="1" w:styleId="cf11">
    <w:name w:val="cf11"/>
    <w:basedOn w:val="a1"/>
    <w:rsid w:val="00D310D4"/>
    <w:rPr>
      <w:rFonts w:ascii="Segoe UI" w:hAnsi="Segoe UI" w:cs="Segoe UI" w:hint="default"/>
      <w:sz w:val="18"/>
      <w:szCs w:val="18"/>
    </w:rPr>
  </w:style>
  <w:style w:type="character" w:customStyle="1" w:styleId="rvts15">
    <w:name w:val="rvts15"/>
    <w:rsid w:val="00675FFB"/>
  </w:style>
  <w:style w:type="paragraph" w:customStyle="1" w:styleId="tj">
    <w:name w:val="tj"/>
    <w:basedOn w:val="a0"/>
    <w:rsid w:val="00210C5C"/>
    <w:pPr>
      <w:spacing w:before="100" w:beforeAutospacing="1" w:after="100" w:afterAutospacing="1"/>
    </w:pPr>
    <w:rPr>
      <w:sz w:val="24"/>
      <w:szCs w:val="24"/>
      <w:lang w:eastAsia="uk-UA"/>
    </w:rPr>
  </w:style>
  <w:style w:type="character" w:customStyle="1" w:styleId="hard-blue-color">
    <w:name w:val="hard-blue-color"/>
    <w:basedOn w:val="a1"/>
    <w:rsid w:val="00210C5C"/>
  </w:style>
  <w:style w:type="paragraph" w:customStyle="1" w:styleId="List11">
    <w:name w:val="List 1.1"/>
    <w:basedOn w:val="rvps2"/>
    <w:link w:val="List11Char"/>
    <w:qFormat/>
    <w:rsid w:val="00BB1F50"/>
    <w:pPr>
      <w:tabs>
        <w:tab w:val="left" w:pos="990"/>
      </w:tabs>
      <w:spacing w:before="120" w:beforeAutospacing="0" w:after="120" w:afterAutospacing="0"/>
      <w:ind w:firstLine="432"/>
      <w:jc w:val="both"/>
    </w:pPr>
    <w:rPr>
      <w:rFonts w:eastAsiaTheme="minorEastAsia"/>
      <w:sz w:val="28"/>
      <w:lang w:val="uk-UA" w:eastAsia="uk-UA"/>
    </w:rPr>
  </w:style>
  <w:style w:type="character" w:customStyle="1" w:styleId="List11Char">
    <w:name w:val="List 1.1 Char"/>
    <w:basedOn w:val="a1"/>
    <w:link w:val="List11"/>
    <w:rsid w:val="00BB1F50"/>
    <w:rPr>
      <w:rFonts w:eastAsiaTheme="minorEastAsia"/>
      <w:sz w:val="28"/>
      <w:szCs w:val="24"/>
      <w:lang w:val="uk-UA" w:eastAsia="uk-UA"/>
    </w:rPr>
  </w:style>
  <w:style w:type="character" w:customStyle="1" w:styleId="rvps2Char">
    <w:name w:val="rvps2 Char"/>
    <w:basedOn w:val="a1"/>
    <w:link w:val="rvps2"/>
    <w:rsid w:val="00BB1F50"/>
    <w:rPr>
      <w:sz w:val="24"/>
      <w:szCs w:val="24"/>
    </w:rPr>
  </w:style>
  <w:style w:type="character" w:customStyle="1" w:styleId="20">
    <w:name w:val="Заголовок 2 Знак"/>
    <w:basedOn w:val="a1"/>
    <w:link w:val="2"/>
    <w:semiHidden/>
    <w:rsid w:val="007570E7"/>
    <w:rPr>
      <w:rFonts w:asciiTheme="majorHAnsi" w:eastAsiaTheme="majorEastAsia" w:hAnsiTheme="majorHAnsi" w:cstheme="majorBidi"/>
      <w:color w:val="2E74B5" w:themeColor="accent1" w:themeShade="BF"/>
      <w:sz w:val="26"/>
      <w:szCs w:val="26"/>
      <w:lang w:val="uk-UA"/>
    </w:rPr>
  </w:style>
  <w:style w:type="character" w:customStyle="1" w:styleId="rvts23">
    <w:name w:val="rvts23"/>
    <w:rsid w:val="00490420"/>
  </w:style>
  <w:style w:type="paragraph" w:customStyle="1" w:styleId="TableParagraph">
    <w:name w:val="Table Paragraph"/>
    <w:basedOn w:val="a0"/>
    <w:uiPriority w:val="1"/>
    <w:qFormat/>
    <w:rsid w:val="000549A8"/>
    <w:pPr>
      <w:widowControl w:val="0"/>
      <w:autoSpaceDE w:val="0"/>
      <w:autoSpaceDN w:val="0"/>
      <w:ind w:left="107"/>
    </w:pPr>
    <w:rPr>
      <w:sz w:val="22"/>
      <w:szCs w:val="22"/>
      <w:lang w:val="en-US" w:eastAsia="en-US"/>
    </w:rPr>
  </w:style>
  <w:style w:type="character" w:customStyle="1" w:styleId="rvts44">
    <w:name w:val="rvts44"/>
    <w:rsid w:val="000549A8"/>
  </w:style>
  <w:style w:type="paragraph" w:customStyle="1" w:styleId="tl">
    <w:name w:val="tl"/>
    <w:basedOn w:val="a0"/>
    <w:rsid w:val="00921E0C"/>
    <w:pPr>
      <w:spacing w:before="100" w:beforeAutospacing="1" w:after="100" w:afterAutospacing="1"/>
    </w:pPr>
    <w:rPr>
      <w:sz w:val="24"/>
      <w:szCs w:val="24"/>
      <w:lang w:eastAsia="uk-UA"/>
    </w:rPr>
  </w:style>
  <w:style w:type="character" w:styleId="aff0">
    <w:name w:val="Emphasis"/>
    <w:basedOn w:val="a1"/>
    <w:qFormat/>
    <w:rsid w:val="00121E98"/>
    <w:rPr>
      <w:i/>
      <w:iCs/>
    </w:rPr>
  </w:style>
  <w:style w:type="character" w:customStyle="1" w:styleId="fontstyle01">
    <w:name w:val="fontstyle01"/>
    <w:rsid w:val="00595ACE"/>
    <w:rPr>
      <w:rFonts w:ascii="TimesNewRoman" w:hAnsi="TimesNewRoman" w:hint="default"/>
      <w:b w:val="0"/>
      <w:bCs w:val="0"/>
      <w:i w:val="0"/>
      <w:iCs w:val="0"/>
      <w:color w:val="000000"/>
      <w:sz w:val="24"/>
      <w:szCs w:val="24"/>
    </w:rPr>
  </w:style>
  <w:style w:type="character" w:customStyle="1" w:styleId="rvts46">
    <w:name w:val="rvts46"/>
    <w:basedOn w:val="a1"/>
    <w:rsid w:val="005D4483"/>
  </w:style>
  <w:style w:type="character" w:customStyle="1" w:styleId="rvts11">
    <w:name w:val="rvts11"/>
    <w:basedOn w:val="a1"/>
    <w:rsid w:val="005D4483"/>
  </w:style>
  <w:style w:type="character" w:customStyle="1" w:styleId="rvts37">
    <w:name w:val="rvts37"/>
    <w:basedOn w:val="a1"/>
    <w:rsid w:val="005D4483"/>
  </w:style>
  <w:style w:type="character" w:customStyle="1" w:styleId="st42">
    <w:name w:val="st42"/>
    <w:uiPriority w:val="99"/>
    <w:rsid w:val="003D5C84"/>
    <w:rPr>
      <w:color w:val="000000"/>
    </w:rPr>
  </w:style>
  <w:style w:type="paragraph" w:customStyle="1" w:styleId="13">
    <w:name w:val="Абзац списка1"/>
    <w:basedOn w:val="a0"/>
    <w:rsid w:val="00732861"/>
    <w:pPr>
      <w:ind w:left="720"/>
    </w:pPr>
    <w:rPr>
      <w:rFonts w:eastAsia="Calibri"/>
      <w:sz w:val="24"/>
      <w:szCs w:val="24"/>
      <w:lang w:val="ru-RU"/>
    </w:rPr>
  </w:style>
  <w:style w:type="paragraph" w:customStyle="1" w:styleId="110">
    <w:name w:val="Абзац списка11"/>
    <w:basedOn w:val="a0"/>
    <w:rsid w:val="00CE4089"/>
    <w:pPr>
      <w:ind w:left="720"/>
    </w:pPr>
    <w:rPr>
      <w:rFonts w:eastAsia="Calibri"/>
      <w:sz w:val="24"/>
      <w:szCs w:val="24"/>
      <w:lang w:val="ru-RU"/>
    </w:rPr>
  </w:style>
  <w:style w:type="paragraph" w:styleId="a">
    <w:name w:val="List Bullet"/>
    <w:basedOn w:val="a0"/>
    <w:unhideWhenUsed/>
    <w:rsid w:val="00CE4089"/>
    <w:pPr>
      <w:numPr>
        <w:numId w:val="1"/>
      </w:numPr>
      <w:spacing w:after="200" w:line="276" w:lineRule="auto"/>
      <w:ind w:left="0" w:firstLine="0"/>
      <w:jc w:val="both"/>
    </w:pPr>
    <w:rPr>
      <w:rFonts w:ascii="Arial" w:hAnsi="Arial"/>
      <w:lang w:val="en-US" w:eastAsia="en-US"/>
    </w:rPr>
  </w:style>
  <w:style w:type="paragraph" w:customStyle="1" w:styleId="14">
    <w:name w:val="Абзац списку1"/>
    <w:basedOn w:val="a0"/>
    <w:rsid w:val="00A6047C"/>
    <w:pPr>
      <w:ind w:left="720"/>
    </w:pPr>
    <w:rPr>
      <w:rFonts w:eastAsia="Calibri"/>
      <w:sz w:val="24"/>
      <w:szCs w:val="24"/>
      <w:lang w:val="ru-RU"/>
    </w:rPr>
  </w:style>
  <w:style w:type="character" w:customStyle="1" w:styleId="15">
    <w:name w:val="Текст примітки Знак1"/>
    <w:basedOn w:val="a1"/>
    <w:uiPriority w:val="99"/>
    <w:semiHidden/>
    <w:rsid w:val="001E027E"/>
    <w:rPr>
      <w:sz w:val="20"/>
      <w:szCs w:val="20"/>
      <w:lang w:val="ru-RU"/>
    </w:rPr>
  </w:style>
  <w:style w:type="character" w:customStyle="1" w:styleId="16">
    <w:name w:val="Тема примітки Знак1"/>
    <w:basedOn w:val="15"/>
    <w:uiPriority w:val="99"/>
    <w:semiHidden/>
    <w:rsid w:val="001E027E"/>
    <w:rPr>
      <w:b/>
      <w:bCs/>
      <w:sz w:val="20"/>
      <w:szCs w:val="20"/>
      <w:lang w:val="ru-RU"/>
    </w:rPr>
  </w:style>
  <w:style w:type="character" w:customStyle="1" w:styleId="17">
    <w:name w:val="Верхній колонтитул Знак1"/>
    <w:basedOn w:val="a1"/>
    <w:uiPriority w:val="99"/>
    <w:semiHidden/>
    <w:rsid w:val="001E027E"/>
    <w:rPr>
      <w:lang w:val="ru-RU"/>
    </w:rPr>
  </w:style>
  <w:style w:type="character" w:customStyle="1" w:styleId="apple-tab-span">
    <w:name w:val="apple-tab-span"/>
    <w:basedOn w:val="a1"/>
    <w:rsid w:val="001E027E"/>
  </w:style>
  <w:style w:type="character" w:customStyle="1" w:styleId="contentpasted2">
    <w:name w:val="contentpasted2"/>
    <w:basedOn w:val="a1"/>
    <w:rsid w:val="003A5748"/>
  </w:style>
  <w:style w:type="paragraph" w:customStyle="1" w:styleId="Normalnumberingapplication">
    <w:name w:val="Normal numbering application"/>
    <w:basedOn w:val="a0"/>
    <w:rsid w:val="00003C27"/>
    <w:pPr>
      <w:widowControl w:val="0"/>
      <w:numPr>
        <w:ilvl w:val="3"/>
        <w:numId w:val="3"/>
      </w:numPr>
      <w:spacing w:before="240" w:after="240"/>
      <w:jc w:val="both"/>
      <w:outlineLvl w:val="2"/>
    </w:pPr>
    <w:rPr>
      <w:rFonts w:eastAsia="Calibri" w:cs="Helvetica"/>
      <w:sz w:val="28"/>
      <w:szCs w:val="24"/>
      <w:lang w:eastAsia="en-US"/>
    </w:rPr>
  </w:style>
  <w:style w:type="paragraph" w:customStyle="1" w:styleId="Heading2application">
    <w:name w:val="Heading 2 application"/>
    <w:basedOn w:val="2"/>
    <w:qFormat/>
    <w:rsid w:val="00003C27"/>
    <w:pPr>
      <w:widowControl w:val="0"/>
      <w:numPr>
        <w:ilvl w:val="1"/>
        <w:numId w:val="3"/>
      </w:numPr>
      <w:tabs>
        <w:tab w:val="clear" w:pos="851"/>
        <w:tab w:val="num" w:pos="360"/>
        <w:tab w:val="left" w:pos="1418"/>
      </w:tabs>
      <w:spacing w:before="120" w:after="120"/>
      <w:ind w:left="1440" w:firstLine="0"/>
      <w:jc w:val="center"/>
    </w:pPr>
    <w:rPr>
      <w:rFonts w:ascii="Times New Roman" w:eastAsia="Calibri" w:hAnsi="Times New Roman" w:cs="Times New Roman"/>
      <w:b/>
      <w:color w:val="000000"/>
      <w:sz w:val="28"/>
      <w:lang w:eastAsia="en-US"/>
    </w:rPr>
  </w:style>
  <w:style w:type="paragraph" w:customStyle="1" w:styleId="Heading1application">
    <w:name w:val="Heading 1 application"/>
    <w:basedOn w:val="1"/>
    <w:qFormat/>
    <w:rsid w:val="00003C27"/>
    <w:pPr>
      <w:numPr>
        <w:numId w:val="3"/>
      </w:numPr>
      <w:tabs>
        <w:tab w:val="clear" w:pos="851"/>
        <w:tab w:val="clear" w:pos="1134"/>
        <w:tab w:val="num" w:pos="360"/>
        <w:tab w:val="num" w:pos="720"/>
      </w:tabs>
      <w:spacing w:before="120" w:after="120"/>
      <w:ind w:left="720" w:firstLine="0"/>
    </w:pPr>
    <w:rPr>
      <w:rFonts w:eastAsia="Calibri"/>
    </w:rPr>
  </w:style>
  <w:style w:type="paragraph" w:customStyle="1" w:styleId="Normalapplication">
    <w:name w:val="Normal application"/>
    <w:basedOn w:val="a0"/>
    <w:qFormat/>
    <w:rsid w:val="00003C27"/>
    <w:pPr>
      <w:widowControl w:val="0"/>
      <w:numPr>
        <w:ilvl w:val="2"/>
        <w:numId w:val="3"/>
      </w:numPr>
      <w:tabs>
        <w:tab w:val="left" w:pos="1701"/>
      </w:tabs>
      <w:spacing w:before="120" w:after="120"/>
      <w:jc w:val="both"/>
      <w:outlineLvl w:val="2"/>
    </w:pPr>
    <w:rPr>
      <w:rFonts w:eastAsia="Calibri" w:cs="Helvetica"/>
      <w:sz w:val="28"/>
      <w:szCs w:val="24"/>
      <w:lang w:eastAsia="en-US"/>
    </w:rPr>
  </w:style>
  <w:style w:type="numbering" w:customStyle="1" w:styleId="newnumberingapplications">
    <w:name w:val="new numbering applications"/>
    <w:rsid w:val="00003C27"/>
    <w:pPr>
      <w:numPr>
        <w:numId w:val="2"/>
      </w:numPr>
    </w:pPr>
  </w:style>
  <w:style w:type="character" w:customStyle="1" w:styleId="markedcontent">
    <w:name w:val="markedcontent"/>
    <w:basedOn w:val="a1"/>
    <w:rsid w:val="000C5CA0"/>
  </w:style>
  <w:style w:type="character" w:customStyle="1" w:styleId="6">
    <w:name w:val="Заголовок №6_"/>
    <w:link w:val="60"/>
    <w:uiPriority w:val="99"/>
    <w:locked/>
    <w:rsid w:val="00D93587"/>
    <w:rPr>
      <w:rFonts w:ascii="Arial" w:hAnsi="Arial"/>
      <w:sz w:val="19"/>
    </w:rPr>
  </w:style>
  <w:style w:type="paragraph" w:customStyle="1" w:styleId="60">
    <w:name w:val="Заголовок №6"/>
    <w:basedOn w:val="a0"/>
    <w:link w:val="6"/>
    <w:uiPriority w:val="99"/>
    <w:rsid w:val="00D93587"/>
    <w:pPr>
      <w:spacing w:after="180" w:line="230" w:lineRule="exact"/>
      <w:ind w:hanging="1360"/>
      <w:outlineLvl w:val="5"/>
    </w:pPr>
    <w:rPr>
      <w:rFonts w:ascii="Arial" w:hAnsi="Arial"/>
      <w:sz w:val="19"/>
      <w:lang w:val="ru-RU"/>
    </w:rPr>
  </w:style>
  <w:style w:type="paragraph" w:customStyle="1" w:styleId="tr">
    <w:name w:val="tr"/>
    <w:basedOn w:val="a0"/>
    <w:rsid w:val="007356ED"/>
    <w:pPr>
      <w:spacing w:before="100" w:beforeAutospacing="1" w:after="100" w:afterAutospacing="1"/>
    </w:pPr>
    <w:rPr>
      <w:sz w:val="24"/>
      <w:szCs w:val="24"/>
      <w:lang w:eastAsia="uk-UA"/>
    </w:rPr>
  </w:style>
  <w:style w:type="character" w:customStyle="1" w:styleId="ui-provider">
    <w:name w:val="ui-provider"/>
    <w:basedOn w:val="a1"/>
    <w:rsid w:val="00330DB9"/>
  </w:style>
  <w:style w:type="paragraph" w:customStyle="1" w:styleId="tc">
    <w:name w:val="tc"/>
    <w:basedOn w:val="a0"/>
    <w:rsid w:val="001E11FF"/>
    <w:pPr>
      <w:spacing w:before="100" w:beforeAutospacing="1" w:after="100" w:afterAutospacing="1"/>
    </w:pPr>
    <w:rPr>
      <w:sz w:val="24"/>
      <w:szCs w:val="24"/>
      <w:lang w:eastAsia="uk-UA"/>
    </w:rPr>
  </w:style>
  <w:style w:type="character" w:styleId="aff1">
    <w:name w:val="Placeholder Text"/>
    <w:basedOn w:val="a1"/>
    <w:uiPriority w:val="99"/>
    <w:semiHidden/>
    <w:rsid w:val="001C1205"/>
    <w:rPr>
      <w:color w:val="666666"/>
    </w:rPr>
  </w:style>
  <w:style w:type="paragraph" w:customStyle="1" w:styleId="st2">
    <w:name w:val="st2"/>
    <w:rsid w:val="0085258E"/>
    <w:pPr>
      <w:autoSpaceDE w:val="0"/>
      <w:autoSpaceDN w:val="0"/>
      <w:adjustRightInd w:val="0"/>
      <w:spacing w:after="150"/>
      <w:ind w:firstLine="450"/>
      <w:jc w:val="both"/>
    </w:pPr>
    <w:rPr>
      <w:sz w:val="24"/>
      <w:szCs w:val="24"/>
      <w:lang w:val="uk-UA" w:eastAsia="uk-UA"/>
    </w:rPr>
  </w:style>
  <w:style w:type="paragraph" w:customStyle="1" w:styleId="st14">
    <w:name w:val="st14"/>
    <w:rsid w:val="0085258E"/>
    <w:pPr>
      <w:autoSpaceDE w:val="0"/>
      <w:autoSpaceDN w:val="0"/>
      <w:adjustRightInd w:val="0"/>
      <w:spacing w:before="150" w:after="150"/>
    </w:pPr>
    <w:rPr>
      <w:sz w:val="24"/>
      <w:szCs w:val="24"/>
      <w:lang w:val="uk-UA"/>
    </w:rPr>
  </w:style>
  <w:style w:type="character" w:customStyle="1" w:styleId="st101">
    <w:name w:val="st101"/>
    <w:rsid w:val="0085258E"/>
    <w:rPr>
      <w:b/>
      <w:bCs/>
      <w:color w:val="000000"/>
    </w:rPr>
  </w:style>
  <w:style w:type="character" w:customStyle="1" w:styleId="st40">
    <w:name w:val="st40"/>
    <w:rsid w:val="0085258E"/>
    <w:rPr>
      <w:b/>
      <w:bCs/>
      <w:color w:val="000000"/>
      <w:sz w:val="32"/>
      <w:szCs w:val="32"/>
      <w:vertAlign w:val="subscript"/>
    </w:rPr>
  </w:style>
  <w:style w:type="paragraph" w:styleId="aff2">
    <w:name w:val="Body Text"/>
    <w:basedOn w:val="a0"/>
    <w:link w:val="aff3"/>
    <w:rsid w:val="00C620A0"/>
    <w:pPr>
      <w:suppressAutoHyphens/>
      <w:spacing w:after="140" w:line="276" w:lineRule="auto"/>
    </w:pPr>
    <w:rPr>
      <w:lang w:eastAsia="zh-CN"/>
    </w:rPr>
  </w:style>
  <w:style w:type="character" w:customStyle="1" w:styleId="aff3">
    <w:name w:val="Основний текст Знак"/>
    <w:basedOn w:val="a1"/>
    <w:link w:val="aff2"/>
    <w:rsid w:val="00C620A0"/>
    <w:rPr>
      <w:lang w:val="uk-UA" w:eastAsia="zh-CN"/>
    </w:rPr>
  </w:style>
  <w:style w:type="character" w:customStyle="1" w:styleId="afd">
    <w:name w:val="Без інтервалів Знак"/>
    <w:basedOn w:val="a1"/>
    <w:link w:val="afc"/>
    <w:uiPriority w:val="1"/>
    <w:locked/>
    <w:rsid w:val="003E0173"/>
    <w:rPr>
      <w:rFonts w:asciiTheme="minorHAnsi" w:eastAsiaTheme="minorHAnsi" w:hAnsiTheme="minorHAnsi" w:cstheme="minorBidi"/>
      <w:sz w:val="22"/>
      <w:szCs w:val="22"/>
      <w:lang w:val="uk-UA" w:eastAsia="en-US"/>
    </w:rPr>
  </w:style>
  <w:style w:type="character" w:customStyle="1" w:styleId="fontstyle21">
    <w:name w:val="fontstyle21"/>
    <w:basedOn w:val="a1"/>
    <w:rsid w:val="00D72D91"/>
    <w:rPr>
      <w:rFonts w:ascii="TimesNewRomanPS-BoldMT" w:hAnsi="TimesNewRomanPS-BoldMT" w:hint="default"/>
      <w:b/>
      <w:bCs/>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77715">
      <w:bodyDiv w:val="1"/>
      <w:marLeft w:val="0"/>
      <w:marRight w:val="0"/>
      <w:marTop w:val="0"/>
      <w:marBottom w:val="0"/>
      <w:divBdr>
        <w:top w:val="none" w:sz="0" w:space="0" w:color="auto"/>
        <w:left w:val="none" w:sz="0" w:space="0" w:color="auto"/>
        <w:bottom w:val="none" w:sz="0" w:space="0" w:color="auto"/>
        <w:right w:val="none" w:sz="0" w:space="0" w:color="auto"/>
      </w:divBdr>
    </w:div>
    <w:div w:id="27949094">
      <w:bodyDiv w:val="1"/>
      <w:marLeft w:val="0"/>
      <w:marRight w:val="0"/>
      <w:marTop w:val="0"/>
      <w:marBottom w:val="0"/>
      <w:divBdr>
        <w:top w:val="none" w:sz="0" w:space="0" w:color="auto"/>
        <w:left w:val="none" w:sz="0" w:space="0" w:color="auto"/>
        <w:bottom w:val="none" w:sz="0" w:space="0" w:color="auto"/>
        <w:right w:val="none" w:sz="0" w:space="0" w:color="auto"/>
      </w:divBdr>
    </w:div>
    <w:div w:id="32270949">
      <w:bodyDiv w:val="1"/>
      <w:marLeft w:val="0"/>
      <w:marRight w:val="0"/>
      <w:marTop w:val="0"/>
      <w:marBottom w:val="0"/>
      <w:divBdr>
        <w:top w:val="none" w:sz="0" w:space="0" w:color="auto"/>
        <w:left w:val="none" w:sz="0" w:space="0" w:color="auto"/>
        <w:bottom w:val="none" w:sz="0" w:space="0" w:color="auto"/>
        <w:right w:val="none" w:sz="0" w:space="0" w:color="auto"/>
      </w:divBdr>
    </w:div>
    <w:div w:id="89356962">
      <w:bodyDiv w:val="1"/>
      <w:marLeft w:val="0"/>
      <w:marRight w:val="0"/>
      <w:marTop w:val="0"/>
      <w:marBottom w:val="0"/>
      <w:divBdr>
        <w:top w:val="none" w:sz="0" w:space="0" w:color="auto"/>
        <w:left w:val="none" w:sz="0" w:space="0" w:color="auto"/>
        <w:bottom w:val="none" w:sz="0" w:space="0" w:color="auto"/>
        <w:right w:val="none" w:sz="0" w:space="0" w:color="auto"/>
      </w:divBdr>
      <w:divsChild>
        <w:div w:id="1076585285">
          <w:marLeft w:val="0"/>
          <w:marRight w:val="0"/>
          <w:marTop w:val="0"/>
          <w:marBottom w:val="0"/>
          <w:divBdr>
            <w:top w:val="none" w:sz="0" w:space="0" w:color="auto"/>
            <w:left w:val="none" w:sz="0" w:space="0" w:color="auto"/>
            <w:bottom w:val="none" w:sz="0" w:space="0" w:color="auto"/>
            <w:right w:val="none" w:sz="0" w:space="0" w:color="auto"/>
          </w:divBdr>
        </w:div>
        <w:div w:id="2010595506">
          <w:marLeft w:val="0"/>
          <w:marRight w:val="0"/>
          <w:marTop w:val="0"/>
          <w:marBottom w:val="0"/>
          <w:divBdr>
            <w:top w:val="none" w:sz="0" w:space="0" w:color="auto"/>
            <w:left w:val="none" w:sz="0" w:space="0" w:color="auto"/>
            <w:bottom w:val="none" w:sz="0" w:space="0" w:color="auto"/>
            <w:right w:val="none" w:sz="0" w:space="0" w:color="auto"/>
          </w:divBdr>
        </w:div>
      </w:divsChild>
    </w:div>
    <w:div w:id="96603434">
      <w:bodyDiv w:val="1"/>
      <w:marLeft w:val="0"/>
      <w:marRight w:val="0"/>
      <w:marTop w:val="0"/>
      <w:marBottom w:val="0"/>
      <w:divBdr>
        <w:top w:val="none" w:sz="0" w:space="0" w:color="auto"/>
        <w:left w:val="none" w:sz="0" w:space="0" w:color="auto"/>
        <w:bottom w:val="none" w:sz="0" w:space="0" w:color="auto"/>
        <w:right w:val="none" w:sz="0" w:space="0" w:color="auto"/>
      </w:divBdr>
    </w:div>
    <w:div w:id="137964911">
      <w:bodyDiv w:val="1"/>
      <w:marLeft w:val="0"/>
      <w:marRight w:val="0"/>
      <w:marTop w:val="0"/>
      <w:marBottom w:val="0"/>
      <w:divBdr>
        <w:top w:val="none" w:sz="0" w:space="0" w:color="auto"/>
        <w:left w:val="none" w:sz="0" w:space="0" w:color="auto"/>
        <w:bottom w:val="none" w:sz="0" w:space="0" w:color="auto"/>
        <w:right w:val="none" w:sz="0" w:space="0" w:color="auto"/>
      </w:divBdr>
    </w:div>
    <w:div w:id="150565561">
      <w:bodyDiv w:val="1"/>
      <w:marLeft w:val="0"/>
      <w:marRight w:val="0"/>
      <w:marTop w:val="0"/>
      <w:marBottom w:val="0"/>
      <w:divBdr>
        <w:top w:val="none" w:sz="0" w:space="0" w:color="auto"/>
        <w:left w:val="none" w:sz="0" w:space="0" w:color="auto"/>
        <w:bottom w:val="none" w:sz="0" w:space="0" w:color="auto"/>
        <w:right w:val="none" w:sz="0" w:space="0" w:color="auto"/>
      </w:divBdr>
    </w:div>
    <w:div w:id="160703573">
      <w:bodyDiv w:val="1"/>
      <w:marLeft w:val="0"/>
      <w:marRight w:val="0"/>
      <w:marTop w:val="0"/>
      <w:marBottom w:val="0"/>
      <w:divBdr>
        <w:top w:val="none" w:sz="0" w:space="0" w:color="auto"/>
        <w:left w:val="none" w:sz="0" w:space="0" w:color="auto"/>
        <w:bottom w:val="none" w:sz="0" w:space="0" w:color="auto"/>
        <w:right w:val="none" w:sz="0" w:space="0" w:color="auto"/>
      </w:divBdr>
    </w:div>
    <w:div w:id="192962700">
      <w:bodyDiv w:val="1"/>
      <w:marLeft w:val="0"/>
      <w:marRight w:val="0"/>
      <w:marTop w:val="0"/>
      <w:marBottom w:val="0"/>
      <w:divBdr>
        <w:top w:val="none" w:sz="0" w:space="0" w:color="auto"/>
        <w:left w:val="none" w:sz="0" w:space="0" w:color="auto"/>
        <w:bottom w:val="none" w:sz="0" w:space="0" w:color="auto"/>
        <w:right w:val="none" w:sz="0" w:space="0" w:color="auto"/>
      </w:divBdr>
    </w:div>
    <w:div w:id="219708301">
      <w:bodyDiv w:val="1"/>
      <w:marLeft w:val="0"/>
      <w:marRight w:val="0"/>
      <w:marTop w:val="0"/>
      <w:marBottom w:val="0"/>
      <w:divBdr>
        <w:top w:val="none" w:sz="0" w:space="0" w:color="auto"/>
        <w:left w:val="none" w:sz="0" w:space="0" w:color="auto"/>
        <w:bottom w:val="none" w:sz="0" w:space="0" w:color="auto"/>
        <w:right w:val="none" w:sz="0" w:space="0" w:color="auto"/>
      </w:divBdr>
    </w:div>
    <w:div w:id="225530221">
      <w:bodyDiv w:val="1"/>
      <w:marLeft w:val="0"/>
      <w:marRight w:val="0"/>
      <w:marTop w:val="0"/>
      <w:marBottom w:val="0"/>
      <w:divBdr>
        <w:top w:val="none" w:sz="0" w:space="0" w:color="auto"/>
        <w:left w:val="none" w:sz="0" w:space="0" w:color="auto"/>
        <w:bottom w:val="none" w:sz="0" w:space="0" w:color="auto"/>
        <w:right w:val="none" w:sz="0" w:space="0" w:color="auto"/>
      </w:divBdr>
    </w:div>
    <w:div w:id="256138580">
      <w:bodyDiv w:val="1"/>
      <w:marLeft w:val="0"/>
      <w:marRight w:val="0"/>
      <w:marTop w:val="0"/>
      <w:marBottom w:val="0"/>
      <w:divBdr>
        <w:top w:val="none" w:sz="0" w:space="0" w:color="auto"/>
        <w:left w:val="none" w:sz="0" w:space="0" w:color="auto"/>
        <w:bottom w:val="none" w:sz="0" w:space="0" w:color="auto"/>
        <w:right w:val="none" w:sz="0" w:space="0" w:color="auto"/>
      </w:divBdr>
    </w:div>
    <w:div w:id="330720538">
      <w:bodyDiv w:val="1"/>
      <w:marLeft w:val="0"/>
      <w:marRight w:val="0"/>
      <w:marTop w:val="0"/>
      <w:marBottom w:val="0"/>
      <w:divBdr>
        <w:top w:val="none" w:sz="0" w:space="0" w:color="auto"/>
        <w:left w:val="none" w:sz="0" w:space="0" w:color="auto"/>
        <w:bottom w:val="none" w:sz="0" w:space="0" w:color="auto"/>
        <w:right w:val="none" w:sz="0" w:space="0" w:color="auto"/>
      </w:divBdr>
    </w:div>
    <w:div w:id="368797910">
      <w:bodyDiv w:val="1"/>
      <w:marLeft w:val="0"/>
      <w:marRight w:val="0"/>
      <w:marTop w:val="0"/>
      <w:marBottom w:val="0"/>
      <w:divBdr>
        <w:top w:val="none" w:sz="0" w:space="0" w:color="auto"/>
        <w:left w:val="none" w:sz="0" w:space="0" w:color="auto"/>
        <w:bottom w:val="none" w:sz="0" w:space="0" w:color="auto"/>
        <w:right w:val="none" w:sz="0" w:space="0" w:color="auto"/>
      </w:divBdr>
    </w:div>
    <w:div w:id="387653691">
      <w:bodyDiv w:val="1"/>
      <w:marLeft w:val="0"/>
      <w:marRight w:val="0"/>
      <w:marTop w:val="0"/>
      <w:marBottom w:val="0"/>
      <w:divBdr>
        <w:top w:val="none" w:sz="0" w:space="0" w:color="auto"/>
        <w:left w:val="none" w:sz="0" w:space="0" w:color="auto"/>
        <w:bottom w:val="none" w:sz="0" w:space="0" w:color="auto"/>
        <w:right w:val="none" w:sz="0" w:space="0" w:color="auto"/>
      </w:divBdr>
    </w:div>
    <w:div w:id="408969431">
      <w:bodyDiv w:val="1"/>
      <w:marLeft w:val="0"/>
      <w:marRight w:val="0"/>
      <w:marTop w:val="0"/>
      <w:marBottom w:val="0"/>
      <w:divBdr>
        <w:top w:val="none" w:sz="0" w:space="0" w:color="auto"/>
        <w:left w:val="none" w:sz="0" w:space="0" w:color="auto"/>
        <w:bottom w:val="none" w:sz="0" w:space="0" w:color="auto"/>
        <w:right w:val="none" w:sz="0" w:space="0" w:color="auto"/>
      </w:divBdr>
    </w:div>
    <w:div w:id="424149559">
      <w:bodyDiv w:val="1"/>
      <w:marLeft w:val="0"/>
      <w:marRight w:val="0"/>
      <w:marTop w:val="0"/>
      <w:marBottom w:val="0"/>
      <w:divBdr>
        <w:top w:val="none" w:sz="0" w:space="0" w:color="auto"/>
        <w:left w:val="none" w:sz="0" w:space="0" w:color="auto"/>
        <w:bottom w:val="none" w:sz="0" w:space="0" w:color="auto"/>
        <w:right w:val="none" w:sz="0" w:space="0" w:color="auto"/>
      </w:divBdr>
    </w:div>
    <w:div w:id="430441680">
      <w:bodyDiv w:val="1"/>
      <w:marLeft w:val="0"/>
      <w:marRight w:val="0"/>
      <w:marTop w:val="0"/>
      <w:marBottom w:val="0"/>
      <w:divBdr>
        <w:top w:val="none" w:sz="0" w:space="0" w:color="auto"/>
        <w:left w:val="none" w:sz="0" w:space="0" w:color="auto"/>
        <w:bottom w:val="none" w:sz="0" w:space="0" w:color="auto"/>
        <w:right w:val="none" w:sz="0" w:space="0" w:color="auto"/>
      </w:divBdr>
    </w:div>
    <w:div w:id="455221393">
      <w:bodyDiv w:val="1"/>
      <w:marLeft w:val="0"/>
      <w:marRight w:val="0"/>
      <w:marTop w:val="0"/>
      <w:marBottom w:val="0"/>
      <w:divBdr>
        <w:top w:val="none" w:sz="0" w:space="0" w:color="auto"/>
        <w:left w:val="none" w:sz="0" w:space="0" w:color="auto"/>
        <w:bottom w:val="none" w:sz="0" w:space="0" w:color="auto"/>
        <w:right w:val="none" w:sz="0" w:space="0" w:color="auto"/>
      </w:divBdr>
      <w:divsChild>
        <w:div w:id="993139285">
          <w:marLeft w:val="0"/>
          <w:marRight w:val="0"/>
          <w:marTop w:val="0"/>
          <w:marBottom w:val="0"/>
          <w:divBdr>
            <w:top w:val="none" w:sz="0" w:space="0" w:color="auto"/>
            <w:left w:val="none" w:sz="0" w:space="0" w:color="auto"/>
            <w:bottom w:val="none" w:sz="0" w:space="0" w:color="auto"/>
            <w:right w:val="none" w:sz="0" w:space="0" w:color="auto"/>
          </w:divBdr>
        </w:div>
        <w:div w:id="867527398">
          <w:marLeft w:val="0"/>
          <w:marRight w:val="0"/>
          <w:marTop w:val="0"/>
          <w:marBottom w:val="0"/>
          <w:divBdr>
            <w:top w:val="none" w:sz="0" w:space="0" w:color="auto"/>
            <w:left w:val="none" w:sz="0" w:space="0" w:color="auto"/>
            <w:bottom w:val="none" w:sz="0" w:space="0" w:color="auto"/>
            <w:right w:val="none" w:sz="0" w:space="0" w:color="auto"/>
          </w:divBdr>
        </w:div>
        <w:div w:id="796996876">
          <w:marLeft w:val="0"/>
          <w:marRight w:val="0"/>
          <w:marTop w:val="0"/>
          <w:marBottom w:val="0"/>
          <w:divBdr>
            <w:top w:val="none" w:sz="0" w:space="0" w:color="auto"/>
            <w:left w:val="none" w:sz="0" w:space="0" w:color="auto"/>
            <w:bottom w:val="none" w:sz="0" w:space="0" w:color="auto"/>
            <w:right w:val="none" w:sz="0" w:space="0" w:color="auto"/>
          </w:divBdr>
        </w:div>
      </w:divsChild>
    </w:div>
    <w:div w:id="476921615">
      <w:bodyDiv w:val="1"/>
      <w:marLeft w:val="0"/>
      <w:marRight w:val="0"/>
      <w:marTop w:val="0"/>
      <w:marBottom w:val="0"/>
      <w:divBdr>
        <w:top w:val="none" w:sz="0" w:space="0" w:color="auto"/>
        <w:left w:val="none" w:sz="0" w:space="0" w:color="auto"/>
        <w:bottom w:val="none" w:sz="0" w:space="0" w:color="auto"/>
        <w:right w:val="none" w:sz="0" w:space="0" w:color="auto"/>
      </w:divBdr>
    </w:div>
    <w:div w:id="505292388">
      <w:bodyDiv w:val="1"/>
      <w:marLeft w:val="0"/>
      <w:marRight w:val="0"/>
      <w:marTop w:val="0"/>
      <w:marBottom w:val="0"/>
      <w:divBdr>
        <w:top w:val="none" w:sz="0" w:space="0" w:color="auto"/>
        <w:left w:val="none" w:sz="0" w:space="0" w:color="auto"/>
        <w:bottom w:val="none" w:sz="0" w:space="0" w:color="auto"/>
        <w:right w:val="none" w:sz="0" w:space="0" w:color="auto"/>
      </w:divBdr>
    </w:div>
    <w:div w:id="516313291">
      <w:bodyDiv w:val="1"/>
      <w:marLeft w:val="0"/>
      <w:marRight w:val="0"/>
      <w:marTop w:val="0"/>
      <w:marBottom w:val="0"/>
      <w:divBdr>
        <w:top w:val="none" w:sz="0" w:space="0" w:color="auto"/>
        <w:left w:val="none" w:sz="0" w:space="0" w:color="auto"/>
        <w:bottom w:val="none" w:sz="0" w:space="0" w:color="auto"/>
        <w:right w:val="none" w:sz="0" w:space="0" w:color="auto"/>
      </w:divBdr>
    </w:div>
    <w:div w:id="538206999">
      <w:bodyDiv w:val="1"/>
      <w:marLeft w:val="0"/>
      <w:marRight w:val="0"/>
      <w:marTop w:val="0"/>
      <w:marBottom w:val="0"/>
      <w:divBdr>
        <w:top w:val="none" w:sz="0" w:space="0" w:color="auto"/>
        <w:left w:val="none" w:sz="0" w:space="0" w:color="auto"/>
        <w:bottom w:val="none" w:sz="0" w:space="0" w:color="auto"/>
        <w:right w:val="none" w:sz="0" w:space="0" w:color="auto"/>
      </w:divBdr>
    </w:div>
    <w:div w:id="539054145">
      <w:bodyDiv w:val="1"/>
      <w:marLeft w:val="0"/>
      <w:marRight w:val="0"/>
      <w:marTop w:val="0"/>
      <w:marBottom w:val="0"/>
      <w:divBdr>
        <w:top w:val="none" w:sz="0" w:space="0" w:color="auto"/>
        <w:left w:val="none" w:sz="0" w:space="0" w:color="auto"/>
        <w:bottom w:val="none" w:sz="0" w:space="0" w:color="auto"/>
        <w:right w:val="none" w:sz="0" w:space="0" w:color="auto"/>
      </w:divBdr>
    </w:div>
    <w:div w:id="557940081">
      <w:bodyDiv w:val="1"/>
      <w:marLeft w:val="0"/>
      <w:marRight w:val="0"/>
      <w:marTop w:val="0"/>
      <w:marBottom w:val="0"/>
      <w:divBdr>
        <w:top w:val="none" w:sz="0" w:space="0" w:color="auto"/>
        <w:left w:val="none" w:sz="0" w:space="0" w:color="auto"/>
        <w:bottom w:val="none" w:sz="0" w:space="0" w:color="auto"/>
        <w:right w:val="none" w:sz="0" w:space="0" w:color="auto"/>
      </w:divBdr>
    </w:div>
    <w:div w:id="589239443">
      <w:bodyDiv w:val="1"/>
      <w:marLeft w:val="0"/>
      <w:marRight w:val="0"/>
      <w:marTop w:val="0"/>
      <w:marBottom w:val="0"/>
      <w:divBdr>
        <w:top w:val="none" w:sz="0" w:space="0" w:color="auto"/>
        <w:left w:val="none" w:sz="0" w:space="0" w:color="auto"/>
        <w:bottom w:val="none" w:sz="0" w:space="0" w:color="auto"/>
        <w:right w:val="none" w:sz="0" w:space="0" w:color="auto"/>
      </w:divBdr>
    </w:div>
    <w:div w:id="601647484">
      <w:bodyDiv w:val="1"/>
      <w:marLeft w:val="0"/>
      <w:marRight w:val="0"/>
      <w:marTop w:val="0"/>
      <w:marBottom w:val="0"/>
      <w:divBdr>
        <w:top w:val="none" w:sz="0" w:space="0" w:color="auto"/>
        <w:left w:val="none" w:sz="0" w:space="0" w:color="auto"/>
        <w:bottom w:val="none" w:sz="0" w:space="0" w:color="auto"/>
        <w:right w:val="none" w:sz="0" w:space="0" w:color="auto"/>
      </w:divBdr>
    </w:div>
    <w:div w:id="616525503">
      <w:bodyDiv w:val="1"/>
      <w:marLeft w:val="0"/>
      <w:marRight w:val="0"/>
      <w:marTop w:val="0"/>
      <w:marBottom w:val="0"/>
      <w:divBdr>
        <w:top w:val="none" w:sz="0" w:space="0" w:color="auto"/>
        <w:left w:val="none" w:sz="0" w:space="0" w:color="auto"/>
        <w:bottom w:val="none" w:sz="0" w:space="0" w:color="auto"/>
        <w:right w:val="none" w:sz="0" w:space="0" w:color="auto"/>
      </w:divBdr>
    </w:div>
    <w:div w:id="635720814">
      <w:bodyDiv w:val="1"/>
      <w:marLeft w:val="0"/>
      <w:marRight w:val="0"/>
      <w:marTop w:val="0"/>
      <w:marBottom w:val="0"/>
      <w:divBdr>
        <w:top w:val="none" w:sz="0" w:space="0" w:color="auto"/>
        <w:left w:val="none" w:sz="0" w:space="0" w:color="auto"/>
        <w:bottom w:val="none" w:sz="0" w:space="0" w:color="auto"/>
        <w:right w:val="none" w:sz="0" w:space="0" w:color="auto"/>
      </w:divBdr>
    </w:div>
    <w:div w:id="639579843">
      <w:bodyDiv w:val="1"/>
      <w:marLeft w:val="0"/>
      <w:marRight w:val="0"/>
      <w:marTop w:val="0"/>
      <w:marBottom w:val="0"/>
      <w:divBdr>
        <w:top w:val="none" w:sz="0" w:space="0" w:color="auto"/>
        <w:left w:val="none" w:sz="0" w:space="0" w:color="auto"/>
        <w:bottom w:val="none" w:sz="0" w:space="0" w:color="auto"/>
        <w:right w:val="none" w:sz="0" w:space="0" w:color="auto"/>
      </w:divBdr>
    </w:div>
    <w:div w:id="648707142">
      <w:bodyDiv w:val="1"/>
      <w:marLeft w:val="0"/>
      <w:marRight w:val="0"/>
      <w:marTop w:val="0"/>
      <w:marBottom w:val="0"/>
      <w:divBdr>
        <w:top w:val="none" w:sz="0" w:space="0" w:color="auto"/>
        <w:left w:val="none" w:sz="0" w:space="0" w:color="auto"/>
        <w:bottom w:val="none" w:sz="0" w:space="0" w:color="auto"/>
        <w:right w:val="none" w:sz="0" w:space="0" w:color="auto"/>
      </w:divBdr>
    </w:div>
    <w:div w:id="659886104">
      <w:bodyDiv w:val="1"/>
      <w:marLeft w:val="0"/>
      <w:marRight w:val="0"/>
      <w:marTop w:val="0"/>
      <w:marBottom w:val="0"/>
      <w:divBdr>
        <w:top w:val="none" w:sz="0" w:space="0" w:color="auto"/>
        <w:left w:val="none" w:sz="0" w:space="0" w:color="auto"/>
        <w:bottom w:val="none" w:sz="0" w:space="0" w:color="auto"/>
        <w:right w:val="none" w:sz="0" w:space="0" w:color="auto"/>
      </w:divBdr>
    </w:div>
    <w:div w:id="672268842">
      <w:bodyDiv w:val="1"/>
      <w:marLeft w:val="0"/>
      <w:marRight w:val="0"/>
      <w:marTop w:val="0"/>
      <w:marBottom w:val="0"/>
      <w:divBdr>
        <w:top w:val="none" w:sz="0" w:space="0" w:color="auto"/>
        <w:left w:val="none" w:sz="0" w:space="0" w:color="auto"/>
        <w:bottom w:val="none" w:sz="0" w:space="0" w:color="auto"/>
        <w:right w:val="none" w:sz="0" w:space="0" w:color="auto"/>
      </w:divBdr>
    </w:div>
    <w:div w:id="696274087">
      <w:bodyDiv w:val="1"/>
      <w:marLeft w:val="0"/>
      <w:marRight w:val="0"/>
      <w:marTop w:val="0"/>
      <w:marBottom w:val="0"/>
      <w:divBdr>
        <w:top w:val="none" w:sz="0" w:space="0" w:color="auto"/>
        <w:left w:val="none" w:sz="0" w:space="0" w:color="auto"/>
        <w:bottom w:val="none" w:sz="0" w:space="0" w:color="auto"/>
        <w:right w:val="none" w:sz="0" w:space="0" w:color="auto"/>
      </w:divBdr>
    </w:div>
    <w:div w:id="704524817">
      <w:bodyDiv w:val="1"/>
      <w:marLeft w:val="0"/>
      <w:marRight w:val="0"/>
      <w:marTop w:val="0"/>
      <w:marBottom w:val="0"/>
      <w:divBdr>
        <w:top w:val="none" w:sz="0" w:space="0" w:color="auto"/>
        <w:left w:val="none" w:sz="0" w:space="0" w:color="auto"/>
        <w:bottom w:val="none" w:sz="0" w:space="0" w:color="auto"/>
        <w:right w:val="none" w:sz="0" w:space="0" w:color="auto"/>
      </w:divBdr>
    </w:div>
    <w:div w:id="706880267">
      <w:bodyDiv w:val="1"/>
      <w:marLeft w:val="0"/>
      <w:marRight w:val="0"/>
      <w:marTop w:val="0"/>
      <w:marBottom w:val="0"/>
      <w:divBdr>
        <w:top w:val="none" w:sz="0" w:space="0" w:color="auto"/>
        <w:left w:val="none" w:sz="0" w:space="0" w:color="auto"/>
        <w:bottom w:val="none" w:sz="0" w:space="0" w:color="auto"/>
        <w:right w:val="none" w:sz="0" w:space="0" w:color="auto"/>
      </w:divBdr>
    </w:div>
    <w:div w:id="756100750">
      <w:bodyDiv w:val="1"/>
      <w:marLeft w:val="0"/>
      <w:marRight w:val="0"/>
      <w:marTop w:val="0"/>
      <w:marBottom w:val="0"/>
      <w:divBdr>
        <w:top w:val="none" w:sz="0" w:space="0" w:color="auto"/>
        <w:left w:val="none" w:sz="0" w:space="0" w:color="auto"/>
        <w:bottom w:val="none" w:sz="0" w:space="0" w:color="auto"/>
        <w:right w:val="none" w:sz="0" w:space="0" w:color="auto"/>
      </w:divBdr>
    </w:div>
    <w:div w:id="768353480">
      <w:bodyDiv w:val="1"/>
      <w:marLeft w:val="0"/>
      <w:marRight w:val="0"/>
      <w:marTop w:val="0"/>
      <w:marBottom w:val="0"/>
      <w:divBdr>
        <w:top w:val="none" w:sz="0" w:space="0" w:color="auto"/>
        <w:left w:val="none" w:sz="0" w:space="0" w:color="auto"/>
        <w:bottom w:val="none" w:sz="0" w:space="0" w:color="auto"/>
        <w:right w:val="none" w:sz="0" w:space="0" w:color="auto"/>
      </w:divBdr>
    </w:div>
    <w:div w:id="840854010">
      <w:bodyDiv w:val="1"/>
      <w:marLeft w:val="0"/>
      <w:marRight w:val="0"/>
      <w:marTop w:val="0"/>
      <w:marBottom w:val="0"/>
      <w:divBdr>
        <w:top w:val="none" w:sz="0" w:space="0" w:color="auto"/>
        <w:left w:val="none" w:sz="0" w:space="0" w:color="auto"/>
        <w:bottom w:val="none" w:sz="0" w:space="0" w:color="auto"/>
        <w:right w:val="none" w:sz="0" w:space="0" w:color="auto"/>
      </w:divBdr>
    </w:div>
    <w:div w:id="844251675">
      <w:bodyDiv w:val="1"/>
      <w:marLeft w:val="0"/>
      <w:marRight w:val="0"/>
      <w:marTop w:val="0"/>
      <w:marBottom w:val="0"/>
      <w:divBdr>
        <w:top w:val="none" w:sz="0" w:space="0" w:color="auto"/>
        <w:left w:val="none" w:sz="0" w:space="0" w:color="auto"/>
        <w:bottom w:val="none" w:sz="0" w:space="0" w:color="auto"/>
        <w:right w:val="none" w:sz="0" w:space="0" w:color="auto"/>
      </w:divBdr>
    </w:div>
    <w:div w:id="864713958">
      <w:bodyDiv w:val="1"/>
      <w:marLeft w:val="0"/>
      <w:marRight w:val="0"/>
      <w:marTop w:val="0"/>
      <w:marBottom w:val="0"/>
      <w:divBdr>
        <w:top w:val="none" w:sz="0" w:space="0" w:color="auto"/>
        <w:left w:val="none" w:sz="0" w:space="0" w:color="auto"/>
        <w:bottom w:val="none" w:sz="0" w:space="0" w:color="auto"/>
        <w:right w:val="none" w:sz="0" w:space="0" w:color="auto"/>
      </w:divBdr>
    </w:div>
    <w:div w:id="870848285">
      <w:bodyDiv w:val="1"/>
      <w:marLeft w:val="0"/>
      <w:marRight w:val="0"/>
      <w:marTop w:val="0"/>
      <w:marBottom w:val="0"/>
      <w:divBdr>
        <w:top w:val="none" w:sz="0" w:space="0" w:color="auto"/>
        <w:left w:val="none" w:sz="0" w:space="0" w:color="auto"/>
        <w:bottom w:val="none" w:sz="0" w:space="0" w:color="auto"/>
        <w:right w:val="none" w:sz="0" w:space="0" w:color="auto"/>
      </w:divBdr>
    </w:div>
    <w:div w:id="880090260">
      <w:bodyDiv w:val="1"/>
      <w:marLeft w:val="0"/>
      <w:marRight w:val="0"/>
      <w:marTop w:val="0"/>
      <w:marBottom w:val="0"/>
      <w:divBdr>
        <w:top w:val="none" w:sz="0" w:space="0" w:color="auto"/>
        <w:left w:val="none" w:sz="0" w:space="0" w:color="auto"/>
        <w:bottom w:val="none" w:sz="0" w:space="0" w:color="auto"/>
        <w:right w:val="none" w:sz="0" w:space="0" w:color="auto"/>
      </w:divBdr>
    </w:div>
    <w:div w:id="881357023">
      <w:bodyDiv w:val="1"/>
      <w:marLeft w:val="0"/>
      <w:marRight w:val="0"/>
      <w:marTop w:val="0"/>
      <w:marBottom w:val="0"/>
      <w:divBdr>
        <w:top w:val="none" w:sz="0" w:space="0" w:color="auto"/>
        <w:left w:val="none" w:sz="0" w:space="0" w:color="auto"/>
        <w:bottom w:val="none" w:sz="0" w:space="0" w:color="auto"/>
        <w:right w:val="none" w:sz="0" w:space="0" w:color="auto"/>
      </w:divBdr>
    </w:div>
    <w:div w:id="904607397">
      <w:bodyDiv w:val="1"/>
      <w:marLeft w:val="0"/>
      <w:marRight w:val="0"/>
      <w:marTop w:val="0"/>
      <w:marBottom w:val="0"/>
      <w:divBdr>
        <w:top w:val="none" w:sz="0" w:space="0" w:color="auto"/>
        <w:left w:val="none" w:sz="0" w:space="0" w:color="auto"/>
        <w:bottom w:val="none" w:sz="0" w:space="0" w:color="auto"/>
        <w:right w:val="none" w:sz="0" w:space="0" w:color="auto"/>
      </w:divBdr>
    </w:div>
    <w:div w:id="919633170">
      <w:bodyDiv w:val="1"/>
      <w:marLeft w:val="0"/>
      <w:marRight w:val="0"/>
      <w:marTop w:val="0"/>
      <w:marBottom w:val="0"/>
      <w:divBdr>
        <w:top w:val="none" w:sz="0" w:space="0" w:color="auto"/>
        <w:left w:val="none" w:sz="0" w:space="0" w:color="auto"/>
        <w:bottom w:val="none" w:sz="0" w:space="0" w:color="auto"/>
        <w:right w:val="none" w:sz="0" w:space="0" w:color="auto"/>
      </w:divBdr>
    </w:div>
    <w:div w:id="960772020">
      <w:bodyDiv w:val="1"/>
      <w:marLeft w:val="0"/>
      <w:marRight w:val="0"/>
      <w:marTop w:val="0"/>
      <w:marBottom w:val="0"/>
      <w:divBdr>
        <w:top w:val="none" w:sz="0" w:space="0" w:color="auto"/>
        <w:left w:val="none" w:sz="0" w:space="0" w:color="auto"/>
        <w:bottom w:val="none" w:sz="0" w:space="0" w:color="auto"/>
        <w:right w:val="none" w:sz="0" w:space="0" w:color="auto"/>
      </w:divBdr>
    </w:div>
    <w:div w:id="961958935">
      <w:bodyDiv w:val="1"/>
      <w:marLeft w:val="0"/>
      <w:marRight w:val="0"/>
      <w:marTop w:val="0"/>
      <w:marBottom w:val="0"/>
      <w:divBdr>
        <w:top w:val="none" w:sz="0" w:space="0" w:color="auto"/>
        <w:left w:val="none" w:sz="0" w:space="0" w:color="auto"/>
        <w:bottom w:val="none" w:sz="0" w:space="0" w:color="auto"/>
        <w:right w:val="none" w:sz="0" w:space="0" w:color="auto"/>
      </w:divBdr>
    </w:div>
    <w:div w:id="991175802">
      <w:bodyDiv w:val="1"/>
      <w:marLeft w:val="0"/>
      <w:marRight w:val="0"/>
      <w:marTop w:val="0"/>
      <w:marBottom w:val="0"/>
      <w:divBdr>
        <w:top w:val="none" w:sz="0" w:space="0" w:color="auto"/>
        <w:left w:val="none" w:sz="0" w:space="0" w:color="auto"/>
        <w:bottom w:val="none" w:sz="0" w:space="0" w:color="auto"/>
        <w:right w:val="none" w:sz="0" w:space="0" w:color="auto"/>
      </w:divBdr>
    </w:div>
    <w:div w:id="1022051509">
      <w:bodyDiv w:val="1"/>
      <w:marLeft w:val="0"/>
      <w:marRight w:val="0"/>
      <w:marTop w:val="0"/>
      <w:marBottom w:val="0"/>
      <w:divBdr>
        <w:top w:val="none" w:sz="0" w:space="0" w:color="auto"/>
        <w:left w:val="none" w:sz="0" w:space="0" w:color="auto"/>
        <w:bottom w:val="none" w:sz="0" w:space="0" w:color="auto"/>
        <w:right w:val="none" w:sz="0" w:space="0" w:color="auto"/>
      </w:divBdr>
    </w:div>
    <w:div w:id="1033190471">
      <w:bodyDiv w:val="1"/>
      <w:marLeft w:val="0"/>
      <w:marRight w:val="0"/>
      <w:marTop w:val="0"/>
      <w:marBottom w:val="0"/>
      <w:divBdr>
        <w:top w:val="none" w:sz="0" w:space="0" w:color="auto"/>
        <w:left w:val="none" w:sz="0" w:space="0" w:color="auto"/>
        <w:bottom w:val="none" w:sz="0" w:space="0" w:color="auto"/>
        <w:right w:val="none" w:sz="0" w:space="0" w:color="auto"/>
      </w:divBdr>
    </w:div>
    <w:div w:id="1043289731">
      <w:bodyDiv w:val="1"/>
      <w:marLeft w:val="0"/>
      <w:marRight w:val="0"/>
      <w:marTop w:val="0"/>
      <w:marBottom w:val="0"/>
      <w:divBdr>
        <w:top w:val="none" w:sz="0" w:space="0" w:color="auto"/>
        <w:left w:val="none" w:sz="0" w:space="0" w:color="auto"/>
        <w:bottom w:val="none" w:sz="0" w:space="0" w:color="auto"/>
        <w:right w:val="none" w:sz="0" w:space="0" w:color="auto"/>
      </w:divBdr>
    </w:div>
    <w:div w:id="1122384764">
      <w:bodyDiv w:val="1"/>
      <w:marLeft w:val="0"/>
      <w:marRight w:val="0"/>
      <w:marTop w:val="0"/>
      <w:marBottom w:val="0"/>
      <w:divBdr>
        <w:top w:val="none" w:sz="0" w:space="0" w:color="auto"/>
        <w:left w:val="none" w:sz="0" w:space="0" w:color="auto"/>
        <w:bottom w:val="none" w:sz="0" w:space="0" w:color="auto"/>
        <w:right w:val="none" w:sz="0" w:space="0" w:color="auto"/>
      </w:divBdr>
    </w:div>
    <w:div w:id="1153449579">
      <w:bodyDiv w:val="1"/>
      <w:marLeft w:val="0"/>
      <w:marRight w:val="0"/>
      <w:marTop w:val="0"/>
      <w:marBottom w:val="0"/>
      <w:divBdr>
        <w:top w:val="none" w:sz="0" w:space="0" w:color="auto"/>
        <w:left w:val="none" w:sz="0" w:space="0" w:color="auto"/>
        <w:bottom w:val="none" w:sz="0" w:space="0" w:color="auto"/>
        <w:right w:val="none" w:sz="0" w:space="0" w:color="auto"/>
      </w:divBdr>
    </w:div>
    <w:div w:id="1158497346">
      <w:bodyDiv w:val="1"/>
      <w:marLeft w:val="0"/>
      <w:marRight w:val="0"/>
      <w:marTop w:val="0"/>
      <w:marBottom w:val="0"/>
      <w:divBdr>
        <w:top w:val="none" w:sz="0" w:space="0" w:color="auto"/>
        <w:left w:val="none" w:sz="0" w:space="0" w:color="auto"/>
        <w:bottom w:val="none" w:sz="0" w:space="0" w:color="auto"/>
        <w:right w:val="none" w:sz="0" w:space="0" w:color="auto"/>
      </w:divBdr>
    </w:div>
    <w:div w:id="1170869428">
      <w:bodyDiv w:val="1"/>
      <w:marLeft w:val="0"/>
      <w:marRight w:val="0"/>
      <w:marTop w:val="0"/>
      <w:marBottom w:val="0"/>
      <w:divBdr>
        <w:top w:val="none" w:sz="0" w:space="0" w:color="auto"/>
        <w:left w:val="none" w:sz="0" w:space="0" w:color="auto"/>
        <w:bottom w:val="none" w:sz="0" w:space="0" w:color="auto"/>
        <w:right w:val="none" w:sz="0" w:space="0" w:color="auto"/>
      </w:divBdr>
    </w:div>
    <w:div w:id="1190684081">
      <w:bodyDiv w:val="1"/>
      <w:marLeft w:val="0"/>
      <w:marRight w:val="0"/>
      <w:marTop w:val="0"/>
      <w:marBottom w:val="0"/>
      <w:divBdr>
        <w:top w:val="none" w:sz="0" w:space="0" w:color="auto"/>
        <w:left w:val="none" w:sz="0" w:space="0" w:color="auto"/>
        <w:bottom w:val="none" w:sz="0" w:space="0" w:color="auto"/>
        <w:right w:val="none" w:sz="0" w:space="0" w:color="auto"/>
      </w:divBdr>
    </w:div>
    <w:div w:id="1212960372">
      <w:bodyDiv w:val="1"/>
      <w:marLeft w:val="0"/>
      <w:marRight w:val="0"/>
      <w:marTop w:val="0"/>
      <w:marBottom w:val="0"/>
      <w:divBdr>
        <w:top w:val="none" w:sz="0" w:space="0" w:color="auto"/>
        <w:left w:val="none" w:sz="0" w:space="0" w:color="auto"/>
        <w:bottom w:val="none" w:sz="0" w:space="0" w:color="auto"/>
        <w:right w:val="none" w:sz="0" w:space="0" w:color="auto"/>
      </w:divBdr>
    </w:div>
    <w:div w:id="1231306590">
      <w:bodyDiv w:val="1"/>
      <w:marLeft w:val="0"/>
      <w:marRight w:val="0"/>
      <w:marTop w:val="0"/>
      <w:marBottom w:val="0"/>
      <w:divBdr>
        <w:top w:val="none" w:sz="0" w:space="0" w:color="auto"/>
        <w:left w:val="none" w:sz="0" w:space="0" w:color="auto"/>
        <w:bottom w:val="none" w:sz="0" w:space="0" w:color="auto"/>
        <w:right w:val="none" w:sz="0" w:space="0" w:color="auto"/>
      </w:divBdr>
    </w:div>
    <w:div w:id="1232734594">
      <w:bodyDiv w:val="1"/>
      <w:marLeft w:val="0"/>
      <w:marRight w:val="0"/>
      <w:marTop w:val="0"/>
      <w:marBottom w:val="0"/>
      <w:divBdr>
        <w:top w:val="none" w:sz="0" w:space="0" w:color="auto"/>
        <w:left w:val="none" w:sz="0" w:space="0" w:color="auto"/>
        <w:bottom w:val="none" w:sz="0" w:space="0" w:color="auto"/>
        <w:right w:val="none" w:sz="0" w:space="0" w:color="auto"/>
      </w:divBdr>
    </w:div>
    <w:div w:id="1239899592">
      <w:bodyDiv w:val="1"/>
      <w:marLeft w:val="0"/>
      <w:marRight w:val="0"/>
      <w:marTop w:val="0"/>
      <w:marBottom w:val="0"/>
      <w:divBdr>
        <w:top w:val="none" w:sz="0" w:space="0" w:color="auto"/>
        <w:left w:val="none" w:sz="0" w:space="0" w:color="auto"/>
        <w:bottom w:val="none" w:sz="0" w:space="0" w:color="auto"/>
        <w:right w:val="none" w:sz="0" w:space="0" w:color="auto"/>
      </w:divBdr>
    </w:div>
    <w:div w:id="1289236407">
      <w:bodyDiv w:val="1"/>
      <w:marLeft w:val="0"/>
      <w:marRight w:val="0"/>
      <w:marTop w:val="0"/>
      <w:marBottom w:val="0"/>
      <w:divBdr>
        <w:top w:val="none" w:sz="0" w:space="0" w:color="auto"/>
        <w:left w:val="none" w:sz="0" w:space="0" w:color="auto"/>
        <w:bottom w:val="none" w:sz="0" w:space="0" w:color="auto"/>
        <w:right w:val="none" w:sz="0" w:space="0" w:color="auto"/>
      </w:divBdr>
    </w:div>
    <w:div w:id="1289436654">
      <w:bodyDiv w:val="1"/>
      <w:marLeft w:val="0"/>
      <w:marRight w:val="0"/>
      <w:marTop w:val="0"/>
      <w:marBottom w:val="0"/>
      <w:divBdr>
        <w:top w:val="none" w:sz="0" w:space="0" w:color="auto"/>
        <w:left w:val="none" w:sz="0" w:space="0" w:color="auto"/>
        <w:bottom w:val="none" w:sz="0" w:space="0" w:color="auto"/>
        <w:right w:val="none" w:sz="0" w:space="0" w:color="auto"/>
      </w:divBdr>
    </w:div>
    <w:div w:id="1298754156">
      <w:bodyDiv w:val="1"/>
      <w:marLeft w:val="0"/>
      <w:marRight w:val="0"/>
      <w:marTop w:val="0"/>
      <w:marBottom w:val="0"/>
      <w:divBdr>
        <w:top w:val="none" w:sz="0" w:space="0" w:color="auto"/>
        <w:left w:val="none" w:sz="0" w:space="0" w:color="auto"/>
        <w:bottom w:val="none" w:sz="0" w:space="0" w:color="auto"/>
        <w:right w:val="none" w:sz="0" w:space="0" w:color="auto"/>
      </w:divBdr>
    </w:div>
    <w:div w:id="1308776848">
      <w:bodyDiv w:val="1"/>
      <w:marLeft w:val="0"/>
      <w:marRight w:val="0"/>
      <w:marTop w:val="0"/>
      <w:marBottom w:val="0"/>
      <w:divBdr>
        <w:top w:val="none" w:sz="0" w:space="0" w:color="auto"/>
        <w:left w:val="none" w:sz="0" w:space="0" w:color="auto"/>
        <w:bottom w:val="none" w:sz="0" w:space="0" w:color="auto"/>
        <w:right w:val="none" w:sz="0" w:space="0" w:color="auto"/>
      </w:divBdr>
    </w:div>
    <w:div w:id="1333339226">
      <w:bodyDiv w:val="1"/>
      <w:marLeft w:val="0"/>
      <w:marRight w:val="0"/>
      <w:marTop w:val="0"/>
      <w:marBottom w:val="0"/>
      <w:divBdr>
        <w:top w:val="none" w:sz="0" w:space="0" w:color="auto"/>
        <w:left w:val="none" w:sz="0" w:space="0" w:color="auto"/>
        <w:bottom w:val="none" w:sz="0" w:space="0" w:color="auto"/>
        <w:right w:val="none" w:sz="0" w:space="0" w:color="auto"/>
      </w:divBdr>
    </w:div>
    <w:div w:id="1339229951">
      <w:bodyDiv w:val="1"/>
      <w:marLeft w:val="0"/>
      <w:marRight w:val="0"/>
      <w:marTop w:val="0"/>
      <w:marBottom w:val="0"/>
      <w:divBdr>
        <w:top w:val="none" w:sz="0" w:space="0" w:color="auto"/>
        <w:left w:val="none" w:sz="0" w:space="0" w:color="auto"/>
        <w:bottom w:val="none" w:sz="0" w:space="0" w:color="auto"/>
        <w:right w:val="none" w:sz="0" w:space="0" w:color="auto"/>
      </w:divBdr>
    </w:div>
    <w:div w:id="1342273147">
      <w:bodyDiv w:val="1"/>
      <w:marLeft w:val="0"/>
      <w:marRight w:val="0"/>
      <w:marTop w:val="0"/>
      <w:marBottom w:val="0"/>
      <w:divBdr>
        <w:top w:val="none" w:sz="0" w:space="0" w:color="auto"/>
        <w:left w:val="none" w:sz="0" w:space="0" w:color="auto"/>
        <w:bottom w:val="none" w:sz="0" w:space="0" w:color="auto"/>
        <w:right w:val="none" w:sz="0" w:space="0" w:color="auto"/>
      </w:divBdr>
    </w:div>
    <w:div w:id="1383752445">
      <w:bodyDiv w:val="1"/>
      <w:marLeft w:val="0"/>
      <w:marRight w:val="0"/>
      <w:marTop w:val="0"/>
      <w:marBottom w:val="0"/>
      <w:divBdr>
        <w:top w:val="none" w:sz="0" w:space="0" w:color="auto"/>
        <w:left w:val="none" w:sz="0" w:space="0" w:color="auto"/>
        <w:bottom w:val="none" w:sz="0" w:space="0" w:color="auto"/>
        <w:right w:val="none" w:sz="0" w:space="0" w:color="auto"/>
      </w:divBdr>
    </w:div>
    <w:div w:id="1405760057">
      <w:bodyDiv w:val="1"/>
      <w:marLeft w:val="0"/>
      <w:marRight w:val="0"/>
      <w:marTop w:val="0"/>
      <w:marBottom w:val="0"/>
      <w:divBdr>
        <w:top w:val="none" w:sz="0" w:space="0" w:color="auto"/>
        <w:left w:val="none" w:sz="0" w:space="0" w:color="auto"/>
        <w:bottom w:val="none" w:sz="0" w:space="0" w:color="auto"/>
        <w:right w:val="none" w:sz="0" w:space="0" w:color="auto"/>
      </w:divBdr>
    </w:div>
    <w:div w:id="1406486474">
      <w:bodyDiv w:val="1"/>
      <w:marLeft w:val="0"/>
      <w:marRight w:val="0"/>
      <w:marTop w:val="0"/>
      <w:marBottom w:val="0"/>
      <w:divBdr>
        <w:top w:val="none" w:sz="0" w:space="0" w:color="auto"/>
        <w:left w:val="none" w:sz="0" w:space="0" w:color="auto"/>
        <w:bottom w:val="none" w:sz="0" w:space="0" w:color="auto"/>
        <w:right w:val="none" w:sz="0" w:space="0" w:color="auto"/>
      </w:divBdr>
    </w:div>
    <w:div w:id="1417288746">
      <w:bodyDiv w:val="1"/>
      <w:marLeft w:val="0"/>
      <w:marRight w:val="0"/>
      <w:marTop w:val="0"/>
      <w:marBottom w:val="0"/>
      <w:divBdr>
        <w:top w:val="none" w:sz="0" w:space="0" w:color="auto"/>
        <w:left w:val="none" w:sz="0" w:space="0" w:color="auto"/>
        <w:bottom w:val="none" w:sz="0" w:space="0" w:color="auto"/>
        <w:right w:val="none" w:sz="0" w:space="0" w:color="auto"/>
      </w:divBdr>
    </w:div>
    <w:div w:id="1426998616">
      <w:bodyDiv w:val="1"/>
      <w:marLeft w:val="0"/>
      <w:marRight w:val="0"/>
      <w:marTop w:val="0"/>
      <w:marBottom w:val="0"/>
      <w:divBdr>
        <w:top w:val="none" w:sz="0" w:space="0" w:color="auto"/>
        <w:left w:val="none" w:sz="0" w:space="0" w:color="auto"/>
        <w:bottom w:val="none" w:sz="0" w:space="0" w:color="auto"/>
        <w:right w:val="none" w:sz="0" w:space="0" w:color="auto"/>
      </w:divBdr>
    </w:div>
    <w:div w:id="1431659297">
      <w:bodyDiv w:val="1"/>
      <w:marLeft w:val="0"/>
      <w:marRight w:val="0"/>
      <w:marTop w:val="0"/>
      <w:marBottom w:val="0"/>
      <w:divBdr>
        <w:top w:val="none" w:sz="0" w:space="0" w:color="auto"/>
        <w:left w:val="none" w:sz="0" w:space="0" w:color="auto"/>
        <w:bottom w:val="none" w:sz="0" w:space="0" w:color="auto"/>
        <w:right w:val="none" w:sz="0" w:space="0" w:color="auto"/>
      </w:divBdr>
    </w:div>
    <w:div w:id="1433546603">
      <w:bodyDiv w:val="1"/>
      <w:marLeft w:val="0"/>
      <w:marRight w:val="0"/>
      <w:marTop w:val="0"/>
      <w:marBottom w:val="0"/>
      <w:divBdr>
        <w:top w:val="none" w:sz="0" w:space="0" w:color="auto"/>
        <w:left w:val="none" w:sz="0" w:space="0" w:color="auto"/>
        <w:bottom w:val="none" w:sz="0" w:space="0" w:color="auto"/>
        <w:right w:val="none" w:sz="0" w:space="0" w:color="auto"/>
      </w:divBdr>
    </w:div>
    <w:div w:id="1444304378">
      <w:bodyDiv w:val="1"/>
      <w:marLeft w:val="0"/>
      <w:marRight w:val="0"/>
      <w:marTop w:val="0"/>
      <w:marBottom w:val="0"/>
      <w:divBdr>
        <w:top w:val="none" w:sz="0" w:space="0" w:color="auto"/>
        <w:left w:val="none" w:sz="0" w:space="0" w:color="auto"/>
        <w:bottom w:val="none" w:sz="0" w:space="0" w:color="auto"/>
        <w:right w:val="none" w:sz="0" w:space="0" w:color="auto"/>
      </w:divBdr>
    </w:div>
    <w:div w:id="1476333676">
      <w:bodyDiv w:val="1"/>
      <w:marLeft w:val="0"/>
      <w:marRight w:val="0"/>
      <w:marTop w:val="0"/>
      <w:marBottom w:val="0"/>
      <w:divBdr>
        <w:top w:val="none" w:sz="0" w:space="0" w:color="auto"/>
        <w:left w:val="none" w:sz="0" w:space="0" w:color="auto"/>
        <w:bottom w:val="none" w:sz="0" w:space="0" w:color="auto"/>
        <w:right w:val="none" w:sz="0" w:space="0" w:color="auto"/>
      </w:divBdr>
    </w:div>
    <w:div w:id="1490363777">
      <w:bodyDiv w:val="1"/>
      <w:marLeft w:val="0"/>
      <w:marRight w:val="0"/>
      <w:marTop w:val="0"/>
      <w:marBottom w:val="0"/>
      <w:divBdr>
        <w:top w:val="none" w:sz="0" w:space="0" w:color="auto"/>
        <w:left w:val="none" w:sz="0" w:space="0" w:color="auto"/>
        <w:bottom w:val="none" w:sz="0" w:space="0" w:color="auto"/>
        <w:right w:val="none" w:sz="0" w:space="0" w:color="auto"/>
      </w:divBdr>
    </w:div>
    <w:div w:id="1499737203">
      <w:bodyDiv w:val="1"/>
      <w:marLeft w:val="0"/>
      <w:marRight w:val="0"/>
      <w:marTop w:val="0"/>
      <w:marBottom w:val="0"/>
      <w:divBdr>
        <w:top w:val="none" w:sz="0" w:space="0" w:color="auto"/>
        <w:left w:val="none" w:sz="0" w:space="0" w:color="auto"/>
        <w:bottom w:val="none" w:sz="0" w:space="0" w:color="auto"/>
        <w:right w:val="none" w:sz="0" w:space="0" w:color="auto"/>
      </w:divBdr>
    </w:div>
    <w:div w:id="1505977964">
      <w:bodyDiv w:val="1"/>
      <w:marLeft w:val="0"/>
      <w:marRight w:val="0"/>
      <w:marTop w:val="0"/>
      <w:marBottom w:val="0"/>
      <w:divBdr>
        <w:top w:val="none" w:sz="0" w:space="0" w:color="auto"/>
        <w:left w:val="none" w:sz="0" w:space="0" w:color="auto"/>
        <w:bottom w:val="none" w:sz="0" w:space="0" w:color="auto"/>
        <w:right w:val="none" w:sz="0" w:space="0" w:color="auto"/>
      </w:divBdr>
    </w:div>
    <w:div w:id="1522083198">
      <w:bodyDiv w:val="1"/>
      <w:marLeft w:val="0"/>
      <w:marRight w:val="0"/>
      <w:marTop w:val="0"/>
      <w:marBottom w:val="0"/>
      <w:divBdr>
        <w:top w:val="none" w:sz="0" w:space="0" w:color="auto"/>
        <w:left w:val="none" w:sz="0" w:space="0" w:color="auto"/>
        <w:bottom w:val="none" w:sz="0" w:space="0" w:color="auto"/>
        <w:right w:val="none" w:sz="0" w:space="0" w:color="auto"/>
      </w:divBdr>
    </w:div>
    <w:div w:id="1558055649">
      <w:bodyDiv w:val="1"/>
      <w:marLeft w:val="0"/>
      <w:marRight w:val="0"/>
      <w:marTop w:val="0"/>
      <w:marBottom w:val="0"/>
      <w:divBdr>
        <w:top w:val="none" w:sz="0" w:space="0" w:color="auto"/>
        <w:left w:val="none" w:sz="0" w:space="0" w:color="auto"/>
        <w:bottom w:val="none" w:sz="0" w:space="0" w:color="auto"/>
        <w:right w:val="none" w:sz="0" w:space="0" w:color="auto"/>
      </w:divBdr>
      <w:divsChild>
        <w:div w:id="452141210">
          <w:marLeft w:val="0"/>
          <w:marRight w:val="0"/>
          <w:marTop w:val="0"/>
          <w:marBottom w:val="0"/>
          <w:divBdr>
            <w:top w:val="none" w:sz="0" w:space="0" w:color="auto"/>
            <w:left w:val="none" w:sz="0" w:space="0" w:color="auto"/>
            <w:bottom w:val="none" w:sz="0" w:space="0" w:color="auto"/>
            <w:right w:val="none" w:sz="0" w:space="0" w:color="auto"/>
          </w:divBdr>
        </w:div>
        <w:div w:id="935404887">
          <w:marLeft w:val="0"/>
          <w:marRight w:val="0"/>
          <w:marTop w:val="0"/>
          <w:marBottom w:val="0"/>
          <w:divBdr>
            <w:top w:val="none" w:sz="0" w:space="0" w:color="auto"/>
            <w:left w:val="none" w:sz="0" w:space="0" w:color="auto"/>
            <w:bottom w:val="none" w:sz="0" w:space="0" w:color="auto"/>
            <w:right w:val="none" w:sz="0" w:space="0" w:color="auto"/>
          </w:divBdr>
        </w:div>
        <w:div w:id="332688574">
          <w:marLeft w:val="0"/>
          <w:marRight w:val="0"/>
          <w:marTop w:val="0"/>
          <w:marBottom w:val="0"/>
          <w:divBdr>
            <w:top w:val="none" w:sz="0" w:space="0" w:color="auto"/>
            <w:left w:val="none" w:sz="0" w:space="0" w:color="auto"/>
            <w:bottom w:val="none" w:sz="0" w:space="0" w:color="auto"/>
            <w:right w:val="none" w:sz="0" w:space="0" w:color="auto"/>
          </w:divBdr>
        </w:div>
        <w:div w:id="1783331396">
          <w:marLeft w:val="0"/>
          <w:marRight w:val="0"/>
          <w:marTop w:val="0"/>
          <w:marBottom w:val="0"/>
          <w:divBdr>
            <w:top w:val="none" w:sz="0" w:space="0" w:color="auto"/>
            <w:left w:val="none" w:sz="0" w:space="0" w:color="auto"/>
            <w:bottom w:val="none" w:sz="0" w:space="0" w:color="auto"/>
            <w:right w:val="none" w:sz="0" w:space="0" w:color="auto"/>
          </w:divBdr>
        </w:div>
        <w:div w:id="527649133">
          <w:marLeft w:val="0"/>
          <w:marRight w:val="0"/>
          <w:marTop w:val="0"/>
          <w:marBottom w:val="0"/>
          <w:divBdr>
            <w:top w:val="none" w:sz="0" w:space="0" w:color="auto"/>
            <w:left w:val="none" w:sz="0" w:space="0" w:color="auto"/>
            <w:bottom w:val="none" w:sz="0" w:space="0" w:color="auto"/>
            <w:right w:val="none" w:sz="0" w:space="0" w:color="auto"/>
          </w:divBdr>
        </w:div>
        <w:div w:id="2143888921">
          <w:marLeft w:val="0"/>
          <w:marRight w:val="0"/>
          <w:marTop w:val="0"/>
          <w:marBottom w:val="0"/>
          <w:divBdr>
            <w:top w:val="none" w:sz="0" w:space="0" w:color="auto"/>
            <w:left w:val="none" w:sz="0" w:space="0" w:color="auto"/>
            <w:bottom w:val="none" w:sz="0" w:space="0" w:color="auto"/>
            <w:right w:val="none" w:sz="0" w:space="0" w:color="auto"/>
          </w:divBdr>
        </w:div>
        <w:div w:id="669720468">
          <w:marLeft w:val="0"/>
          <w:marRight w:val="0"/>
          <w:marTop w:val="0"/>
          <w:marBottom w:val="0"/>
          <w:divBdr>
            <w:top w:val="none" w:sz="0" w:space="0" w:color="auto"/>
            <w:left w:val="none" w:sz="0" w:space="0" w:color="auto"/>
            <w:bottom w:val="none" w:sz="0" w:space="0" w:color="auto"/>
            <w:right w:val="none" w:sz="0" w:space="0" w:color="auto"/>
          </w:divBdr>
        </w:div>
        <w:div w:id="1866794277">
          <w:marLeft w:val="0"/>
          <w:marRight w:val="0"/>
          <w:marTop w:val="0"/>
          <w:marBottom w:val="0"/>
          <w:divBdr>
            <w:top w:val="none" w:sz="0" w:space="0" w:color="auto"/>
            <w:left w:val="none" w:sz="0" w:space="0" w:color="auto"/>
            <w:bottom w:val="none" w:sz="0" w:space="0" w:color="auto"/>
            <w:right w:val="none" w:sz="0" w:space="0" w:color="auto"/>
          </w:divBdr>
        </w:div>
      </w:divsChild>
    </w:div>
    <w:div w:id="1560248016">
      <w:bodyDiv w:val="1"/>
      <w:marLeft w:val="0"/>
      <w:marRight w:val="0"/>
      <w:marTop w:val="0"/>
      <w:marBottom w:val="0"/>
      <w:divBdr>
        <w:top w:val="none" w:sz="0" w:space="0" w:color="auto"/>
        <w:left w:val="none" w:sz="0" w:space="0" w:color="auto"/>
        <w:bottom w:val="none" w:sz="0" w:space="0" w:color="auto"/>
        <w:right w:val="none" w:sz="0" w:space="0" w:color="auto"/>
      </w:divBdr>
    </w:div>
    <w:div w:id="1574122017">
      <w:bodyDiv w:val="1"/>
      <w:marLeft w:val="0"/>
      <w:marRight w:val="0"/>
      <w:marTop w:val="0"/>
      <w:marBottom w:val="0"/>
      <w:divBdr>
        <w:top w:val="none" w:sz="0" w:space="0" w:color="auto"/>
        <w:left w:val="none" w:sz="0" w:space="0" w:color="auto"/>
        <w:bottom w:val="none" w:sz="0" w:space="0" w:color="auto"/>
        <w:right w:val="none" w:sz="0" w:space="0" w:color="auto"/>
      </w:divBdr>
    </w:div>
    <w:div w:id="1588924783">
      <w:bodyDiv w:val="1"/>
      <w:marLeft w:val="0"/>
      <w:marRight w:val="0"/>
      <w:marTop w:val="0"/>
      <w:marBottom w:val="0"/>
      <w:divBdr>
        <w:top w:val="none" w:sz="0" w:space="0" w:color="auto"/>
        <w:left w:val="none" w:sz="0" w:space="0" w:color="auto"/>
        <w:bottom w:val="none" w:sz="0" w:space="0" w:color="auto"/>
        <w:right w:val="none" w:sz="0" w:space="0" w:color="auto"/>
      </w:divBdr>
    </w:div>
    <w:div w:id="1600330699">
      <w:bodyDiv w:val="1"/>
      <w:marLeft w:val="0"/>
      <w:marRight w:val="0"/>
      <w:marTop w:val="0"/>
      <w:marBottom w:val="0"/>
      <w:divBdr>
        <w:top w:val="none" w:sz="0" w:space="0" w:color="auto"/>
        <w:left w:val="none" w:sz="0" w:space="0" w:color="auto"/>
        <w:bottom w:val="none" w:sz="0" w:space="0" w:color="auto"/>
        <w:right w:val="none" w:sz="0" w:space="0" w:color="auto"/>
      </w:divBdr>
    </w:div>
    <w:div w:id="1601717256">
      <w:bodyDiv w:val="1"/>
      <w:marLeft w:val="0"/>
      <w:marRight w:val="0"/>
      <w:marTop w:val="0"/>
      <w:marBottom w:val="0"/>
      <w:divBdr>
        <w:top w:val="none" w:sz="0" w:space="0" w:color="auto"/>
        <w:left w:val="none" w:sz="0" w:space="0" w:color="auto"/>
        <w:bottom w:val="none" w:sz="0" w:space="0" w:color="auto"/>
        <w:right w:val="none" w:sz="0" w:space="0" w:color="auto"/>
      </w:divBdr>
    </w:div>
    <w:div w:id="1656379029">
      <w:bodyDiv w:val="1"/>
      <w:marLeft w:val="0"/>
      <w:marRight w:val="0"/>
      <w:marTop w:val="0"/>
      <w:marBottom w:val="0"/>
      <w:divBdr>
        <w:top w:val="none" w:sz="0" w:space="0" w:color="auto"/>
        <w:left w:val="none" w:sz="0" w:space="0" w:color="auto"/>
        <w:bottom w:val="none" w:sz="0" w:space="0" w:color="auto"/>
        <w:right w:val="none" w:sz="0" w:space="0" w:color="auto"/>
      </w:divBdr>
    </w:div>
    <w:div w:id="1668316129">
      <w:bodyDiv w:val="1"/>
      <w:marLeft w:val="0"/>
      <w:marRight w:val="0"/>
      <w:marTop w:val="0"/>
      <w:marBottom w:val="0"/>
      <w:divBdr>
        <w:top w:val="none" w:sz="0" w:space="0" w:color="auto"/>
        <w:left w:val="none" w:sz="0" w:space="0" w:color="auto"/>
        <w:bottom w:val="none" w:sz="0" w:space="0" w:color="auto"/>
        <w:right w:val="none" w:sz="0" w:space="0" w:color="auto"/>
      </w:divBdr>
    </w:div>
    <w:div w:id="1676566566">
      <w:bodyDiv w:val="1"/>
      <w:marLeft w:val="0"/>
      <w:marRight w:val="0"/>
      <w:marTop w:val="0"/>
      <w:marBottom w:val="0"/>
      <w:divBdr>
        <w:top w:val="none" w:sz="0" w:space="0" w:color="auto"/>
        <w:left w:val="none" w:sz="0" w:space="0" w:color="auto"/>
        <w:bottom w:val="none" w:sz="0" w:space="0" w:color="auto"/>
        <w:right w:val="none" w:sz="0" w:space="0" w:color="auto"/>
      </w:divBdr>
    </w:div>
    <w:div w:id="1679187891">
      <w:bodyDiv w:val="1"/>
      <w:marLeft w:val="0"/>
      <w:marRight w:val="0"/>
      <w:marTop w:val="0"/>
      <w:marBottom w:val="0"/>
      <w:divBdr>
        <w:top w:val="none" w:sz="0" w:space="0" w:color="auto"/>
        <w:left w:val="none" w:sz="0" w:space="0" w:color="auto"/>
        <w:bottom w:val="none" w:sz="0" w:space="0" w:color="auto"/>
        <w:right w:val="none" w:sz="0" w:space="0" w:color="auto"/>
      </w:divBdr>
    </w:div>
    <w:div w:id="1711031345">
      <w:bodyDiv w:val="1"/>
      <w:marLeft w:val="0"/>
      <w:marRight w:val="0"/>
      <w:marTop w:val="0"/>
      <w:marBottom w:val="0"/>
      <w:divBdr>
        <w:top w:val="none" w:sz="0" w:space="0" w:color="auto"/>
        <w:left w:val="none" w:sz="0" w:space="0" w:color="auto"/>
        <w:bottom w:val="none" w:sz="0" w:space="0" w:color="auto"/>
        <w:right w:val="none" w:sz="0" w:space="0" w:color="auto"/>
      </w:divBdr>
    </w:div>
    <w:div w:id="1713337347">
      <w:bodyDiv w:val="1"/>
      <w:marLeft w:val="0"/>
      <w:marRight w:val="0"/>
      <w:marTop w:val="0"/>
      <w:marBottom w:val="0"/>
      <w:divBdr>
        <w:top w:val="none" w:sz="0" w:space="0" w:color="auto"/>
        <w:left w:val="none" w:sz="0" w:space="0" w:color="auto"/>
        <w:bottom w:val="none" w:sz="0" w:space="0" w:color="auto"/>
        <w:right w:val="none" w:sz="0" w:space="0" w:color="auto"/>
      </w:divBdr>
    </w:div>
    <w:div w:id="1730765999">
      <w:bodyDiv w:val="1"/>
      <w:marLeft w:val="0"/>
      <w:marRight w:val="0"/>
      <w:marTop w:val="0"/>
      <w:marBottom w:val="0"/>
      <w:divBdr>
        <w:top w:val="none" w:sz="0" w:space="0" w:color="auto"/>
        <w:left w:val="none" w:sz="0" w:space="0" w:color="auto"/>
        <w:bottom w:val="none" w:sz="0" w:space="0" w:color="auto"/>
        <w:right w:val="none" w:sz="0" w:space="0" w:color="auto"/>
      </w:divBdr>
    </w:div>
    <w:div w:id="1740395059">
      <w:bodyDiv w:val="1"/>
      <w:marLeft w:val="0"/>
      <w:marRight w:val="0"/>
      <w:marTop w:val="0"/>
      <w:marBottom w:val="0"/>
      <w:divBdr>
        <w:top w:val="none" w:sz="0" w:space="0" w:color="auto"/>
        <w:left w:val="none" w:sz="0" w:space="0" w:color="auto"/>
        <w:bottom w:val="none" w:sz="0" w:space="0" w:color="auto"/>
        <w:right w:val="none" w:sz="0" w:space="0" w:color="auto"/>
      </w:divBdr>
    </w:div>
    <w:div w:id="1810781322">
      <w:bodyDiv w:val="1"/>
      <w:marLeft w:val="0"/>
      <w:marRight w:val="0"/>
      <w:marTop w:val="0"/>
      <w:marBottom w:val="0"/>
      <w:divBdr>
        <w:top w:val="none" w:sz="0" w:space="0" w:color="auto"/>
        <w:left w:val="none" w:sz="0" w:space="0" w:color="auto"/>
        <w:bottom w:val="none" w:sz="0" w:space="0" w:color="auto"/>
        <w:right w:val="none" w:sz="0" w:space="0" w:color="auto"/>
      </w:divBdr>
    </w:div>
    <w:div w:id="1811554828">
      <w:bodyDiv w:val="1"/>
      <w:marLeft w:val="0"/>
      <w:marRight w:val="0"/>
      <w:marTop w:val="0"/>
      <w:marBottom w:val="0"/>
      <w:divBdr>
        <w:top w:val="none" w:sz="0" w:space="0" w:color="auto"/>
        <w:left w:val="none" w:sz="0" w:space="0" w:color="auto"/>
        <w:bottom w:val="none" w:sz="0" w:space="0" w:color="auto"/>
        <w:right w:val="none" w:sz="0" w:space="0" w:color="auto"/>
      </w:divBdr>
    </w:div>
    <w:div w:id="1846700092">
      <w:bodyDiv w:val="1"/>
      <w:marLeft w:val="0"/>
      <w:marRight w:val="0"/>
      <w:marTop w:val="0"/>
      <w:marBottom w:val="0"/>
      <w:divBdr>
        <w:top w:val="none" w:sz="0" w:space="0" w:color="auto"/>
        <w:left w:val="none" w:sz="0" w:space="0" w:color="auto"/>
        <w:bottom w:val="none" w:sz="0" w:space="0" w:color="auto"/>
        <w:right w:val="none" w:sz="0" w:space="0" w:color="auto"/>
      </w:divBdr>
    </w:div>
    <w:div w:id="1846825714">
      <w:bodyDiv w:val="1"/>
      <w:marLeft w:val="0"/>
      <w:marRight w:val="0"/>
      <w:marTop w:val="0"/>
      <w:marBottom w:val="0"/>
      <w:divBdr>
        <w:top w:val="none" w:sz="0" w:space="0" w:color="auto"/>
        <w:left w:val="none" w:sz="0" w:space="0" w:color="auto"/>
        <w:bottom w:val="none" w:sz="0" w:space="0" w:color="auto"/>
        <w:right w:val="none" w:sz="0" w:space="0" w:color="auto"/>
      </w:divBdr>
    </w:div>
    <w:div w:id="1865240496">
      <w:bodyDiv w:val="1"/>
      <w:marLeft w:val="0"/>
      <w:marRight w:val="0"/>
      <w:marTop w:val="0"/>
      <w:marBottom w:val="0"/>
      <w:divBdr>
        <w:top w:val="none" w:sz="0" w:space="0" w:color="auto"/>
        <w:left w:val="none" w:sz="0" w:space="0" w:color="auto"/>
        <w:bottom w:val="none" w:sz="0" w:space="0" w:color="auto"/>
        <w:right w:val="none" w:sz="0" w:space="0" w:color="auto"/>
      </w:divBdr>
    </w:div>
    <w:div w:id="1867979738">
      <w:bodyDiv w:val="1"/>
      <w:marLeft w:val="0"/>
      <w:marRight w:val="0"/>
      <w:marTop w:val="0"/>
      <w:marBottom w:val="0"/>
      <w:divBdr>
        <w:top w:val="none" w:sz="0" w:space="0" w:color="auto"/>
        <w:left w:val="none" w:sz="0" w:space="0" w:color="auto"/>
        <w:bottom w:val="none" w:sz="0" w:space="0" w:color="auto"/>
        <w:right w:val="none" w:sz="0" w:space="0" w:color="auto"/>
      </w:divBdr>
    </w:div>
    <w:div w:id="1964844181">
      <w:bodyDiv w:val="1"/>
      <w:marLeft w:val="0"/>
      <w:marRight w:val="0"/>
      <w:marTop w:val="0"/>
      <w:marBottom w:val="0"/>
      <w:divBdr>
        <w:top w:val="none" w:sz="0" w:space="0" w:color="auto"/>
        <w:left w:val="none" w:sz="0" w:space="0" w:color="auto"/>
        <w:bottom w:val="none" w:sz="0" w:space="0" w:color="auto"/>
        <w:right w:val="none" w:sz="0" w:space="0" w:color="auto"/>
      </w:divBdr>
    </w:div>
    <w:div w:id="2011449506">
      <w:bodyDiv w:val="1"/>
      <w:marLeft w:val="0"/>
      <w:marRight w:val="0"/>
      <w:marTop w:val="0"/>
      <w:marBottom w:val="0"/>
      <w:divBdr>
        <w:top w:val="none" w:sz="0" w:space="0" w:color="auto"/>
        <w:left w:val="none" w:sz="0" w:space="0" w:color="auto"/>
        <w:bottom w:val="none" w:sz="0" w:space="0" w:color="auto"/>
        <w:right w:val="none" w:sz="0" w:space="0" w:color="auto"/>
      </w:divBdr>
    </w:div>
    <w:div w:id="2022464361">
      <w:bodyDiv w:val="1"/>
      <w:marLeft w:val="0"/>
      <w:marRight w:val="0"/>
      <w:marTop w:val="0"/>
      <w:marBottom w:val="0"/>
      <w:divBdr>
        <w:top w:val="none" w:sz="0" w:space="0" w:color="auto"/>
        <w:left w:val="none" w:sz="0" w:space="0" w:color="auto"/>
        <w:bottom w:val="none" w:sz="0" w:space="0" w:color="auto"/>
        <w:right w:val="none" w:sz="0" w:space="0" w:color="auto"/>
      </w:divBdr>
    </w:div>
    <w:div w:id="2026713284">
      <w:bodyDiv w:val="1"/>
      <w:marLeft w:val="0"/>
      <w:marRight w:val="0"/>
      <w:marTop w:val="0"/>
      <w:marBottom w:val="0"/>
      <w:divBdr>
        <w:top w:val="none" w:sz="0" w:space="0" w:color="auto"/>
        <w:left w:val="none" w:sz="0" w:space="0" w:color="auto"/>
        <w:bottom w:val="none" w:sz="0" w:space="0" w:color="auto"/>
        <w:right w:val="none" w:sz="0" w:space="0" w:color="auto"/>
      </w:divBdr>
    </w:div>
    <w:div w:id="2076277906">
      <w:bodyDiv w:val="1"/>
      <w:marLeft w:val="0"/>
      <w:marRight w:val="0"/>
      <w:marTop w:val="0"/>
      <w:marBottom w:val="0"/>
      <w:divBdr>
        <w:top w:val="none" w:sz="0" w:space="0" w:color="auto"/>
        <w:left w:val="none" w:sz="0" w:space="0" w:color="auto"/>
        <w:bottom w:val="none" w:sz="0" w:space="0" w:color="auto"/>
        <w:right w:val="none" w:sz="0" w:space="0" w:color="auto"/>
      </w:divBdr>
    </w:div>
    <w:div w:id="2104300474">
      <w:bodyDiv w:val="1"/>
      <w:marLeft w:val="0"/>
      <w:marRight w:val="0"/>
      <w:marTop w:val="0"/>
      <w:marBottom w:val="0"/>
      <w:divBdr>
        <w:top w:val="none" w:sz="0" w:space="0" w:color="auto"/>
        <w:left w:val="none" w:sz="0" w:space="0" w:color="auto"/>
        <w:bottom w:val="none" w:sz="0" w:space="0" w:color="auto"/>
        <w:right w:val="none" w:sz="0" w:space="0" w:color="auto"/>
      </w:divBdr>
    </w:div>
    <w:div w:id="214657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6.gif"/><Relationship Id="rId18" Type="http://schemas.openxmlformats.org/officeDocument/2006/relationships/image" Target="media/image11.gif"/><Relationship Id="rId26" Type="http://schemas.openxmlformats.org/officeDocument/2006/relationships/image" Target="media/image12.gif"/><Relationship Id="rId3" Type="http://schemas.openxmlformats.org/officeDocument/2006/relationships/styles" Target="styles.xml"/><Relationship Id="rId21" Type="http://schemas.openxmlformats.org/officeDocument/2006/relationships/hyperlink" Target="https://zakon-pro.ligazakon.net/document/GK58441?ed=2025_03_11&amp;an=120" TargetMode="External"/><Relationship Id="rId7" Type="http://schemas.openxmlformats.org/officeDocument/2006/relationships/endnotes" Target="endnotes.xml"/><Relationship Id="rId12" Type="http://schemas.openxmlformats.org/officeDocument/2006/relationships/image" Target="media/image5.gif"/><Relationship Id="rId17" Type="http://schemas.openxmlformats.org/officeDocument/2006/relationships/image" Target="media/image10.gif"/><Relationship Id="rId25" Type="http://schemas.openxmlformats.org/officeDocument/2006/relationships/hyperlink" Target="https://zakon.rada.gov.ua/laws/file/imgs/133/p480580n124v1-57.emf" TargetMode="External"/><Relationship Id="rId2" Type="http://schemas.openxmlformats.org/officeDocument/2006/relationships/numbering" Target="numbering.xml"/><Relationship Id="rId16" Type="http://schemas.openxmlformats.org/officeDocument/2006/relationships/image" Target="media/image9.gif"/><Relationship Id="rId20" Type="http://schemas.openxmlformats.org/officeDocument/2006/relationships/hyperlink" Target="https://zakon-pro.ligazakon.net/document/GK52834?ed=2022_12_20&amp;an=4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gif"/><Relationship Id="rId24" Type="http://schemas.openxmlformats.org/officeDocument/2006/relationships/hyperlink" Target="https://zakon-pro.ligazakon.net/document/GK52834?ed=2022_12_20&amp;an=43" TargetMode="External"/><Relationship Id="rId5" Type="http://schemas.openxmlformats.org/officeDocument/2006/relationships/webSettings" Target="webSettings.xml"/><Relationship Id="rId15" Type="http://schemas.openxmlformats.org/officeDocument/2006/relationships/image" Target="media/image8.gif"/><Relationship Id="rId23" Type="http://schemas.openxmlformats.org/officeDocument/2006/relationships/hyperlink" Target="https://zakon-pro.ligazakon.net/document/GK56068?ed=2024_02_22&amp;an=207" TargetMode="External"/><Relationship Id="rId28" Type="http://schemas.openxmlformats.org/officeDocument/2006/relationships/fontTable" Target="fontTable.xml"/><Relationship Id="rId10" Type="http://schemas.openxmlformats.org/officeDocument/2006/relationships/image" Target="media/image3.gif"/><Relationship Id="rId19" Type="http://schemas.openxmlformats.org/officeDocument/2006/relationships/hyperlink" Target="https://zakon-pro.ligazakon.net/document/GK58441?ed=2025_03_11&amp;an=89" TargetMode="Externa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image" Target="media/image7.gif"/><Relationship Id="rId22" Type="http://schemas.openxmlformats.org/officeDocument/2006/relationships/hyperlink" Target="https://zakon-pro.ligazakon.net/document/GK56068?ed=2024_02_22&amp;an=207" TargetMode="External"/><Relationship Id="rId27"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AFB6F1-17F1-46CD-83CE-44DA68BDF6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104</Pages>
  <Words>119257</Words>
  <Characters>67977</Characters>
  <Application>Microsoft Office Word</Application>
  <DocSecurity>0</DocSecurity>
  <Lines>566</Lines>
  <Paragraphs>373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Редакція до змін</vt:lpstr>
      <vt:lpstr>Редакція до змін</vt:lpstr>
    </vt:vector>
  </TitlesOfParts>
  <Company>microsoft</Company>
  <LinksUpToDate>false</LinksUpToDate>
  <CharactersWithSpaces>186861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Редакція до змін</dc:title>
  <dc:subject/>
  <dc:creator>Rusnak</dc:creator>
  <cp:keywords/>
  <cp:lastModifiedBy>Григорій Туленко</cp:lastModifiedBy>
  <cp:revision>9</cp:revision>
  <cp:lastPrinted>2020-06-17T14:01:00Z</cp:lastPrinted>
  <dcterms:created xsi:type="dcterms:W3CDTF">2026-02-27T08:49:00Z</dcterms:created>
  <dcterms:modified xsi:type="dcterms:W3CDTF">2026-02-27T13:28:00Z</dcterms:modified>
</cp:coreProperties>
</file>