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3C8" w:rsidRDefault="007D6159" w:rsidP="0020092A">
      <w:pPr>
        <w:jc w:val="center"/>
        <w:rPr>
          <w:b/>
          <w:sz w:val="24"/>
          <w:szCs w:val="24"/>
        </w:rPr>
      </w:pPr>
      <w:r w:rsidRPr="007D6159">
        <w:rPr>
          <w:b/>
          <w:bCs/>
          <w:sz w:val="24"/>
          <w:szCs w:val="24"/>
        </w:rPr>
        <w:t>Узагальнені зауваження та пропозиції</w:t>
      </w:r>
      <w:r w:rsidRPr="007D6159">
        <w:rPr>
          <w:b/>
          <w:sz w:val="24"/>
          <w:szCs w:val="24"/>
        </w:rPr>
        <w:t xml:space="preserve"> </w:t>
      </w:r>
      <w:r w:rsidR="00792BD9" w:rsidRPr="0020092A">
        <w:rPr>
          <w:b/>
          <w:sz w:val="24"/>
          <w:szCs w:val="24"/>
        </w:rPr>
        <w:t>до про</w:t>
      </w:r>
      <w:r w:rsidR="009E295C" w:rsidRPr="0020092A">
        <w:rPr>
          <w:b/>
          <w:sz w:val="24"/>
          <w:szCs w:val="24"/>
        </w:rPr>
        <w:t>є</w:t>
      </w:r>
      <w:r w:rsidR="00792BD9" w:rsidRPr="0020092A">
        <w:rPr>
          <w:b/>
          <w:sz w:val="24"/>
          <w:szCs w:val="24"/>
        </w:rPr>
        <w:t>кту</w:t>
      </w:r>
      <w:r w:rsidR="00D431F9" w:rsidRPr="00D431F9">
        <w:rPr>
          <w:sz w:val="28"/>
          <w:szCs w:val="28"/>
        </w:rPr>
        <w:t xml:space="preserve"> </w:t>
      </w:r>
      <w:r w:rsidR="00D431F9" w:rsidRPr="00D431F9">
        <w:rPr>
          <w:b/>
          <w:sz w:val="24"/>
          <w:szCs w:val="24"/>
        </w:rPr>
        <w:t>рішення, що має ознаки регуляторного акта, –</w:t>
      </w:r>
      <w:r w:rsidR="00792BD9" w:rsidRPr="0020092A">
        <w:rPr>
          <w:b/>
          <w:sz w:val="24"/>
          <w:szCs w:val="24"/>
        </w:rPr>
        <w:t xml:space="preserve"> постанови</w:t>
      </w:r>
      <w:r w:rsidR="003C73C8" w:rsidRPr="003C73C8">
        <w:rPr>
          <w:b/>
          <w:sz w:val="24"/>
          <w:szCs w:val="24"/>
        </w:rPr>
        <w:t xml:space="preserve"> НКРЕКП «</w:t>
      </w:r>
      <w:r w:rsidR="00410EBB" w:rsidRPr="00410EBB">
        <w:rPr>
          <w:b/>
          <w:sz w:val="24"/>
          <w:szCs w:val="24"/>
        </w:rPr>
        <w:t>Про внесення змін до постанови Національної комісії, що здійснює державне регулювання у сфері енергетики, від 26 липня 2013 року № 102</w:t>
      </w:r>
      <w:r w:rsidR="00410EBB">
        <w:rPr>
          <w:b/>
          <w:sz w:val="24"/>
          <w:szCs w:val="24"/>
        </w:rPr>
        <w:t>9</w:t>
      </w:r>
      <w:r w:rsidR="003C73C8" w:rsidRPr="003C73C8">
        <w:rPr>
          <w:b/>
          <w:sz w:val="24"/>
          <w:szCs w:val="24"/>
        </w:rPr>
        <w:t xml:space="preserve">» </w:t>
      </w:r>
    </w:p>
    <w:p w:rsidR="009E295C" w:rsidRPr="004A4421" w:rsidRDefault="009E295C" w:rsidP="00792BD9"/>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4"/>
        <w:gridCol w:w="6804"/>
        <w:gridCol w:w="3402"/>
      </w:tblGrid>
      <w:tr w:rsidR="007D6159" w:rsidRPr="00581A4E" w:rsidTr="00962805">
        <w:tc>
          <w:tcPr>
            <w:tcW w:w="5274" w:type="dxa"/>
          </w:tcPr>
          <w:p w:rsidR="0091139B" w:rsidRPr="008F2AB9" w:rsidRDefault="0091139B" w:rsidP="00943BE5">
            <w:pPr>
              <w:contextualSpacing/>
              <w:jc w:val="center"/>
              <w:rPr>
                <w:b/>
                <w:sz w:val="24"/>
                <w:szCs w:val="24"/>
              </w:rPr>
            </w:pPr>
          </w:p>
          <w:p w:rsidR="007D6159" w:rsidRPr="00581A4E" w:rsidRDefault="00C9054D" w:rsidP="00943BE5">
            <w:pPr>
              <w:contextualSpacing/>
              <w:jc w:val="center"/>
              <w:rPr>
                <w:b/>
                <w:sz w:val="24"/>
                <w:szCs w:val="24"/>
              </w:rPr>
            </w:pPr>
            <w:r w:rsidRPr="00581A4E">
              <w:rPr>
                <w:b/>
                <w:sz w:val="24"/>
                <w:szCs w:val="24"/>
              </w:rPr>
              <w:t>Редакція проєкту рішення НКРЕКП</w:t>
            </w:r>
          </w:p>
        </w:tc>
        <w:tc>
          <w:tcPr>
            <w:tcW w:w="6804" w:type="dxa"/>
          </w:tcPr>
          <w:p w:rsidR="0091139B" w:rsidRPr="00581A4E" w:rsidRDefault="0091139B" w:rsidP="00C9054D">
            <w:pPr>
              <w:contextualSpacing/>
              <w:jc w:val="center"/>
              <w:rPr>
                <w:b/>
                <w:sz w:val="24"/>
                <w:szCs w:val="24"/>
              </w:rPr>
            </w:pPr>
          </w:p>
          <w:p w:rsidR="00C9054D" w:rsidRPr="00581A4E" w:rsidRDefault="00C9054D" w:rsidP="00C9054D">
            <w:pPr>
              <w:contextualSpacing/>
              <w:jc w:val="center"/>
              <w:rPr>
                <w:b/>
                <w:sz w:val="24"/>
                <w:szCs w:val="24"/>
              </w:rPr>
            </w:pPr>
            <w:r w:rsidRPr="00581A4E">
              <w:rPr>
                <w:b/>
                <w:sz w:val="24"/>
                <w:szCs w:val="24"/>
              </w:rPr>
              <w:t>Зауваження та пропозиції</w:t>
            </w:r>
          </w:p>
          <w:p w:rsidR="007D6159" w:rsidRPr="00581A4E" w:rsidRDefault="00C9054D" w:rsidP="00C9054D">
            <w:pPr>
              <w:contextualSpacing/>
              <w:jc w:val="center"/>
              <w:rPr>
                <w:b/>
                <w:sz w:val="24"/>
                <w:szCs w:val="24"/>
              </w:rPr>
            </w:pPr>
            <w:r w:rsidRPr="00581A4E">
              <w:rPr>
                <w:b/>
                <w:sz w:val="24"/>
                <w:szCs w:val="24"/>
              </w:rPr>
              <w:t>до проєкту рішення НКРЕКП</w:t>
            </w:r>
          </w:p>
        </w:tc>
        <w:tc>
          <w:tcPr>
            <w:tcW w:w="3402" w:type="dxa"/>
          </w:tcPr>
          <w:p w:rsidR="007D6159" w:rsidRPr="00581A4E" w:rsidRDefault="0041475C" w:rsidP="007D6159">
            <w:pPr>
              <w:tabs>
                <w:tab w:val="left" w:pos="8340"/>
                <w:tab w:val="left" w:pos="11614"/>
              </w:tabs>
              <w:contextualSpacing/>
              <w:jc w:val="center"/>
              <w:rPr>
                <w:b/>
                <w:sz w:val="24"/>
                <w:szCs w:val="24"/>
              </w:rPr>
            </w:pPr>
            <w:r w:rsidRPr="00581A4E">
              <w:rPr>
                <w:b/>
                <w:sz w:val="24"/>
                <w:szCs w:val="24"/>
              </w:rPr>
              <w:t>Попередня позиція НКРЕКП щодо наданих зауважень та пропозицій з обґрунтуваннями щодо прийняття або відхилення</w:t>
            </w:r>
          </w:p>
        </w:tc>
      </w:tr>
      <w:tr w:rsidR="00315876" w:rsidRPr="00581A4E" w:rsidTr="00CB2643">
        <w:tc>
          <w:tcPr>
            <w:tcW w:w="15480" w:type="dxa"/>
            <w:gridSpan w:val="3"/>
          </w:tcPr>
          <w:p w:rsidR="00315876" w:rsidRPr="00581A4E" w:rsidRDefault="00315876" w:rsidP="00315876">
            <w:pPr>
              <w:tabs>
                <w:tab w:val="left" w:pos="8340"/>
                <w:tab w:val="left" w:pos="11614"/>
              </w:tabs>
              <w:spacing w:after="160" w:line="256" w:lineRule="auto"/>
              <w:jc w:val="center"/>
              <w:rPr>
                <w:rFonts w:eastAsia="Calibri"/>
                <w:b/>
                <w:sz w:val="24"/>
                <w:szCs w:val="24"/>
                <w:lang w:eastAsia="en-US"/>
              </w:rPr>
            </w:pPr>
            <w:r w:rsidRPr="00581A4E">
              <w:rPr>
                <w:rFonts w:eastAsia="Calibri"/>
                <w:b/>
                <w:sz w:val="24"/>
                <w:szCs w:val="24"/>
                <w:lang w:eastAsia="en-US"/>
              </w:rPr>
              <w:t>Постанова Національної комісії, що здійснює державне регулювання у сфері енергетики, від 26 липня 2013 року № 1029 «Про застосування стимулюючого регулювання при провадженні господарської діяльності з розподілу електричної енергії»</w:t>
            </w:r>
          </w:p>
        </w:tc>
      </w:tr>
      <w:tr w:rsidR="00C9054D" w:rsidRPr="008F2AB9" w:rsidTr="00962805">
        <w:tc>
          <w:tcPr>
            <w:tcW w:w="5274" w:type="dxa"/>
          </w:tcPr>
          <w:p w:rsidR="00C9054D" w:rsidRPr="00581A4E" w:rsidRDefault="00C9054D" w:rsidP="009752A9">
            <w:pPr>
              <w:ind w:firstLine="201"/>
              <w:jc w:val="both"/>
              <w:rPr>
                <w:rFonts w:eastAsiaTheme="minorHAnsi"/>
                <w:b/>
                <w:sz w:val="24"/>
                <w:szCs w:val="24"/>
                <w:lang w:eastAsia="en-US"/>
              </w:rPr>
            </w:pPr>
            <w:r w:rsidRPr="00581A4E">
              <w:rPr>
                <w:rFonts w:eastAsiaTheme="minorHAnsi"/>
                <w:sz w:val="24"/>
                <w:szCs w:val="24"/>
                <w:lang w:eastAsia="en-US"/>
              </w:rPr>
              <w:t>3</w:t>
            </w:r>
            <w:r w:rsidRPr="00581A4E">
              <w:rPr>
                <w:sz w:val="24"/>
                <w:szCs w:val="24"/>
              </w:rPr>
              <w:t>.</w:t>
            </w:r>
            <w:r w:rsidRPr="00581A4E">
              <w:rPr>
                <w:rFonts w:eastAsiaTheme="minorHAnsi"/>
                <w:sz w:val="24"/>
                <w:szCs w:val="24"/>
                <w:lang w:eastAsia="en-US"/>
              </w:rPr>
              <w:t>Умовами для застосування ліцензіатами стимулюючого регулювання після першого регуляторного періоду є виконання зобов'язань, визначених пунктом 2 цієї постанови.</w:t>
            </w:r>
            <w:r w:rsidRPr="00581A4E">
              <w:rPr>
                <w:rFonts w:eastAsiaTheme="minorHAnsi"/>
                <w:b/>
                <w:sz w:val="24"/>
                <w:szCs w:val="24"/>
                <w:lang w:eastAsia="en-US"/>
              </w:rPr>
              <w:t xml:space="preserve"> </w:t>
            </w:r>
          </w:p>
          <w:p w:rsidR="00C9054D" w:rsidRPr="00581A4E" w:rsidRDefault="00C9054D" w:rsidP="009752A9">
            <w:pPr>
              <w:shd w:val="clear" w:color="auto" w:fill="FFFFFF"/>
              <w:ind w:firstLine="201"/>
              <w:jc w:val="both"/>
              <w:rPr>
                <w:rFonts w:eastAsiaTheme="minorHAnsi"/>
                <w:b/>
                <w:bCs/>
                <w:sz w:val="24"/>
                <w:szCs w:val="24"/>
                <w:lang w:eastAsia="en-US"/>
              </w:rPr>
            </w:pPr>
            <w:r w:rsidRPr="00581A4E">
              <w:rPr>
                <w:rFonts w:eastAsiaTheme="minorHAnsi"/>
                <w:b/>
                <w:bCs/>
                <w:sz w:val="24"/>
                <w:szCs w:val="24"/>
                <w:lang w:eastAsia="en-US"/>
              </w:rPr>
              <w:t>Стан виконання зобов’язань, визначених пунктом 2 цієї постанови фіксується та досліджується під час проведення заходів державного контролю відповідно до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 (далі – Методика), що є додатком 29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p w:rsidR="00C9054D" w:rsidRPr="00581A4E" w:rsidRDefault="00C9054D" w:rsidP="00B13091">
            <w:pPr>
              <w:shd w:val="clear" w:color="auto" w:fill="FFFFFF"/>
              <w:ind w:firstLine="201"/>
              <w:jc w:val="both"/>
              <w:rPr>
                <w:rFonts w:eastAsiaTheme="minorHAnsi"/>
                <w:b/>
                <w:bCs/>
                <w:sz w:val="24"/>
                <w:szCs w:val="24"/>
                <w:lang w:eastAsia="en-US"/>
              </w:rPr>
            </w:pPr>
            <w:r w:rsidRPr="00581A4E">
              <w:rPr>
                <w:rFonts w:eastAsiaTheme="minorHAnsi"/>
                <w:b/>
                <w:bCs/>
                <w:sz w:val="24"/>
                <w:szCs w:val="24"/>
                <w:lang w:eastAsia="en-US"/>
              </w:rPr>
              <w:t>З метою встановлення показників ефективності для ліцензіатів на другий регуляторний період за результатами оцінки досягнення фактичних показників першого регуляторного періоду під час проведення заходів державного контролю відповідно до вимог Методики фіксуються та досліджуються фактичні показники першого регуляторного періоду, визначені підпунктами 3, 5 – 8 пункту 1 постанови Національної комісії, що здійснює державне регулювання у сфері енергетики, від 23 липня 2013 року № 1009 «Про встановлення параметрів регулювання, що мають довгостроковий строк дії, для цілей стимулюючого регулювання».</w:t>
            </w:r>
          </w:p>
          <w:p w:rsidR="006768AB" w:rsidRPr="00581A4E" w:rsidRDefault="006768AB" w:rsidP="00C9054D">
            <w:pPr>
              <w:shd w:val="clear" w:color="auto" w:fill="FFFFFF"/>
              <w:ind w:firstLine="41"/>
              <w:jc w:val="both"/>
              <w:rPr>
                <w:rFonts w:eastAsiaTheme="minorHAnsi"/>
                <w:b/>
                <w:bCs/>
                <w:sz w:val="24"/>
                <w:szCs w:val="24"/>
                <w:lang w:eastAsia="en-US"/>
              </w:rPr>
            </w:pPr>
          </w:p>
          <w:p w:rsidR="006768AB" w:rsidRPr="00581A4E" w:rsidRDefault="006768AB" w:rsidP="00C9054D">
            <w:pPr>
              <w:shd w:val="clear" w:color="auto" w:fill="FFFFFF"/>
              <w:ind w:firstLine="41"/>
              <w:jc w:val="both"/>
              <w:rPr>
                <w:rFonts w:eastAsiaTheme="minorHAnsi"/>
                <w:b/>
                <w:bCs/>
                <w:sz w:val="24"/>
                <w:szCs w:val="24"/>
                <w:lang w:eastAsia="en-US"/>
              </w:rPr>
            </w:pPr>
            <w:r w:rsidRPr="00581A4E">
              <w:rPr>
                <w:rFonts w:eastAsiaTheme="minorHAnsi"/>
                <w:b/>
                <w:bCs/>
                <w:sz w:val="24"/>
                <w:szCs w:val="24"/>
                <w:lang w:eastAsia="en-US"/>
              </w:rPr>
              <w:t>абзац</w:t>
            </w:r>
            <w:r w:rsidR="00983C06" w:rsidRPr="00581A4E">
              <w:rPr>
                <w:rFonts w:eastAsiaTheme="minorHAnsi"/>
                <w:b/>
                <w:bCs/>
                <w:sz w:val="24"/>
                <w:szCs w:val="24"/>
                <w:lang w:eastAsia="en-US"/>
              </w:rPr>
              <w:t>и</w:t>
            </w:r>
            <w:r w:rsidRPr="00581A4E">
              <w:rPr>
                <w:rFonts w:eastAsiaTheme="minorHAnsi"/>
                <w:b/>
                <w:bCs/>
                <w:sz w:val="24"/>
                <w:szCs w:val="24"/>
                <w:lang w:eastAsia="en-US"/>
              </w:rPr>
              <w:t xml:space="preserve"> відсутні</w:t>
            </w:r>
          </w:p>
          <w:p w:rsidR="00C9054D" w:rsidRPr="00581A4E" w:rsidRDefault="00C9054D" w:rsidP="006768AB">
            <w:pPr>
              <w:shd w:val="clear" w:color="auto" w:fill="FFFFFF"/>
              <w:ind w:firstLine="41"/>
              <w:jc w:val="both"/>
              <w:rPr>
                <w:rFonts w:eastAsia="Calibri"/>
                <w:sz w:val="24"/>
                <w:szCs w:val="24"/>
                <w:lang w:eastAsia="en-US"/>
              </w:rPr>
            </w:pPr>
          </w:p>
        </w:tc>
        <w:tc>
          <w:tcPr>
            <w:tcW w:w="6804" w:type="dxa"/>
          </w:tcPr>
          <w:p w:rsidR="0044697C" w:rsidRPr="00581A4E" w:rsidRDefault="0044697C" w:rsidP="00B13091">
            <w:pPr>
              <w:shd w:val="clear" w:color="auto" w:fill="FFFFFF"/>
              <w:ind w:firstLine="323"/>
              <w:jc w:val="both"/>
              <w:rPr>
                <w:rFonts w:eastAsiaTheme="minorHAnsi"/>
                <w:b/>
                <w:bCs/>
                <w:sz w:val="24"/>
                <w:szCs w:val="24"/>
                <w:lang w:val="ru-RU" w:eastAsia="en-US"/>
              </w:rPr>
            </w:pPr>
            <w:r w:rsidRPr="00581A4E">
              <w:rPr>
                <w:rFonts w:eastAsiaTheme="minorHAnsi"/>
                <w:b/>
                <w:bCs/>
                <w:sz w:val="24"/>
                <w:szCs w:val="24"/>
                <w:lang w:eastAsia="en-US"/>
              </w:rPr>
              <w:t>АТ «ДТЕК ОДЕСЬКІ ЕЛЕКТРОМЕРЕЖІ»</w:t>
            </w:r>
            <w:r w:rsidRPr="00581A4E">
              <w:rPr>
                <w:rFonts w:eastAsiaTheme="minorHAnsi"/>
                <w:b/>
                <w:bCs/>
                <w:sz w:val="24"/>
                <w:szCs w:val="24"/>
                <w:lang w:val="ru-RU" w:eastAsia="en-US"/>
              </w:rPr>
              <w:t xml:space="preserve"> (</w:t>
            </w:r>
            <w:r w:rsidRPr="00581A4E">
              <w:rPr>
                <w:rFonts w:eastAsiaTheme="minorHAnsi"/>
                <w:b/>
                <w:bCs/>
                <w:sz w:val="24"/>
                <w:szCs w:val="24"/>
                <w:lang w:eastAsia="en-US"/>
              </w:rPr>
              <w:t>лист від</w:t>
            </w:r>
            <w:r w:rsidR="009752A9" w:rsidRPr="00581A4E">
              <w:rPr>
                <w:rFonts w:eastAsiaTheme="minorHAnsi"/>
                <w:b/>
                <w:bCs/>
                <w:sz w:val="24"/>
                <w:szCs w:val="24"/>
                <w:lang w:eastAsia="en-US"/>
              </w:rPr>
              <w:t> </w:t>
            </w:r>
            <w:r w:rsidRPr="00581A4E">
              <w:rPr>
                <w:rFonts w:eastAsiaTheme="minorHAnsi"/>
                <w:b/>
                <w:bCs/>
                <w:sz w:val="24"/>
                <w:szCs w:val="24"/>
                <w:lang w:eastAsia="en-US"/>
              </w:rPr>
              <w:t>13.02.2026 № 101/04/03-1975</w:t>
            </w:r>
            <w:r w:rsidRPr="00581A4E">
              <w:rPr>
                <w:rFonts w:eastAsiaTheme="minorHAnsi"/>
                <w:b/>
                <w:bCs/>
                <w:sz w:val="24"/>
                <w:szCs w:val="24"/>
                <w:lang w:val="ru-RU" w:eastAsia="en-US"/>
              </w:rPr>
              <w:t>)</w:t>
            </w:r>
          </w:p>
          <w:p w:rsidR="0044697C" w:rsidRPr="00581A4E" w:rsidRDefault="0044697C" w:rsidP="00B13091">
            <w:pPr>
              <w:shd w:val="clear" w:color="auto" w:fill="FFFFFF"/>
              <w:ind w:firstLine="323"/>
              <w:jc w:val="both"/>
              <w:rPr>
                <w:rFonts w:eastAsiaTheme="minorHAnsi"/>
                <w:bCs/>
                <w:i/>
                <w:sz w:val="24"/>
                <w:szCs w:val="24"/>
                <w:lang w:eastAsia="en-US"/>
              </w:rPr>
            </w:pPr>
            <w:r w:rsidRPr="00581A4E">
              <w:rPr>
                <w:rFonts w:eastAsiaTheme="minorHAnsi"/>
                <w:bCs/>
                <w:i/>
                <w:sz w:val="24"/>
                <w:szCs w:val="24"/>
                <w:lang w:eastAsia="en-US"/>
              </w:rPr>
              <w:t>Пропонується доповнення</w:t>
            </w:r>
          </w:p>
          <w:p w:rsidR="001F2B50" w:rsidRPr="00581A4E" w:rsidRDefault="001F2B50" w:rsidP="00B13091">
            <w:pPr>
              <w:shd w:val="clear" w:color="auto" w:fill="FFFFFF"/>
              <w:ind w:firstLine="323"/>
              <w:jc w:val="both"/>
              <w:rPr>
                <w:rFonts w:eastAsiaTheme="minorHAnsi"/>
                <w:bCs/>
                <w:sz w:val="24"/>
                <w:szCs w:val="24"/>
                <w:lang w:eastAsia="en-US"/>
              </w:rPr>
            </w:pPr>
            <w:r w:rsidRPr="00581A4E">
              <w:rPr>
                <w:rFonts w:eastAsiaTheme="minorHAnsi"/>
                <w:bCs/>
                <w:sz w:val="24"/>
                <w:szCs w:val="24"/>
                <w:lang w:eastAsia="en-US"/>
              </w:rPr>
              <w:t>………………………………</w:t>
            </w:r>
          </w:p>
          <w:p w:rsidR="0044697C" w:rsidRPr="00581A4E" w:rsidRDefault="0044697C" w:rsidP="00B13091">
            <w:pPr>
              <w:shd w:val="clear" w:color="auto" w:fill="FFFFFF"/>
              <w:ind w:firstLine="323"/>
              <w:jc w:val="both"/>
              <w:rPr>
                <w:rFonts w:eastAsiaTheme="minorHAnsi"/>
                <w:b/>
                <w:bCs/>
                <w:sz w:val="24"/>
                <w:szCs w:val="24"/>
                <w:lang w:eastAsia="en-US"/>
              </w:rPr>
            </w:pPr>
            <w:r w:rsidRPr="00581A4E">
              <w:rPr>
                <w:rFonts w:eastAsiaTheme="minorHAnsi"/>
                <w:b/>
                <w:bCs/>
                <w:sz w:val="24"/>
                <w:szCs w:val="24"/>
                <w:lang w:eastAsia="en-US"/>
              </w:rPr>
              <w:t xml:space="preserve">Якщо за результатами перевірок у відповідних роках встановлено недоотриманий дохід від здійснення ліцензованої діяльності з розподілу електричної енергії (з урахуванням положень постанов НКРЕКП від 20.04.2022 </w:t>
            </w:r>
            <w:r w:rsidR="00D614CC" w:rsidRPr="00581A4E">
              <w:rPr>
                <w:rFonts w:eastAsiaTheme="minorHAnsi"/>
                <w:b/>
                <w:bCs/>
                <w:sz w:val="24"/>
                <w:szCs w:val="24"/>
                <w:lang w:eastAsia="en-US"/>
              </w:rPr>
              <w:br/>
            </w:r>
            <w:r w:rsidRPr="00581A4E">
              <w:rPr>
                <w:rFonts w:eastAsiaTheme="minorHAnsi"/>
                <w:b/>
                <w:bCs/>
                <w:sz w:val="24"/>
                <w:szCs w:val="24"/>
                <w:lang w:eastAsia="en-US"/>
              </w:rPr>
              <w:t>№ 386, від 26 квітня 2022 року N 406, від 17.03.2022  № 345), невиконання умов, визначених підпунктом 2 пункту 2 цієї  постанови, вважається обґрунтованим.</w:t>
            </w:r>
          </w:p>
          <w:p w:rsidR="001A51BD" w:rsidRPr="00581A4E" w:rsidRDefault="001A51BD" w:rsidP="00B13091">
            <w:pPr>
              <w:shd w:val="clear" w:color="auto" w:fill="FFFFFF"/>
              <w:ind w:firstLine="323"/>
              <w:jc w:val="both"/>
              <w:rPr>
                <w:rFonts w:eastAsiaTheme="minorHAnsi"/>
                <w:bCs/>
                <w:i/>
                <w:sz w:val="24"/>
                <w:szCs w:val="24"/>
                <w:lang w:eastAsia="en-US"/>
              </w:rPr>
            </w:pPr>
          </w:p>
          <w:p w:rsidR="001F2B50" w:rsidRPr="00581A4E" w:rsidRDefault="001A51BD" w:rsidP="00B13091">
            <w:pPr>
              <w:shd w:val="clear" w:color="auto" w:fill="FFFFFF"/>
              <w:ind w:firstLine="323"/>
              <w:jc w:val="both"/>
              <w:rPr>
                <w:rFonts w:eastAsiaTheme="minorHAnsi"/>
                <w:bCs/>
                <w:i/>
                <w:sz w:val="24"/>
                <w:szCs w:val="24"/>
                <w:lang w:eastAsia="en-US"/>
              </w:rPr>
            </w:pPr>
            <w:r w:rsidRPr="00581A4E">
              <w:rPr>
                <w:rFonts w:eastAsiaTheme="minorHAnsi"/>
                <w:bCs/>
                <w:i/>
                <w:sz w:val="24"/>
                <w:szCs w:val="24"/>
                <w:lang w:eastAsia="en-US"/>
              </w:rPr>
              <w:t>Обґрунтування</w:t>
            </w:r>
          </w:p>
          <w:p w:rsidR="008C756A" w:rsidRPr="00581A4E" w:rsidRDefault="008C756A" w:rsidP="00B13091">
            <w:pPr>
              <w:shd w:val="clear" w:color="auto" w:fill="FFFFFF"/>
              <w:ind w:firstLine="323"/>
              <w:jc w:val="both"/>
              <w:rPr>
                <w:rFonts w:eastAsiaTheme="minorHAnsi"/>
                <w:bCs/>
                <w:i/>
                <w:sz w:val="24"/>
                <w:szCs w:val="24"/>
                <w:lang w:eastAsia="en-US"/>
              </w:rPr>
            </w:pPr>
            <w:r w:rsidRPr="00581A4E">
              <w:rPr>
                <w:rFonts w:eastAsiaTheme="minorHAnsi"/>
                <w:bCs/>
                <w:i/>
                <w:sz w:val="24"/>
                <w:szCs w:val="24"/>
                <w:lang w:eastAsia="en-US"/>
              </w:rPr>
              <w:t>У разі встановленого за результатами перевірок ліцензованої діяльності недоотриманого доходу від діяльності з розподілу (дефіциту коштів на покриття обґрунтованих витрат), пропонується  визнати невиконання вимоги, визначеної підпунктом 2 пункту 2 обґрунтованим.</w:t>
            </w:r>
          </w:p>
          <w:p w:rsidR="00A03605" w:rsidRPr="00581A4E" w:rsidRDefault="00A03605" w:rsidP="00B13091">
            <w:pPr>
              <w:shd w:val="clear" w:color="auto" w:fill="FFFFFF"/>
              <w:ind w:firstLine="323"/>
              <w:jc w:val="both"/>
              <w:rPr>
                <w:rFonts w:eastAsiaTheme="minorHAnsi"/>
                <w:b/>
                <w:bCs/>
                <w:sz w:val="24"/>
                <w:szCs w:val="24"/>
                <w:lang w:eastAsia="en-US"/>
              </w:rPr>
            </w:pPr>
          </w:p>
          <w:p w:rsidR="001A51BD" w:rsidRPr="00581A4E" w:rsidRDefault="001A51BD" w:rsidP="00B13091">
            <w:pPr>
              <w:shd w:val="clear" w:color="auto" w:fill="FFFFFF"/>
              <w:ind w:firstLine="323"/>
              <w:jc w:val="both"/>
              <w:rPr>
                <w:rFonts w:eastAsiaTheme="minorHAnsi"/>
                <w:b/>
                <w:bCs/>
                <w:sz w:val="24"/>
                <w:szCs w:val="24"/>
                <w:lang w:eastAsia="en-US"/>
              </w:rPr>
            </w:pPr>
          </w:p>
          <w:p w:rsidR="008C756A" w:rsidRPr="00581A4E" w:rsidRDefault="005A7FE1" w:rsidP="00B13091">
            <w:pPr>
              <w:shd w:val="clear" w:color="auto" w:fill="FFFFFF"/>
              <w:ind w:firstLine="323"/>
              <w:jc w:val="both"/>
              <w:rPr>
                <w:rFonts w:eastAsia="Calibri"/>
                <w:b/>
                <w:bCs/>
                <w:sz w:val="24"/>
                <w:szCs w:val="24"/>
                <w:lang w:eastAsia="en-US"/>
              </w:rPr>
            </w:pPr>
            <w:r w:rsidRPr="00581A4E">
              <w:rPr>
                <w:rFonts w:eastAsia="Calibri"/>
                <w:b/>
                <w:bCs/>
                <w:sz w:val="24"/>
                <w:szCs w:val="24"/>
                <w:lang w:eastAsia="en-US"/>
              </w:rPr>
              <w:t xml:space="preserve">АТ </w:t>
            </w:r>
            <w:r w:rsidR="0072516F" w:rsidRPr="00581A4E">
              <w:rPr>
                <w:rFonts w:eastAsia="Calibri"/>
                <w:b/>
                <w:bCs/>
                <w:sz w:val="24"/>
                <w:szCs w:val="24"/>
                <w:lang w:eastAsia="en-US"/>
              </w:rPr>
              <w:t>«</w:t>
            </w:r>
            <w:r w:rsidRPr="00581A4E">
              <w:rPr>
                <w:rFonts w:eastAsia="Calibri"/>
                <w:b/>
                <w:bCs/>
                <w:sz w:val="24"/>
                <w:szCs w:val="24"/>
                <w:lang w:eastAsia="en-US"/>
              </w:rPr>
              <w:t>ДТЕК ДОНЕЦЬКІ ЕЛЕКТРОМЕРЕЖІ</w:t>
            </w:r>
            <w:r w:rsidR="0072516F" w:rsidRPr="00581A4E">
              <w:rPr>
                <w:rFonts w:eastAsia="Calibri"/>
                <w:b/>
                <w:bCs/>
                <w:sz w:val="24"/>
                <w:szCs w:val="24"/>
                <w:lang w:eastAsia="en-US"/>
              </w:rPr>
              <w:t>»</w:t>
            </w:r>
            <w:r w:rsidRPr="00581A4E">
              <w:rPr>
                <w:rFonts w:eastAsia="Calibri"/>
                <w:b/>
                <w:bCs/>
                <w:sz w:val="24"/>
                <w:szCs w:val="24"/>
                <w:lang w:eastAsia="en-US"/>
              </w:rPr>
              <w:t xml:space="preserve"> (лист від 13.02.</w:t>
            </w:r>
            <w:r w:rsidRPr="00581A4E">
              <w:rPr>
                <w:rFonts w:eastAsia="Calibri"/>
                <w:b/>
                <w:bCs/>
                <w:sz w:val="24"/>
                <w:szCs w:val="24"/>
                <w:lang w:val="ru-RU" w:eastAsia="en-US"/>
              </w:rPr>
              <w:t>20</w:t>
            </w:r>
            <w:r w:rsidRPr="00581A4E">
              <w:rPr>
                <w:rFonts w:eastAsia="Calibri"/>
                <w:b/>
                <w:bCs/>
                <w:sz w:val="24"/>
                <w:szCs w:val="24"/>
                <w:lang w:eastAsia="en-US"/>
              </w:rPr>
              <w:t>26 № 06/1759-вих)</w:t>
            </w:r>
          </w:p>
          <w:p w:rsidR="005A7FE1" w:rsidRPr="00581A4E" w:rsidRDefault="005A7FE1" w:rsidP="00B13091">
            <w:pPr>
              <w:shd w:val="clear" w:color="auto" w:fill="FFFFFF"/>
              <w:ind w:firstLine="323"/>
              <w:jc w:val="both"/>
              <w:rPr>
                <w:rFonts w:eastAsiaTheme="minorHAnsi"/>
                <w:bCs/>
                <w:sz w:val="24"/>
                <w:szCs w:val="24"/>
                <w:lang w:eastAsia="en-US"/>
              </w:rPr>
            </w:pPr>
            <w:r w:rsidRPr="00581A4E">
              <w:rPr>
                <w:rFonts w:eastAsiaTheme="minorHAnsi"/>
                <w:bCs/>
                <w:sz w:val="24"/>
                <w:szCs w:val="24"/>
                <w:lang w:eastAsia="en-US"/>
              </w:rPr>
              <w:t>…………………………………</w:t>
            </w:r>
          </w:p>
          <w:p w:rsidR="001A51BD" w:rsidRPr="00581A4E" w:rsidRDefault="001A51BD" w:rsidP="001A51BD">
            <w:pPr>
              <w:shd w:val="clear" w:color="auto" w:fill="FFFFFF"/>
              <w:ind w:firstLine="323"/>
              <w:jc w:val="both"/>
              <w:rPr>
                <w:rFonts w:eastAsiaTheme="minorHAnsi"/>
                <w:bCs/>
                <w:i/>
                <w:sz w:val="24"/>
                <w:szCs w:val="24"/>
                <w:lang w:eastAsia="en-US"/>
              </w:rPr>
            </w:pPr>
            <w:r w:rsidRPr="00581A4E">
              <w:rPr>
                <w:rFonts w:eastAsiaTheme="minorHAnsi"/>
                <w:bCs/>
                <w:i/>
                <w:sz w:val="24"/>
                <w:szCs w:val="24"/>
                <w:lang w:eastAsia="en-US"/>
              </w:rPr>
              <w:t>Пропонується доповнення</w:t>
            </w:r>
          </w:p>
          <w:p w:rsidR="005A7FE1" w:rsidRPr="00581A4E" w:rsidRDefault="005A7FE1" w:rsidP="00B13091">
            <w:pPr>
              <w:shd w:val="clear" w:color="auto" w:fill="FFFFFF"/>
              <w:ind w:firstLine="323"/>
              <w:jc w:val="both"/>
              <w:rPr>
                <w:rFonts w:eastAsiaTheme="minorHAnsi"/>
                <w:b/>
                <w:bCs/>
                <w:sz w:val="24"/>
                <w:szCs w:val="24"/>
                <w:lang w:eastAsia="en-US"/>
              </w:rPr>
            </w:pPr>
            <w:r w:rsidRPr="00581A4E">
              <w:rPr>
                <w:rFonts w:eastAsiaTheme="minorHAnsi"/>
                <w:b/>
                <w:bCs/>
                <w:sz w:val="24"/>
                <w:szCs w:val="24"/>
                <w:lang w:eastAsia="en-US"/>
              </w:rPr>
              <w:t xml:space="preserve">Враховуючи особливі умови роботи АТ </w:t>
            </w:r>
            <w:r w:rsidR="0020190E" w:rsidRPr="00581A4E">
              <w:rPr>
                <w:rFonts w:eastAsiaTheme="minorHAnsi"/>
                <w:b/>
                <w:bCs/>
                <w:sz w:val="24"/>
                <w:szCs w:val="24"/>
                <w:lang w:eastAsia="en-US"/>
              </w:rPr>
              <w:t>«</w:t>
            </w:r>
            <w:r w:rsidRPr="00581A4E">
              <w:rPr>
                <w:rFonts w:eastAsiaTheme="minorHAnsi"/>
                <w:b/>
                <w:bCs/>
                <w:sz w:val="24"/>
                <w:szCs w:val="24"/>
                <w:lang w:eastAsia="en-US"/>
              </w:rPr>
              <w:t>ДТЕК ДОНЕЦЬКІ ЕЛЕКТРОМЕРЕЖІ</w:t>
            </w:r>
            <w:r w:rsidR="0020190E" w:rsidRPr="00581A4E">
              <w:rPr>
                <w:rFonts w:eastAsiaTheme="minorHAnsi"/>
                <w:b/>
                <w:bCs/>
                <w:sz w:val="24"/>
                <w:szCs w:val="24"/>
                <w:lang w:eastAsia="en-US"/>
              </w:rPr>
              <w:t>»</w:t>
            </w:r>
            <w:r w:rsidRPr="00581A4E">
              <w:rPr>
                <w:rFonts w:eastAsiaTheme="minorHAnsi"/>
                <w:b/>
                <w:bCs/>
                <w:sz w:val="24"/>
                <w:szCs w:val="24"/>
                <w:lang w:eastAsia="en-US"/>
              </w:rPr>
              <w:t>, ТОВ «ДТЕК ВИСОКОВОЛЬТНІ МЕРЕЖІ», що пов’язані з критичними пошкодженнями та окупацією суттєвої частини активів цих ОСР, стан виконання плану заходів із забезпечення достовірності даних для здійснення моніторингу якості послуг (зокрема шляхом створення систем реєстрації відключень в електричних мережах 6 - 150 кВ) оцінюється за результатами другого регуляторного періоду.</w:t>
            </w:r>
          </w:p>
          <w:p w:rsidR="005A7FE1" w:rsidRPr="00581A4E" w:rsidRDefault="005A7FE1" w:rsidP="00B13091">
            <w:pPr>
              <w:shd w:val="clear" w:color="auto" w:fill="FFFFFF"/>
              <w:ind w:firstLine="323"/>
              <w:jc w:val="both"/>
              <w:rPr>
                <w:rFonts w:eastAsiaTheme="minorHAnsi"/>
                <w:b/>
                <w:bCs/>
                <w:sz w:val="24"/>
                <w:szCs w:val="24"/>
                <w:lang w:eastAsia="en-US"/>
              </w:rPr>
            </w:pPr>
            <w:r w:rsidRPr="00581A4E">
              <w:rPr>
                <w:rFonts w:eastAsiaTheme="minorHAnsi"/>
                <w:b/>
                <w:bCs/>
                <w:sz w:val="24"/>
                <w:szCs w:val="24"/>
                <w:lang w:eastAsia="en-US"/>
              </w:rPr>
              <w:t xml:space="preserve">Якщо за результатами перевірок у відповідних роках встановлено  недоотриманий дохід від здійснення ліцензованої діяльності з розподілу електричної енергії </w:t>
            </w:r>
            <w:r w:rsidR="00A03605" w:rsidRPr="00581A4E">
              <w:rPr>
                <w:rFonts w:eastAsiaTheme="minorHAnsi"/>
                <w:b/>
                <w:bCs/>
                <w:sz w:val="24"/>
                <w:szCs w:val="24"/>
                <w:lang w:eastAsia="en-US"/>
              </w:rPr>
              <w:br/>
            </w:r>
            <w:r w:rsidRPr="00581A4E">
              <w:rPr>
                <w:rFonts w:eastAsiaTheme="minorHAnsi"/>
                <w:b/>
                <w:bCs/>
                <w:sz w:val="24"/>
                <w:szCs w:val="24"/>
                <w:lang w:eastAsia="en-US"/>
              </w:rPr>
              <w:t xml:space="preserve">(з урахуванням положень постанов НКРЕКП від 20.04.2022 </w:t>
            </w:r>
            <w:r w:rsidR="00A03605" w:rsidRPr="00581A4E">
              <w:rPr>
                <w:rFonts w:eastAsiaTheme="minorHAnsi"/>
                <w:b/>
                <w:bCs/>
                <w:sz w:val="24"/>
                <w:szCs w:val="24"/>
                <w:lang w:eastAsia="en-US"/>
              </w:rPr>
              <w:br/>
            </w:r>
            <w:r w:rsidRPr="00581A4E">
              <w:rPr>
                <w:rFonts w:eastAsiaTheme="minorHAnsi"/>
                <w:b/>
                <w:bCs/>
                <w:sz w:val="24"/>
                <w:szCs w:val="24"/>
                <w:lang w:eastAsia="en-US"/>
              </w:rPr>
              <w:t>№ 386, від 26 квітня 2022 року N 406, від 17.03.2022  № 345), невиконання умов, визначених підпунктом 2 пункту 2 цієї  постанови, вважається обґрунтованим.</w:t>
            </w:r>
          </w:p>
          <w:p w:rsidR="00340F44" w:rsidRPr="00581A4E" w:rsidRDefault="00340F44" w:rsidP="00340F44">
            <w:pPr>
              <w:shd w:val="clear" w:color="auto" w:fill="FFFFFF"/>
              <w:ind w:firstLine="323"/>
              <w:jc w:val="both"/>
              <w:rPr>
                <w:rFonts w:eastAsiaTheme="minorHAnsi"/>
                <w:bCs/>
                <w:i/>
                <w:sz w:val="24"/>
                <w:szCs w:val="24"/>
                <w:lang w:eastAsia="en-US"/>
              </w:rPr>
            </w:pPr>
            <w:r w:rsidRPr="00581A4E">
              <w:rPr>
                <w:rFonts w:eastAsiaTheme="minorHAnsi"/>
                <w:bCs/>
                <w:i/>
                <w:sz w:val="24"/>
                <w:szCs w:val="24"/>
                <w:lang w:eastAsia="en-US"/>
              </w:rPr>
              <w:t>Обґрунтування</w:t>
            </w:r>
          </w:p>
          <w:p w:rsidR="005A7FE1" w:rsidRPr="00581A4E" w:rsidRDefault="005A7FE1" w:rsidP="00B13091">
            <w:pPr>
              <w:shd w:val="clear" w:color="auto" w:fill="FFFFFF"/>
              <w:ind w:firstLine="323"/>
              <w:jc w:val="both"/>
              <w:rPr>
                <w:rFonts w:eastAsiaTheme="minorHAnsi"/>
                <w:bCs/>
                <w:i/>
                <w:sz w:val="24"/>
                <w:szCs w:val="24"/>
                <w:lang w:eastAsia="en-US"/>
              </w:rPr>
            </w:pPr>
            <w:r w:rsidRPr="00581A4E">
              <w:rPr>
                <w:rFonts w:eastAsiaTheme="minorHAnsi"/>
                <w:bCs/>
                <w:i/>
                <w:sz w:val="24"/>
                <w:szCs w:val="24"/>
                <w:lang w:eastAsia="en-US"/>
              </w:rPr>
              <w:t>У разі встановленого за результатами перевірок ліцензованої діяльності недоотриманого доходу від діяльності з розподілу (дефіциту коштів на покриття обґрунтованих витрат), пропонується  визнати невиконання вимоги, визначеної підпунктом 2 пункту 2 обґрунтованим</w:t>
            </w:r>
            <w:r w:rsidR="00B13091" w:rsidRPr="00581A4E">
              <w:rPr>
                <w:rFonts w:eastAsiaTheme="minorHAnsi"/>
                <w:bCs/>
                <w:i/>
                <w:sz w:val="24"/>
                <w:szCs w:val="24"/>
                <w:lang w:eastAsia="en-US"/>
              </w:rPr>
              <w:t>.</w:t>
            </w:r>
          </w:p>
          <w:p w:rsidR="008C756A" w:rsidRPr="00581A4E" w:rsidRDefault="008C756A" w:rsidP="00B13091">
            <w:pPr>
              <w:shd w:val="clear" w:color="auto" w:fill="FFFFFF"/>
              <w:ind w:firstLine="323"/>
              <w:jc w:val="both"/>
              <w:rPr>
                <w:rFonts w:eastAsiaTheme="minorHAnsi"/>
                <w:b/>
                <w:bCs/>
                <w:sz w:val="24"/>
                <w:szCs w:val="24"/>
                <w:lang w:eastAsia="en-US"/>
              </w:rPr>
            </w:pPr>
          </w:p>
          <w:p w:rsidR="008C756A" w:rsidRPr="00581A4E" w:rsidRDefault="008C756A" w:rsidP="0044697C">
            <w:pPr>
              <w:shd w:val="clear" w:color="auto" w:fill="FFFFFF"/>
              <w:ind w:firstLine="41"/>
              <w:jc w:val="both"/>
              <w:rPr>
                <w:rFonts w:eastAsiaTheme="minorHAnsi"/>
                <w:b/>
                <w:bCs/>
                <w:sz w:val="24"/>
                <w:szCs w:val="24"/>
                <w:lang w:eastAsia="en-US"/>
              </w:rPr>
            </w:pPr>
          </w:p>
          <w:p w:rsidR="008C756A" w:rsidRPr="00581A4E" w:rsidRDefault="008C756A" w:rsidP="0044697C">
            <w:pPr>
              <w:shd w:val="clear" w:color="auto" w:fill="FFFFFF"/>
              <w:ind w:firstLine="41"/>
              <w:jc w:val="both"/>
              <w:rPr>
                <w:rFonts w:eastAsiaTheme="minorHAnsi"/>
                <w:b/>
                <w:bCs/>
                <w:sz w:val="24"/>
                <w:szCs w:val="24"/>
                <w:lang w:val="ru-RU" w:eastAsia="en-US"/>
              </w:rPr>
            </w:pPr>
            <w:r w:rsidRPr="00581A4E">
              <w:rPr>
                <w:rFonts w:eastAsiaTheme="minorHAnsi"/>
                <w:b/>
                <w:bCs/>
                <w:sz w:val="24"/>
                <w:szCs w:val="24"/>
                <w:lang w:val="ru-RU" w:eastAsia="en-US"/>
              </w:rPr>
              <w:t>АТ «ЖИТОМИРОБЛЕНЕРГО» (</w:t>
            </w:r>
            <w:r w:rsidRPr="00581A4E">
              <w:rPr>
                <w:rFonts w:eastAsiaTheme="minorHAnsi"/>
                <w:b/>
                <w:bCs/>
                <w:sz w:val="24"/>
                <w:szCs w:val="24"/>
                <w:lang w:eastAsia="en-US"/>
              </w:rPr>
              <w:t xml:space="preserve">лист </w:t>
            </w:r>
            <w:r w:rsidR="006768AB" w:rsidRPr="00581A4E">
              <w:rPr>
                <w:rFonts w:eastAsiaTheme="minorHAnsi"/>
                <w:b/>
                <w:bCs/>
                <w:sz w:val="24"/>
                <w:szCs w:val="24"/>
                <w:lang w:eastAsia="en-US"/>
              </w:rPr>
              <w:br/>
            </w:r>
            <w:r w:rsidRPr="00581A4E">
              <w:rPr>
                <w:rFonts w:eastAsiaTheme="minorHAnsi"/>
                <w:b/>
                <w:bCs/>
                <w:sz w:val="24"/>
                <w:szCs w:val="24"/>
                <w:lang w:eastAsia="en-US"/>
              </w:rPr>
              <w:t>від 13.02.2026 № 05/5378</w:t>
            </w:r>
            <w:r w:rsidRPr="00581A4E">
              <w:rPr>
                <w:rFonts w:eastAsiaTheme="minorHAnsi"/>
                <w:b/>
                <w:bCs/>
                <w:sz w:val="24"/>
                <w:szCs w:val="24"/>
                <w:lang w:val="ru-RU" w:eastAsia="en-US"/>
              </w:rPr>
              <w:t>)</w:t>
            </w:r>
          </w:p>
          <w:p w:rsidR="0044361C" w:rsidRPr="00581A4E" w:rsidRDefault="0044361C" w:rsidP="00B13091">
            <w:pPr>
              <w:shd w:val="clear" w:color="auto" w:fill="FFFFFF"/>
              <w:ind w:firstLine="181"/>
              <w:jc w:val="both"/>
              <w:rPr>
                <w:rFonts w:eastAsiaTheme="minorHAnsi"/>
                <w:bCs/>
                <w:i/>
                <w:sz w:val="24"/>
                <w:szCs w:val="24"/>
                <w:lang w:eastAsia="en-US"/>
              </w:rPr>
            </w:pPr>
            <w:r w:rsidRPr="00581A4E">
              <w:rPr>
                <w:rFonts w:eastAsiaTheme="minorHAnsi"/>
                <w:bCs/>
                <w:i/>
                <w:sz w:val="24"/>
                <w:szCs w:val="24"/>
                <w:lang w:eastAsia="en-US"/>
              </w:rPr>
              <w:t>Пропонується доповнення</w:t>
            </w:r>
          </w:p>
          <w:p w:rsidR="00432AE2" w:rsidRPr="00581A4E" w:rsidRDefault="00432AE2" w:rsidP="00B13091">
            <w:pPr>
              <w:shd w:val="clear" w:color="auto" w:fill="FFFFFF"/>
              <w:ind w:firstLine="181"/>
              <w:jc w:val="both"/>
              <w:rPr>
                <w:rFonts w:eastAsiaTheme="minorHAnsi"/>
                <w:bCs/>
                <w:sz w:val="24"/>
                <w:szCs w:val="24"/>
                <w:lang w:eastAsia="en-US"/>
              </w:rPr>
            </w:pPr>
            <w:r w:rsidRPr="00581A4E">
              <w:rPr>
                <w:rFonts w:eastAsiaTheme="minorHAnsi"/>
                <w:bCs/>
                <w:sz w:val="24"/>
                <w:szCs w:val="24"/>
                <w:lang w:eastAsia="en-US"/>
              </w:rPr>
              <w:t>……………………………….</w:t>
            </w:r>
          </w:p>
          <w:p w:rsidR="008C756A" w:rsidRPr="00581A4E" w:rsidRDefault="008C756A" w:rsidP="00B13091">
            <w:pPr>
              <w:shd w:val="clear" w:color="auto" w:fill="FFFFFF"/>
              <w:ind w:firstLine="181"/>
              <w:jc w:val="both"/>
              <w:rPr>
                <w:rFonts w:eastAsiaTheme="minorHAnsi"/>
                <w:b/>
                <w:bCs/>
                <w:sz w:val="24"/>
                <w:szCs w:val="24"/>
                <w:lang w:eastAsia="en-US"/>
              </w:rPr>
            </w:pPr>
            <w:r w:rsidRPr="00581A4E">
              <w:rPr>
                <w:rFonts w:eastAsiaTheme="minorHAnsi"/>
                <w:b/>
                <w:bCs/>
                <w:sz w:val="24"/>
                <w:szCs w:val="24"/>
                <w:lang w:eastAsia="en-US"/>
              </w:rPr>
              <w:t xml:space="preserve">Для </w:t>
            </w:r>
            <w:r w:rsidRPr="00581A4E">
              <w:rPr>
                <w:rFonts w:eastAsiaTheme="minorHAnsi"/>
                <w:b/>
                <w:bCs/>
                <w:sz w:val="24"/>
                <w:szCs w:val="24"/>
                <w:lang w:val="ru-RU" w:eastAsia="en-US"/>
              </w:rPr>
              <w:t>ПРАТ</w:t>
            </w:r>
            <w:r w:rsidR="00664102" w:rsidRPr="00581A4E">
              <w:rPr>
                <w:rFonts w:eastAsiaTheme="minorHAnsi"/>
                <w:b/>
                <w:bCs/>
                <w:sz w:val="24"/>
                <w:szCs w:val="24"/>
                <w:lang w:eastAsia="en-US"/>
              </w:rPr>
              <w:t> </w:t>
            </w:r>
            <w:r w:rsidR="006768AB" w:rsidRPr="00581A4E">
              <w:rPr>
                <w:rFonts w:eastAsiaTheme="minorHAnsi"/>
                <w:b/>
                <w:bCs/>
                <w:sz w:val="24"/>
                <w:szCs w:val="24"/>
                <w:lang w:val="ru-RU" w:eastAsia="en-US"/>
              </w:rPr>
              <w:t>«</w:t>
            </w:r>
            <w:r w:rsidRPr="00581A4E">
              <w:rPr>
                <w:rFonts w:eastAsiaTheme="minorHAnsi"/>
                <w:b/>
                <w:bCs/>
                <w:sz w:val="24"/>
                <w:szCs w:val="24"/>
                <w:lang w:val="ru-RU" w:eastAsia="en-US"/>
              </w:rPr>
              <w:t>КІРОВОГРАДОБЛЕНЕРГО</w:t>
            </w:r>
            <w:r w:rsidR="006768AB" w:rsidRPr="00581A4E">
              <w:rPr>
                <w:rFonts w:eastAsiaTheme="minorHAnsi"/>
                <w:b/>
                <w:bCs/>
                <w:sz w:val="24"/>
                <w:szCs w:val="24"/>
                <w:lang w:val="ru-RU" w:eastAsia="en-US"/>
              </w:rPr>
              <w:t>»</w:t>
            </w:r>
            <w:r w:rsidRPr="00581A4E">
              <w:rPr>
                <w:rFonts w:eastAsiaTheme="minorHAnsi"/>
                <w:b/>
                <w:bCs/>
                <w:sz w:val="24"/>
                <w:szCs w:val="24"/>
                <w:lang w:val="ru-RU" w:eastAsia="en-US"/>
              </w:rPr>
              <w:t>,</w:t>
            </w:r>
            <w:r w:rsidR="005F07E7" w:rsidRPr="00581A4E">
              <w:rPr>
                <w:rFonts w:eastAsiaTheme="minorHAnsi"/>
                <w:b/>
                <w:bCs/>
                <w:sz w:val="24"/>
                <w:szCs w:val="24"/>
                <w:lang w:val="ru-RU" w:eastAsia="en-US"/>
              </w:rPr>
              <w:t xml:space="preserve"> </w:t>
            </w:r>
            <w:r w:rsidR="0091139B" w:rsidRPr="00581A4E">
              <w:rPr>
                <w:rFonts w:eastAsiaTheme="minorHAnsi"/>
                <w:b/>
                <w:bCs/>
                <w:sz w:val="24"/>
                <w:szCs w:val="24"/>
                <w:lang w:val="ru-RU" w:eastAsia="en-US"/>
              </w:rPr>
              <w:t xml:space="preserve">  </w:t>
            </w:r>
            <w:r w:rsidRPr="00581A4E">
              <w:rPr>
                <w:rFonts w:eastAsiaTheme="minorHAnsi"/>
                <w:b/>
                <w:bCs/>
                <w:sz w:val="24"/>
                <w:szCs w:val="24"/>
                <w:lang w:val="ru-RU" w:eastAsia="en-US"/>
              </w:rPr>
              <w:t>АТ</w:t>
            </w:r>
            <w:r w:rsidR="00AF18F3" w:rsidRPr="00581A4E">
              <w:rPr>
                <w:rFonts w:eastAsiaTheme="minorHAnsi"/>
                <w:b/>
                <w:bCs/>
                <w:sz w:val="24"/>
                <w:szCs w:val="24"/>
                <w:lang w:val="ru-RU" w:eastAsia="en-US"/>
              </w:rPr>
              <w:t> </w:t>
            </w:r>
            <w:r w:rsidR="006768AB" w:rsidRPr="00581A4E">
              <w:rPr>
                <w:rFonts w:eastAsiaTheme="minorHAnsi"/>
                <w:b/>
                <w:bCs/>
                <w:sz w:val="24"/>
                <w:szCs w:val="24"/>
                <w:lang w:val="ru-RU" w:eastAsia="en-US"/>
              </w:rPr>
              <w:t>«</w:t>
            </w:r>
            <w:r w:rsidRPr="00581A4E">
              <w:rPr>
                <w:rFonts w:eastAsiaTheme="minorHAnsi"/>
                <w:b/>
                <w:bCs/>
                <w:sz w:val="24"/>
                <w:szCs w:val="24"/>
                <w:lang w:val="ru-RU" w:eastAsia="en-US"/>
              </w:rPr>
              <w:t>ЖИТОМИРОБЛЕНЕРГО</w:t>
            </w:r>
            <w:r w:rsidR="006768AB" w:rsidRPr="00581A4E">
              <w:rPr>
                <w:rFonts w:eastAsiaTheme="minorHAnsi"/>
                <w:b/>
                <w:bCs/>
                <w:sz w:val="24"/>
                <w:szCs w:val="24"/>
                <w:lang w:val="ru-RU" w:eastAsia="en-US"/>
              </w:rPr>
              <w:t>»</w:t>
            </w:r>
            <w:r w:rsidRPr="00581A4E">
              <w:rPr>
                <w:rFonts w:eastAsiaTheme="minorHAnsi"/>
                <w:b/>
                <w:bCs/>
                <w:sz w:val="24"/>
                <w:szCs w:val="24"/>
                <w:lang w:val="ru-RU" w:eastAsia="en-US"/>
              </w:rPr>
              <w:t>,</w:t>
            </w:r>
            <w:r w:rsidR="0091139B" w:rsidRPr="00581A4E">
              <w:rPr>
                <w:rFonts w:eastAsiaTheme="minorHAnsi"/>
                <w:b/>
                <w:bCs/>
                <w:sz w:val="24"/>
                <w:szCs w:val="24"/>
                <w:lang w:val="ru-RU" w:eastAsia="en-US"/>
              </w:rPr>
              <w:t xml:space="preserve"> </w:t>
            </w:r>
            <w:r w:rsidRPr="00581A4E">
              <w:rPr>
                <w:rFonts w:eastAsiaTheme="minorHAnsi"/>
                <w:b/>
                <w:bCs/>
                <w:sz w:val="24"/>
                <w:szCs w:val="24"/>
                <w:lang w:val="ru-RU" w:eastAsia="en-US"/>
              </w:rPr>
              <w:t>АТ</w:t>
            </w:r>
            <w:r w:rsidR="005164B5" w:rsidRPr="00581A4E">
              <w:rPr>
                <w:rFonts w:eastAsiaTheme="minorHAnsi"/>
                <w:b/>
                <w:bCs/>
                <w:sz w:val="24"/>
                <w:szCs w:val="24"/>
                <w:lang w:val="ru-RU" w:eastAsia="en-US"/>
              </w:rPr>
              <w:t> </w:t>
            </w:r>
            <w:r w:rsidR="006768AB" w:rsidRPr="00581A4E">
              <w:rPr>
                <w:rFonts w:eastAsiaTheme="minorHAnsi"/>
                <w:b/>
                <w:bCs/>
                <w:sz w:val="24"/>
                <w:szCs w:val="24"/>
                <w:lang w:val="ru-RU" w:eastAsia="en-US"/>
              </w:rPr>
              <w:t>«</w:t>
            </w:r>
            <w:r w:rsidRPr="00581A4E">
              <w:rPr>
                <w:rFonts w:eastAsiaTheme="minorHAnsi"/>
                <w:b/>
                <w:bCs/>
                <w:sz w:val="24"/>
                <w:szCs w:val="24"/>
                <w:lang w:val="ru-RU" w:eastAsia="en-US"/>
              </w:rPr>
              <w:t>ЧЕРНІВЦІОБЛЕНЕРГО</w:t>
            </w:r>
            <w:r w:rsidR="006768AB" w:rsidRPr="00581A4E">
              <w:rPr>
                <w:rFonts w:eastAsiaTheme="minorHAnsi"/>
                <w:b/>
                <w:bCs/>
                <w:sz w:val="24"/>
                <w:szCs w:val="24"/>
                <w:lang w:val="ru-RU" w:eastAsia="en-US"/>
              </w:rPr>
              <w:t>»</w:t>
            </w:r>
            <w:r w:rsidR="005F07E7" w:rsidRPr="00581A4E">
              <w:rPr>
                <w:rFonts w:eastAsiaTheme="minorHAnsi"/>
                <w:b/>
                <w:bCs/>
                <w:sz w:val="24"/>
                <w:szCs w:val="24"/>
                <w:lang w:val="ru-RU" w:eastAsia="en-US"/>
              </w:rPr>
              <w:t xml:space="preserve"> </w:t>
            </w:r>
            <w:r w:rsidRPr="00581A4E">
              <w:rPr>
                <w:rFonts w:eastAsiaTheme="minorHAnsi"/>
                <w:b/>
                <w:bCs/>
                <w:sz w:val="24"/>
                <w:szCs w:val="24"/>
                <w:lang w:val="ru-RU" w:eastAsia="en-US"/>
              </w:rPr>
              <w:t>та ПРАТ</w:t>
            </w:r>
            <w:r w:rsidR="00AF18F3" w:rsidRPr="00581A4E">
              <w:rPr>
                <w:rFonts w:eastAsiaTheme="minorHAnsi"/>
                <w:b/>
                <w:bCs/>
                <w:sz w:val="24"/>
                <w:szCs w:val="24"/>
                <w:lang w:val="ru-RU" w:eastAsia="en-US"/>
              </w:rPr>
              <w:t> </w:t>
            </w:r>
            <w:r w:rsidR="006768AB" w:rsidRPr="00581A4E">
              <w:rPr>
                <w:rFonts w:eastAsiaTheme="minorHAnsi"/>
                <w:b/>
                <w:bCs/>
                <w:sz w:val="24"/>
                <w:szCs w:val="24"/>
                <w:lang w:val="ru-RU" w:eastAsia="en-US"/>
              </w:rPr>
              <w:t>«</w:t>
            </w:r>
            <w:r w:rsidRPr="00581A4E">
              <w:rPr>
                <w:rFonts w:eastAsiaTheme="minorHAnsi"/>
                <w:b/>
                <w:bCs/>
                <w:sz w:val="24"/>
                <w:szCs w:val="24"/>
                <w:lang w:val="ru-RU" w:eastAsia="en-US"/>
              </w:rPr>
              <w:t>РІВНЕОБЛЕНЕРГО</w:t>
            </w:r>
            <w:r w:rsidR="006768AB" w:rsidRPr="00581A4E">
              <w:rPr>
                <w:rFonts w:eastAsiaTheme="minorHAnsi"/>
                <w:b/>
                <w:bCs/>
                <w:sz w:val="24"/>
                <w:szCs w:val="24"/>
                <w:lang w:val="ru-RU" w:eastAsia="en-US"/>
              </w:rPr>
              <w:t>»</w:t>
            </w:r>
            <w:r w:rsidRPr="00581A4E">
              <w:rPr>
                <w:rFonts w:eastAsiaTheme="minorHAnsi"/>
                <w:b/>
                <w:bCs/>
                <w:sz w:val="24"/>
                <w:szCs w:val="24"/>
                <w:lang w:eastAsia="en-US"/>
              </w:rPr>
              <w:t xml:space="preserve"> при оцінці результатів досягнення фактичних показників першого регуляторного періоду та при встановленні показників ефективності на другий регуляторний період враховувати вплив особливих умов формування тарифної політики протягом першого регуляторного періоду.</w:t>
            </w:r>
          </w:p>
          <w:p w:rsidR="006A373B" w:rsidRPr="00581A4E" w:rsidRDefault="006A373B" w:rsidP="006A373B">
            <w:pPr>
              <w:shd w:val="clear" w:color="auto" w:fill="FFFFFF"/>
              <w:ind w:firstLine="323"/>
              <w:jc w:val="both"/>
              <w:rPr>
                <w:rFonts w:eastAsiaTheme="minorHAnsi"/>
                <w:bCs/>
                <w:i/>
                <w:sz w:val="24"/>
                <w:szCs w:val="24"/>
                <w:lang w:eastAsia="en-US"/>
              </w:rPr>
            </w:pPr>
            <w:r w:rsidRPr="00581A4E">
              <w:rPr>
                <w:rFonts w:eastAsiaTheme="minorHAnsi"/>
                <w:bCs/>
                <w:i/>
                <w:sz w:val="24"/>
                <w:szCs w:val="24"/>
                <w:lang w:eastAsia="en-US"/>
              </w:rPr>
              <w:t>Обґрунтування</w:t>
            </w:r>
          </w:p>
          <w:p w:rsidR="001636DC" w:rsidRPr="00581A4E" w:rsidRDefault="008C756A" w:rsidP="00B13091">
            <w:pPr>
              <w:shd w:val="clear" w:color="auto" w:fill="FFFFFF"/>
              <w:ind w:firstLine="181"/>
              <w:jc w:val="both"/>
              <w:rPr>
                <w:rFonts w:eastAsiaTheme="minorHAnsi"/>
                <w:bCs/>
                <w:i/>
                <w:sz w:val="24"/>
                <w:szCs w:val="24"/>
                <w:lang w:eastAsia="en-US"/>
              </w:rPr>
            </w:pPr>
            <w:r w:rsidRPr="00581A4E">
              <w:rPr>
                <w:rFonts w:eastAsiaTheme="minorHAnsi"/>
                <w:bCs/>
                <w:i/>
                <w:sz w:val="24"/>
                <w:szCs w:val="24"/>
                <w:lang w:eastAsia="en-US"/>
              </w:rPr>
              <w:t>Протягом дії першого регуляторного періоду, починаючи з 2023 року, до ПРАТ</w:t>
            </w:r>
            <w:r w:rsidR="005164B5" w:rsidRPr="00581A4E">
              <w:rPr>
                <w:rFonts w:eastAsiaTheme="minorHAnsi"/>
                <w:bCs/>
                <w:i/>
                <w:sz w:val="24"/>
                <w:szCs w:val="24"/>
                <w:lang w:eastAsia="en-US"/>
              </w:rPr>
              <w:t> </w:t>
            </w:r>
            <w:r w:rsidR="00AF18F3" w:rsidRPr="00581A4E">
              <w:rPr>
                <w:rFonts w:eastAsiaTheme="minorHAnsi"/>
                <w:bCs/>
                <w:i/>
                <w:sz w:val="24"/>
                <w:szCs w:val="24"/>
                <w:lang w:eastAsia="en-US"/>
              </w:rPr>
              <w:t>«</w:t>
            </w:r>
            <w:r w:rsidRPr="00581A4E">
              <w:rPr>
                <w:rFonts w:eastAsiaTheme="minorHAnsi"/>
                <w:bCs/>
                <w:i/>
                <w:sz w:val="24"/>
                <w:szCs w:val="24"/>
                <w:lang w:eastAsia="en-US"/>
              </w:rPr>
              <w:t>КІРОВОГРАДОБЛЕНЕРГО</w:t>
            </w:r>
            <w:r w:rsidR="00AF18F3" w:rsidRPr="00581A4E">
              <w:rPr>
                <w:rFonts w:eastAsiaTheme="minorHAnsi"/>
                <w:bCs/>
                <w:i/>
                <w:sz w:val="24"/>
                <w:szCs w:val="24"/>
                <w:lang w:eastAsia="en-US"/>
              </w:rPr>
              <w:t>»</w:t>
            </w:r>
            <w:r w:rsidRPr="00581A4E">
              <w:rPr>
                <w:rFonts w:eastAsiaTheme="minorHAnsi"/>
                <w:bCs/>
                <w:i/>
                <w:sz w:val="24"/>
                <w:szCs w:val="24"/>
                <w:lang w:eastAsia="en-US"/>
              </w:rPr>
              <w:t xml:space="preserve">, </w:t>
            </w:r>
            <w:r w:rsidR="005164B5" w:rsidRPr="00581A4E">
              <w:rPr>
                <w:rFonts w:eastAsiaTheme="minorHAnsi"/>
                <w:bCs/>
                <w:i/>
                <w:sz w:val="24"/>
                <w:szCs w:val="24"/>
                <w:lang w:eastAsia="en-US"/>
              </w:rPr>
              <w:br/>
            </w:r>
            <w:r w:rsidRPr="00581A4E">
              <w:rPr>
                <w:rFonts w:eastAsiaTheme="minorHAnsi"/>
                <w:bCs/>
                <w:i/>
                <w:sz w:val="24"/>
                <w:szCs w:val="24"/>
                <w:lang w:eastAsia="en-US"/>
              </w:rPr>
              <w:t>АТ</w:t>
            </w:r>
            <w:r w:rsidR="005164B5" w:rsidRPr="00581A4E">
              <w:rPr>
                <w:rFonts w:eastAsiaTheme="minorHAnsi"/>
                <w:bCs/>
                <w:i/>
                <w:sz w:val="24"/>
                <w:szCs w:val="24"/>
                <w:lang w:eastAsia="en-US"/>
              </w:rPr>
              <w:t> </w:t>
            </w:r>
            <w:r w:rsidR="00AF18F3" w:rsidRPr="00581A4E">
              <w:rPr>
                <w:rFonts w:eastAsiaTheme="minorHAnsi"/>
                <w:bCs/>
                <w:i/>
                <w:sz w:val="24"/>
                <w:szCs w:val="24"/>
                <w:lang w:eastAsia="en-US"/>
              </w:rPr>
              <w:t>«</w:t>
            </w:r>
            <w:r w:rsidRPr="00581A4E">
              <w:rPr>
                <w:rFonts w:eastAsiaTheme="minorHAnsi"/>
                <w:bCs/>
                <w:i/>
                <w:sz w:val="24"/>
                <w:szCs w:val="24"/>
                <w:lang w:eastAsia="en-US"/>
              </w:rPr>
              <w:t>ЖИТОМИРОБЛЕНЕРГО</w:t>
            </w:r>
            <w:r w:rsidR="00AF18F3" w:rsidRPr="00581A4E">
              <w:rPr>
                <w:rFonts w:eastAsiaTheme="minorHAnsi"/>
                <w:bCs/>
                <w:i/>
                <w:sz w:val="24"/>
                <w:szCs w:val="24"/>
                <w:lang w:eastAsia="en-US"/>
              </w:rPr>
              <w:t>»</w:t>
            </w:r>
            <w:r w:rsidRPr="00581A4E">
              <w:rPr>
                <w:rFonts w:eastAsiaTheme="minorHAnsi"/>
                <w:bCs/>
                <w:i/>
                <w:sz w:val="24"/>
                <w:szCs w:val="24"/>
                <w:lang w:eastAsia="en-US"/>
              </w:rPr>
              <w:t>, АТ</w:t>
            </w:r>
            <w:r w:rsidR="005164B5" w:rsidRPr="00581A4E">
              <w:rPr>
                <w:rFonts w:eastAsiaTheme="minorHAnsi"/>
                <w:bCs/>
                <w:i/>
                <w:sz w:val="24"/>
                <w:szCs w:val="24"/>
                <w:lang w:eastAsia="en-US"/>
              </w:rPr>
              <w:t> </w:t>
            </w:r>
            <w:r w:rsidR="00AF18F3" w:rsidRPr="00581A4E">
              <w:rPr>
                <w:rFonts w:eastAsiaTheme="minorHAnsi"/>
                <w:bCs/>
                <w:i/>
                <w:sz w:val="24"/>
                <w:szCs w:val="24"/>
                <w:lang w:eastAsia="en-US"/>
              </w:rPr>
              <w:t>«</w:t>
            </w:r>
            <w:r w:rsidRPr="00581A4E">
              <w:rPr>
                <w:rFonts w:eastAsiaTheme="minorHAnsi"/>
                <w:bCs/>
                <w:i/>
                <w:sz w:val="24"/>
                <w:szCs w:val="24"/>
                <w:lang w:eastAsia="en-US"/>
              </w:rPr>
              <w:t>ЧЕРНІВЦІОБЛЕНЕРГО</w:t>
            </w:r>
            <w:r w:rsidR="00AF18F3" w:rsidRPr="00581A4E">
              <w:rPr>
                <w:rFonts w:eastAsiaTheme="minorHAnsi"/>
                <w:bCs/>
                <w:i/>
                <w:sz w:val="24"/>
                <w:szCs w:val="24"/>
                <w:lang w:eastAsia="en-US"/>
              </w:rPr>
              <w:t>»</w:t>
            </w:r>
            <w:r w:rsidR="005164B5" w:rsidRPr="00581A4E">
              <w:rPr>
                <w:rFonts w:eastAsiaTheme="minorHAnsi"/>
                <w:bCs/>
                <w:i/>
                <w:sz w:val="24"/>
                <w:szCs w:val="24"/>
                <w:lang w:eastAsia="en-US"/>
              </w:rPr>
              <w:t> </w:t>
            </w:r>
            <w:r w:rsidRPr="00581A4E">
              <w:rPr>
                <w:rFonts w:eastAsiaTheme="minorHAnsi"/>
                <w:bCs/>
                <w:i/>
                <w:sz w:val="24"/>
                <w:szCs w:val="24"/>
                <w:lang w:eastAsia="en-US"/>
              </w:rPr>
              <w:t>та</w:t>
            </w:r>
            <w:r w:rsidR="005164B5" w:rsidRPr="00581A4E">
              <w:rPr>
                <w:rFonts w:eastAsiaTheme="minorHAnsi"/>
                <w:bCs/>
                <w:i/>
                <w:sz w:val="24"/>
                <w:szCs w:val="24"/>
                <w:lang w:eastAsia="en-US"/>
              </w:rPr>
              <w:t xml:space="preserve"> </w:t>
            </w:r>
            <w:r w:rsidRPr="00581A4E">
              <w:rPr>
                <w:rFonts w:eastAsiaTheme="minorHAnsi"/>
                <w:bCs/>
                <w:i/>
                <w:sz w:val="24"/>
                <w:szCs w:val="24"/>
                <w:lang w:eastAsia="en-US"/>
              </w:rPr>
              <w:t xml:space="preserve">ПРАТ </w:t>
            </w:r>
            <w:r w:rsidR="00AF18F3" w:rsidRPr="00581A4E">
              <w:rPr>
                <w:rFonts w:eastAsiaTheme="minorHAnsi"/>
                <w:bCs/>
                <w:i/>
                <w:sz w:val="24"/>
                <w:szCs w:val="24"/>
                <w:lang w:eastAsia="en-US"/>
              </w:rPr>
              <w:t>«</w:t>
            </w:r>
            <w:r w:rsidRPr="00581A4E">
              <w:rPr>
                <w:rFonts w:eastAsiaTheme="minorHAnsi"/>
                <w:bCs/>
                <w:i/>
                <w:sz w:val="24"/>
                <w:szCs w:val="24"/>
                <w:lang w:eastAsia="en-US"/>
              </w:rPr>
              <w:t>РІВНЕОБЛЕНЕРГО</w:t>
            </w:r>
            <w:r w:rsidR="00AF18F3" w:rsidRPr="00581A4E">
              <w:rPr>
                <w:rFonts w:eastAsiaTheme="minorHAnsi"/>
                <w:bCs/>
                <w:i/>
                <w:sz w:val="24"/>
                <w:szCs w:val="24"/>
                <w:lang w:eastAsia="en-US"/>
              </w:rPr>
              <w:t>»</w:t>
            </w:r>
            <w:r w:rsidRPr="00581A4E">
              <w:rPr>
                <w:rFonts w:eastAsiaTheme="minorHAnsi"/>
                <w:bCs/>
                <w:i/>
                <w:sz w:val="24"/>
                <w:szCs w:val="24"/>
                <w:lang w:eastAsia="en-US"/>
              </w:rPr>
              <w:t xml:space="preserve"> було застосовано особливі регуляторні умови, які полягали у застосуванні дефіцитного тарифу, який не забезпечував відшкодування ліцензіатам річної структури витрат, а з </w:t>
            </w:r>
            <w:r w:rsidR="00D614CC" w:rsidRPr="00581A4E">
              <w:rPr>
                <w:rFonts w:eastAsiaTheme="minorHAnsi"/>
                <w:bCs/>
                <w:i/>
                <w:sz w:val="24"/>
                <w:szCs w:val="24"/>
                <w:lang w:eastAsia="en-US"/>
              </w:rPr>
              <w:br/>
            </w:r>
            <w:r w:rsidRPr="00581A4E">
              <w:rPr>
                <w:rFonts w:eastAsiaTheme="minorHAnsi"/>
                <w:bCs/>
                <w:i/>
                <w:sz w:val="24"/>
                <w:szCs w:val="24"/>
                <w:lang w:eastAsia="en-US"/>
              </w:rPr>
              <w:t>2024 року ще й визначенні тарифного прибутку на нульовому рівні, що призводило до недоотримання коштів від здійснення ліцензованої діяльності з розподілу електричної енергії та, як наслідок, значного дефіциту фінансових ресурсів Товариства. Внаслідок дії зазначеної тарифної політики, відбулося недофінансування статей витрат операційної діяльності та джерел інвестиційних програм. Під час здійснення заходів з перевірок, джерела інвестиційної програми були зменшені на суму її недовиконання, внаслідок чого Товариство не мало можливості  здійснити довиконання відповідних заходів ІП у наступних періодах. Все вищезазначене призвело до значного «відставання» вказаних ОСР від ОСР, до яких такі особливі умови не застосовувались, що унеможливлює застосування однакових умов оцінювання першого регуляторного періоду та однакових умов визначення відповідних  показників на другий регуляторний період. Відповідно до вказаного, показники другого регуляторного періоду для зазначених ОСР повинні бути скоригованими на стан фактичного виконання відповідних показників першого регуляторного періоду</w:t>
            </w:r>
            <w:r w:rsidR="00E67F3B" w:rsidRPr="00581A4E">
              <w:rPr>
                <w:rFonts w:eastAsiaTheme="minorHAnsi"/>
                <w:bCs/>
                <w:i/>
                <w:sz w:val="24"/>
                <w:szCs w:val="24"/>
                <w:lang w:eastAsia="en-US"/>
              </w:rPr>
              <w:t>.</w:t>
            </w:r>
          </w:p>
          <w:p w:rsidR="00E94605" w:rsidRPr="00581A4E" w:rsidRDefault="00E94605" w:rsidP="00B13091">
            <w:pPr>
              <w:shd w:val="clear" w:color="auto" w:fill="FFFFFF"/>
              <w:ind w:firstLine="181"/>
              <w:jc w:val="both"/>
              <w:rPr>
                <w:rFonts w:eastAsiaTheme="minorHAnsi"/>
                <w:bCs/>
                <w:i/>
                <w:sz w:val="24"/>
                <w:szCs w:val="24"/>
                <w:lang w:eastAsia="en-US"/>
              </w:rPr>
            </w:pPr>
          </w:p>
          <w:p w:rsidR="000A32AF" w:rsidRPr="00581A4E" w:rsidRDefault="000A32AF" w:rsidP="00B13091">
            <w:pPr>
              <w:shd w:val="clear" w:color="auto" w:fill="FFFFFF"/>
              <w:ind w:firstLine="181"/>
              <w:jc w:val="both"/>
              <w:rPr>
                <w:rFonts w:eastAsiaTheme="minorHAnsi"/>
                <w:b/>
                <w:bCs/>
                <w:sz w:val="24"/>
                <w:szCs w:val="24"/>
                <w:lang w:val="ru-RU" w:eastAsia="en-US"/>
              </w:rPr>
            </w:pPr>
            <w:r w:rsidRPr="00581A4E">
              <w:rPr>
                <w:rFonts w:eastAsiaTheme="minorHAnsi"/>
                <w:b/>
                <w:bCs/>
                <w:sz w:val="24"/>
                <w:szCs w:val="24"/>
                <w:lang w:eastAsia="en-US"/>
              </w:rPr>
              <w:t>Громадська спілка «Розумні електромережі України»</w:t>
            </w:r>
            <w:r w:rsidRPr="00581A4E">
              <w:rPr>
                <w:rFonts w:eastAsiaTheme="minorHAnsi"/>
                <w:b/>
                <w:bCs/>
                <w:sz w:val="24"/>
                <w:szCs w:val="24"/>
                <w:lang w:val="ru-RU" w:eastAsia="en-US"/>
              </w:rPr>
              <w:t xml:space="preserve"> (</w:t>
            </w:r>
            <w:r w:rsidRPr="00581A4E">
              <w:rPr>
                <w:rFonts w:eastAsiaTheme="minorHAnsi"/>
                <w:b/>
                <w:bCs/>
                <w:sz w:val="24"/>
                <w:szCs w:val="24"/>
                <w:lang w:eastAsia="en-US"/>
              </w:rPr>
              <w:t>лист від 16.02.2026 № 16-02/1</w:t>
            </w:r>
            <w:r w:rsidRPr="00581A4E">
              <w:rPr>
                <w:rFonts w:eastAsiaTheme="minorHAnsi"/>
                <w:b/>
                <w:bCs/>
                <w:sz w:val="24"/>
                <w:szCs w:val="24"/>
                <w:lang w:val="ru-RU" w:eastAsia="en-US"/>
              </w:rPr>
              <w:t>)</w:t>
            </w:r>
          </w:p>
          <w:p w:rsidR="003F5893" w:rsidRPr="00581A4E" w:rsidRDefault="003F5893" w:rsidP="000A32AF">
            <w:pPr>
              <w:shd w:val="clear" w:color="auto" w:fill="FFFFFF"/>
              <w:ind w:firstLine="41"/>
              <w:jc w:val="both"/>
              <w:rPr>
                <w:rFonts w:eastAsia="Aptos"/>
                <w:iCs/>
                <w:sz w:val="24"/>
                <w:szCs w:val="24"/>
                <w:lang w:eastAsia="en-US"/>
              </w:rPr>
            </w:pPr>
            <w:r w:rsidRPr="00581A4E">
              <w:rPr>
                <w:rFonts w:eastAsia="Aptos"/>
                <w:iCs/>
                <w:sz w:val="24"/>
                <w:szCs w:val="24"/>
                <w:lang w:eastAsia="en-US"/>
              </w:rPr>
              <w:t>…………………………………</w:t>
            </w:r>
          </w:p>
          <w:p w:rsidR="006A373B" w:rsidRPr="00581A4E" w:rsidRDefault="006A373B" w:rsidP="006A373B">
            <w:pPr>
              <w:shd w:val="clear" w:color="auto" w:fill="FFFFFF"/>
              <w:ind w:firstLine="181"/>
              <w:jc w:val="both"/>
              <w:rPr>
                <w:rFonts w:eastAsia="Aptos"/>
                <w:bCs/>
                <w:i/>
                <w:iCs/>
                <w:sz w:val="24"/>
                <w:szCs w:val="24"/>
                <w:lang w:eastAsia="en-US"/>
              </w:rPr>
            </w:pPr>
            <w:r w:rsidRPr="00581A4E">
              <w:rPr>
                <w:rFonts w:eastAsia="Aptos"/>
                <w:bCs/>
                <w:i/>
                <w:iCs/>
                <w:sz w:val="24"/>
                <w:szCs w:val="24"/>
                <w:lang w:eastAsia="en-US"/>
              </w:rPr>
              <w:t>Пропонується доповнення</w:t>
            </w:r>
          </w:p>
          <w:p w:rsidR="00AF18F3" w:rsidRPr="00581A4E" w:rsidRDefault="000A32AF" w:rsidP="00B13091">
            <w:pPr>
              <w:ind w:firstLine="181"/>
              <w:jc w:val="both"/>
              <w:rPr>
                <w:rFonts w:eastAsia="Calibri"/>
                <w:b/>
                <w:bCs/>
                <w:sz w:val="24"/>
                <w:szCs w:val="24"/>
                <w:lang w:eastAsia="en-US"/>
              </w:rPr>
            </w:pPr>
            <w:r w:rsidRPr="00581A4E">
              <w:rPr>
                <w:rFonts w:eastAsia="Calibri"/>
                <w:b/>
                <w:bCs/>
                <w:sz w:val="24"/>
                <w:szCs w:val="24"/>
                <w:lang w:eastAsia="en-US"/>
              </w:rPr>
              <w:t>Врахувати</w:t>
            </w:r>
            <w:r w:rsidR="00C05C47" w:rsidRPr="00581A4E">
              <w:rPr>
                <w:rFonts w:eastAsia="Calibri"/>
                <w:b/>
                <w:bCs/>
                <w:sz w:val="24"/>
                <w:szCs w:val="24"/>
                <w:lang w:eastAsia="en-US"/>
              </w:rPr>
              <w:t xml:space="preserve"> </w:t>
            </w:r>
            <w:r w:rsidRPr="00581A4E">
              <w:rPr>
                <w:rFonts w:eastAsia="Calibri"/>
                <w:b/>
                <w:bCs/>
                <w:sz w:val="24"/>
                <w:szCs w:val="24"/>
                <w:lang w:eastAsia="en-US"/>
              </w:rPr>
              <w:t>для</w:t>
            </w:r>
            <w:r w:rsidR="005F07E7" w:rsidRPr="00581A4E">
              <w:rPr>
                <w:rFonts w:eastAsia="Calibri"/>
                <w:b/>
                <w:bCs/>
                <w:sz w:val="24"/>
                <w:szCs w:val="24"/>
                <w:lang w:eastAsia="en-US"/>
              </w:rPr>
              <w:t xml:space="preserve"> </w:t>
            </w:r>
            <w:r w:rsidRPr="00581A4E">
              <w:rPr>
                <w:rFonts w:eastAsia="Calibri"/>
                <w:b/>
                <w:bCs/>
                <w:sz w:val="24"/>
                <w:szCs w:val="24"/>
                <w:lang w:eastAsia="en-US"/>
              </w:rPr>
              <w:t>ПрАТ</w:t>
            </w:r>
            <w:r w:rsidR="00AF18F3" w:rsidRPr="00581A4E">
              <w:rPr>
                <w:rFonts w:eastAsia="Calibri"/>
                <w:b/>
                <w:bCs/>
                <w:sz w:val="24"/>
                <w:szCs w:val="24"/>
                <w:lang w:eastAsia="en-US"/>
              </w:rPr>
              <w:t> </w:t>
            </w:r>
            <w:r w:rsidRPr="00581A4E">
              <w:rPr>
                <w:rFonts w:eastAsia="Calibri"/>
                <w:b/>
                <w:bCs/>
                <w:sz w:val="24"/>
                <w:szCs w:val="24"/>
                <w:lang w:eastAsia="en-US"/>
              </w:rPr>
              <w:t>«КІРОВОГРАДОБЛЕНЕРГО»,</w:t>
            </w:r>
            <w:r w:rsidR="00C05C47" w:rsidRPr="00581A4E">
              <w:rPr>
                <w:rFonts w:eastAsia="Calibri"/>
                <w:b/>
                <w:bCs/>
                <w:sz w:val="24"/>
                <w:szCs w:val="24"/>
                <w:lang w:eastAsia="en-US"/>
              </w:rPr>
              <w:t xml:space="preserve"> </w:t>
            </w:r>
            <w:r w:rsidR="006D3C3B" w:rsidRPr="00581A4E">
              <w:rPr>
                <w:rFonts w:eastAsia="Calibri"/>
                <w:b/>
                <w:bCs/>
                <w:sz w:val="24"/>
                <w:szCs w:val="24"/>
                <w:lang w:eastAsia="en-US"/>
              </w:rPr>
              <w:br/>
            </w:r>
            <w:r w:rsidRPr="00581A4E">
              <w:rPr>
                <w:rFonts w:eastAsia="Calibri"/>
                <w:b/>
                <w:bCs/>
                <w:sz w:val="24"/>
                <w:szCs w:val="24"/>
                <w:lang w:eastAsia="en-US"/>
              </w:rPr>
              <w:t>АТ</w:t>
            </w:r>
            <w:r w:rsidR="00AF18F3" w:rsidRPr="00581A4E">
              <w:rPr>
                <w:rFonts w:eastAsia="Calibri"/>
                <w:b/>
                <w:bCs/>
                <w:sz w:val="24"/>
                <w:szCs w:val="24"/>
                <w:lang w:eastAsia="en-US"/>
              </w:rPr>
              <w:t> </w:t>
            </w:r>
            <w:r w:rsidRPr="00581A4E">
              <w:rPr>
                <w:rFonts w:eastAsia="Calibri"/>
                <w:b/>
                <w:bCs/>
                <w:sz w:val="24"/>
                <w:szCs w:val="24"/>
                <w:lang w:eastAsia="en-US"/>
              </w:rPr>
              <w:t>«ЖИТОМИРОБЛЕНЕРГО», АТ</w:t>
            </w:r>
            <w:r w:rsidR="00AF18F3" w:rsidRPr="00581A4E">
              <w:rPr>
                <w:rFonts w:eastAsia="Calibri"/>
                <w:b/>
                <w:bCs/>
                <w:sz w:val="24"/>
                <w:szCs w:val="24"/>
                <w:lang w:eastAsia="en-US"/>
              </w:rPr>
              <w:t> </w:t>
            </w:r>
            <w:r w:rsidRPr="00581A4E">
              <w:rPr>
                <w:rFonts w:eastAsia="Calibri"/>
                <w:b/>
                <w:bCs/>
                <w:sz w:val="24"/>
                <w:szCs w:val="24"/>
                <w:lang w:eastAsia="en-US"/>
              </w:rPr>
              <w:t>«ЧЕРНІВЦІОБЛЕНЕРГО»</w:t>
            </w:r>
            <w:r w:rsidR="005F07E7" w:rsidRPr="00581A4E">
              <w:rPr>
                <w:rFonts w:eastAsia="Calibri"/>
                <w:b/>
                <w:bCs/>
                <w:sz w:val="24"/>
                <w:szCs w:val="24"/>
                <w:lang w:eastAsia="en-US"/>
              </w:rPr>
              <w:t xml:space="preserve"> </w:t>
            </w:r>
            <w:r w:rsidRPr="00581A4E">
              <w:rPr>
                <w:rFonts w:eastAsia="Calibri"/>
                <w:b/>
                <w:bCs/>
                <w:sz w:val="24"/>
                <w:szCs w:val="24"/>
                <w:lang w:eastAsia="en-US"/>
              </w:rPr>
              <w:t xml:space="preserve">та </w:t>
            </w:r>
          </w:p>
          <w:p w:rsidR="000A32AF" w:rsidRPr="00581A4E" w:rsidRDefault="000A32AF" w:rsidP="00B13091">
            <w:pPr>
              <w:ind w:firstLine="181"/>
              <w:jc w:val="both"/>
              <w:rPr>
                <w:rFonts w:eastAsia="Calibri"/>
                <w:b/>
                <w:bCs/>
                <w:sz w:val="24"/>
                <w:szCs w:val="24"/>
                <w:lang w:eastAsia="en-US"/>
              </w:rPr>
            </w:pPr>
            <w:r w:rsidRPr="00581A4E">
              <w:rPr>
                <w:rFonts w:eastAsia="Calibri"/>
                <w:b/>
                <w:bCs/>
                <w:sz w:val="24"/>
                <w:szCs w:val="24"/>
                <w:lang w:eastAsia="en-US"/>
              </w:rPr>
              <w:t>ПрАТ «РІВНЕОБЛЕНЕРГО» під час оцінювання результатів досягнення фактичних показників першого регуляторного періоду та при встановленні показників ефективності на другий регуляторний період вплив особливих умов формування тарифної політики, що діяли протягом першого регуляторного періоду.</w:t>
            </w:r>
          </w:p>
          <w:p w:rsidR="0044361C" w:rsidRPr="00581A4E" w:rsidRDefault="006A373B" w:rsidP="006A373B">
            <w:pPr>
              <w:ind w:firstLine="181"/>
              <w:jc w:val="both"/>
              <w:rPr>
                <w:rFonts w:eastAsia="Calibri"/>
                <w:b/>
                <w:bCs/>
                <w:sz w:val="24"/>
                <w:szCs w:val="24"/>
                <w:lang w:eastAsia="en-US"/>
              </w:rPr>
            </w:pPr>
            <w:r w:rsidRPr="00581A4E">
              <w:rPr>
                <w:rFonts w:eastAsiaTheme="minorHAnsi"/>
                <w:bCs/>
                <w:i/>
                <w:sz w:val="24"/>
                <w:szCs w:val="24"/>
                <w:lang w:eastAsia="en-US"/>
              </w:rPr>
              <w:t>Обґрунтування</w:t>
            </w:r>
          </w:p>
          <w:p w:rsidR="005F07E7" w:rsidRPr="00581A4E" w:rsidRDefault="005F07E7" w:rsidP="00B13091">
            <w:pPr>
              <w:spacing w:line="256" w:lineRule="auto"/>
              <w:ind w:firstLine="181"/>
              <w:jc w:val="both"/>
              <w:rPr>
                <w:i/>
                <w:sz w:val="24"/>
                <w:szCs w:val="24"/>
                <w:shd w:val="clear" w:color="auto" w:fill="FFFFFF"/>
              </w:rPr>
            </w:pPr>
            <w:r w:rsidRPr="00581A4E">
              <w:rPr>
                <w:i/>
                <w:sz w:val="24"/>
                <w:szCs w:val="24"/>
                <w:shd w:val="clear" w:color="auto" w:fill="FFFFFF"/>
              </w:rPr>
              <w:t>Протягом першого регуляторного періоду, починаючи з 2023 року, до деяких членів ГС «Розумні електромережі України» - ПрАТ «КІРОВОГРАДОБЛЕНЕРГО», АТ «ЖИТОМИРОБЛЕНЕРГО», АТ «ЧЕРНІВЦІОБЛЕНЕРГО» та ПрАТ «РІВНЕОБЛЕНЕРГО», застосовувалися особливі регуляторні умови. Зокрема, у 2023 році для зазначених операторів систем розподілу було встановлено дефіцитний тариф, який не забезпечував повного відшкодування річної структури витрат. Починаючи з 2024 року, тарифний прибуток визначався на нульовому рівні.</w:t>
            </w:r>
          </w:p>
          <w:p w:rsidR="005F07E7" w:rsidRPr="00581A4E" w:rsidRDefault="005F07E7" w:rsidP="00B13091">
            <w:pPr>
              <w:spacing w:line="256" w:lineRule="auto"/>
              <w:ind w:firstLine="181"/>
              <w:jc w:val="both"/>
              <w:rPr>
                <w:i/>
                <w:sz w:val="24"/>
                <w:szCs w:val="24"/>
                <w:shd w:val="clear" w:color="auto" w:fill="FFFFFF"/>
              </w:rPr>
            </w:pPr>
            <w:r w:rsidRPr="00581A4E">
              <w:rPr>
                <w:i/>
                <w:sz w:val="24"/>
                <w:szCs w:val="24"/>
                <w:shd w:val="clear" w:color="auto" w:fill="FFFFFF"/>
              </w:rPr>
              <w:t>Такі рішення призвели до системного недоотримання коштів від здійснення ліцензованої діяльності з розподілу електричної енергії та, як наслідок, до суттєвого дефіциту фінансових ресурсів. У результаті відбулося недофінансування витрат операційної діяльності та джерел фінансування інвестиційних програм.</w:t>
            </w:r>
          </w:p>
          <w:p w:rsidR="005F07E7" w:rsidRPr="00581A4E" w:rsidRDefault="005F07E7" w:rsidP="00B13091">
            <w:pPr>
              <w:spacing w:line="256" w:lineRule="auto"/>
              <w:ind w:firstLine="181"/>
              <w:jc w:val="both"/>
              <w:rPr>
                <w:i/>
                <w:sz w:val="24"/>
                <w:szCs w:val="24"/>
                <w:shd w:val="clear" w:color="auto" w:fill="FFFFFF"/>
              </w:rPr>
            </w:pPr>
            <w:r w:rsidRPr="00581A4E">
              <w:rPr>
                <w:i/>
                <w:sz w:val="24"/>
                <w:szCs w:val="24"/>
                <w:shd w:val="clear" w:color="auto" w:fill="FFFFFF"/>
              </w:rPr>
              <w:t>Крім того, під час проведення перевірок обсяги фінансування інвестиційних програм зазначених товариств були зменшені на суму їх недовиконання. Це фактично унеможливило довиконання відповідних заходів інвестиційних програм у наступних періодах.</w:t>
            </w:r>
          </w:p>
          <w:p w:rsidR="005F07E7" w:rsidRPr="00581A4E" w:rsidRDefault="005F07E7" w:rsidP="00B13091">
            <w:pPr>
              <w:spacing w:line="256" w:lineRule="auto"/>
              <w:ind w:firstLine="181"/>
              <w:jc w:val="both"/>
              <w:rPr>
                <w:i/>
                <w:sz w:val="24"/>
                <w:szCs w:val="24"/>
                <w:shd w:val="clear" w:color="auto" w:fill="FFFFFF"/>
              </w:rPr>
            </w:pPr>
            <w:r w:rsidRPr="00581A4E">
              <w:rPr>
                <w:i/>
                <w:sz w:val="24"/>
                <w:szCs w:val="24"/>
                <w:shd w:val="clear" w:color="auto" w:fill="FFFFFF"/>
              </w:rPr>
              <w:t>У сукупності зазначені обставини спричинили істотне відставання цих ОСР від інших операторів систем розподілу, до яких подібні регуляторні обмеження не застосовувалися. За таких умов застосування однакових підходів до оцінювання результатів першого регуляторного періоду та визначення показників на другий регуляторний період не відповідає принципу об’єктивності та недискримінаційності державного регулювання.</w:t>
            </w:r>
          </w:p>
          <w:p w:rsidR="005F07E7" w:rsidRPr="00581A4E" w:rsidRDefault="005F07E7" w:rsidP="00B13091">
            <w:pPr>
              <w:spacing w:line="256" w:lineRule="auto"/>
              <w:ind w:firstLine="181"/>
              <w:jc w:val="both"/>
              <w:rPr>
                <w:i/>
                <w:sz w:val="24"/>
                <w:szCs w:val="24"/>
                <w:shd w:val="clear" w:color="auto" w:fill="FFFFFF"/>
              </w:rPr>
            </w:pPr>
            <w:r w:rsidRPr="00581A4E">
              <w:rPr>
                <w:i/>
                <w:sz w:val="24"/>
                <w:szCs w:val="24"/>
                <w:shd w:val="clear" w:color="auto" w:fill="FFFFFF"/>
              </w:rPr>
              <w:t>Відповідно до статті 4 Закону України «Про НКРЕКП» діяльність Регулятора здійснюється на засадах недискримінаційності та рівності прав суб’єктів господарювання. Отже, встановлення однакових критеріїв оцінювання для ОСР, які перебували в різних регуляторних умовах, без урахування впливу таких умов, може призвести до фактичної дискримінації зазначених товариств.</w:t>
            </w:r>
          </w:p>
          <w:p w:rsidR="00C9054D" w:rsidRPr="00581A4E" w:rsidRDefault="005F07E7" w:rsidP="00B13091">
            <w:pPr>
              <w:shd w:val="clear" w:color="auto" w:fill="FFFFFF"/>
              <w:ind w:firstLine="181"/>
              <w:jc w:val="both"/>
              <w:rPr>
                <w:rFonts w:eastAsiaTheme="minorHAnsi"/>
                <w:b/>
                <w:bCs/>
                <w:i/>
                <w:sz w:val="24"/>
                <w:szCs w:val="24"/>
                <w:lang w:eastAsia="en-US"/>
              </w:rPr>
            </w:pPr>
            <w:r w:rsidRPr="00581A4E">
              <w:rPr>
                <w:i/>
                <w:sz w:val="24"/>
                <w:szCs w:val="24"/>
                <w:shd w:val="clear" w:color="auto" w:fill="FFFFFF"/>
              </w:rPr>
              <w:t>З огляду на викладене, визначення показників другого регуляторного періоду для цих ОСР має здійснюватися з урахуванням впливу особливих регуляторних умов та фактичного стану виконання показників першого регуляторного періоду.</w:t>
            </w:r>
          </w:p>
          <w:p w:rsidR="000A32AF" w:rsidRPr="00581A4E" w:rsidRDefault="000A32AF" w:rsidP="00C9054D">
            <w:pPr>
              <w:shd w:val="clear" w:color="auto" w:fill="FFFFFF"/>
              <w:ind w:firstLine="41"/>
              <w:jc w:val="both"/>
              <w:rPr>
                <w:rFonts w:eastAsiaTheme="minorHAnsi"/>
                <w:b/>
                <w:bCs/>
                <w:sz w:val="24"/>
                <w:szCs w:val="24"/>
                <w:lang w:eastAsia="en-US"/>
              </w:rPr>
            </w:pPr>
          </w:p>
          <w:p w:rsidR="006A373B" w:rsidRPr="00581A4E" w:rsidRDefault="006A373B" w:rsidP="00C9054D">
            <w:pPr>
              <w:shd w:val="clear" w:color="auto" w:fill="FFFFFF"/>
              <w:ind w:firstLine="41"/>
              <w:jc w:val="both"/>
              <w:rPr>
                <w:rFonts w:eastAsiaTheme="minorHAnsi"/>
                <w:b/>
                <w:bCs/>
                <w:sz w:val="24"/>
                <w:szCs w:val="24"/>
                <w:lang w:eastAsia="en-US"/>
              </w:rPr>
            </w:pPr>
          </w:p>
          <w:p w:rsidR="006A373B" w:rsidRPr="00581A4E" w:rsidRDefault="006A373B" w:rsidP="006A373B">
            <w:pPr>
              <w:shd w:val="clear" w:color="auto" w:fill="FFFFFF"/>
              <w:ind w:firstLine="323"/>
              <w:jc w:val="both"/>
              <w:rPr>
                <w:rFonts w:eastAsiaTheme="minorHAnsi"/>
                <w:b/>
                <w:bCs/>
                <w:sz w:val="24"/>
                <w:szCs w:val="24"/>
                <w:lang w:val="ru-RU" w:eastAsia="en-US"/>
              </w:rPr>
            </w:pPr>
            <w:r w:rsidRPr="00581A4E">
              <w:rPr>
                <w:rFonts w:eastAsiaTheme="minorHAnsi"/>
                <w:b/>
                <w:bCs/>
                <w:sz w:val="24"/>
                <w:szCs w:val="24"/>
                <w:lang w:eastAsia="en-US"/>
              </w:rPr>
              <w:t>АТ «ДТЕК ОДЕСЬКІ ЕЛЕКТРОМЕРЕЖІ»</w:t>
            </w:r>
            <w:r w:rsidRPr="00581A4E">
              <w:rPr>
                <w:rFonts w:eastAsiaTheme="minorHAnsi"/>
                <w:b/>
                <w:bCs/>
                <w:sz w:val="24"/>
                <w:szCs w:val="24"/>
                <w:lang w:val="ru-RU" w:eastAsia="en-US"/>
              </w:rPr>
              <w:t xml:space="preserve"> (</w:t>
            </w:r>
            <w:r w:rsidRPr="00581A4E">
              <w:rPr>
                <w:rFonts w:eastAsiaTheme="minorHAnsi"/>
                <w:b/>
                <w:bCs/>
                <w:sz w:val="24"/>
                <w:szCs w:val="24"/>
                <w:lang w:eastAsia="en-US"/>
              </w:rPr>
              <w:t>лист від 13.02.2026 № 101/04/03-1975</w:t>
            </w:r>
            <w:r w:rsidRPr="00581A4E">
              <w:rPr>
                <w:rFonts w:eastAsiaTheme="minorHAnsi"/>
                <w:b/>
                <w:bCs/>
                <w:sz w:val="24"/>
                <w:szCs w:val="24"/>
                <w:lang w:val="ru-RU" w:eastAsia="en-US"/>
              </w:rPr>
              <w:t>)</w:t>
            </w:r>
          </w:p>
          <w:p w:rsidR="006A373B" w:rsidRPr="00581A4E" w:rsidRDefault="006A373B" w:rsidP="006A373B">
            <w:pPr>
              <w:shd w:val="clear" w:color="auto" w:fill="FFFFFF"/>
              <w:ind w:firstLine="323"/>
              <w:jc w:val="both"/>
              <w:rPr>
                <w:rFonts w:eastAsiaTheme="minorHAnsi"/>
                <w:bCs/>
                <w:sz w:val="24"/>
                <w:szCs w:val="24"/>
                <w:lang w:eastAsia="en-US"/>
              </w:rPr>
            </w:pPr>
            <w:r w:rsidRPr="00581A4E">
              <w:rPr>
                <w:rFonts w:eastAsiaTheme="minorHAnsi"/>
                <w:bCs/>
                <w:sz w:val="24"/>
                <w:szCs w:val="24"/>
                <w:lang w:eastAsia="en-US"/>
              </w:rPr>
              <w:t>………………………………</w:t>
            </w:r>
          </w:p>
          <w:p w:rsidR="006A373B" w:rsidRPr="00581A4E" w:rsidRDefault="006A373B" w:rsidP="006A373B">
            <w:pPr>
              <w:shd w:val="clear" w:color="auto" w:fill="FFFFFF"/>
              <w:ind w:firstLine="323"/>
              <w:jc w:val="both"/>
              <w:rPr>
                <w:rFonts w:eastAsiaTheme="minorHAnsi"/>
                <w:bCs/>
                <w:i/>
                <w:sz w:val="24"/>
                <w:szCs w:val="24"/>
                <w:lang w:eastAsia="en-US"/>
              </w:rPr>
            </w:pPr>
            <w:r w:rsidRPr="00581A4E">
              <w:rPr>
                <w:rFonts w:eastAsiaTheme="minorHAnsi"/>
                <w:bCs/>
                <w:i/>
                <w:sz w:val="24"/>
                <w:szCs w:val="24"/>
                <w:lang w:eastAsia="en-US"/>
              </w:rPr>
              <w:t>Пропонується доповнення</w:t>
            </w:r>
          </w:p>
          <w:p w:rsidR="006A373B" w:rsidRPr="00581A4E" w:rsidRDefault="006A373B" w:rsidP="006A373B">
            <w:pPr>
              <w:shd w:val="clear" w:color="auto" w:fill="FFFFFF"/>
              <w:ind w:firstLine="323"/>
              <w:jc w:val="both"/>
              <w:rPr>
                <w:rFonts w:eastAsiaTheme="minorHAnsi"/>
                <w:b/>
                <w:bCs/>
                <w:sz w:val="24"/>
                <w:szCs w:val="24"/>
                <w:lang w:eastAsia="en-US"/>
              </w:rPr>
            </w:pPr>
            <w:r w:rsidRPr="00581A4E">
              <w:rPr>
                <w:rFonts w:eastAsiaTheme="minorHAnsi"/>
                <w:b/>
                <w:bCs/>
                <w:sz w:val="24"/>
                <w:szCs w:val="24"/>
                <w:lang w:eastAsia="en-US"/>
              </w:rPr>
              <w:t xml:space="preserve">З метою визначення показників ефективності на другий регуляторний період </w:t>
            </w:r>
            <w:proofErr w:type="spellStart"/>
            <w:r w:rsidRPr="00581A4E">
              <w:rPr>
                <w:rFonts w:eastAsiaTheme="minorHAnsi"/>
                <w:b/>
                <w:bCs/>
                <w:sz w:val="24"/>
                <w:szCs w:val="24"/>
                <w:lang w:val="ru-RU" w:eastAsia="en-US"/>
              </w:rPr>
              <w:t>дос</w:t>
            </w:r>
            <w:r w:rsidRPr="00581A4E">
              <w:rPr>
                <w:rFonts w:eastAsiaTheme="minorHAnsi"/>
                <w:b/>
                <w:bCs/>
                <w:sz w:val="24"/>
                <w:szCs w:val="24"/>
                <w:lang w:eastAsia="en-US"/>
              </w:rPr>
              <w:t>ліджуються</w:t>
            </w:r>
            <w:proofErr w:type="spellEnd"/>
            <w:r w:rsidRPr="00581A4E">
              <w:rPr>
                <w:rFonts w:eastAsiaTheme="minorHAnsi"/>
                <w:b/>
                <w:bCs/>
                <w:sz w:val="24"/>
                <w:szCs w:val="24"/>
                <w:lang w:eastAsia="en-US"/>
              </w:rPr>
              <w:t xml:space="preserve"> зміни стану електричних мереж та структури споживання за результатами критичних пошкоджень електричних мереж, окупації територій та активів крупних споживачів, зміни структури розподілу. За результатами запроваджується диференційований підхід стосовно формування груп ОСР з різними цільовими показниками ефективності втрат та цільових завдань щодо щорічного скорочення операційних контрольованих витрат на другий регуляторний період. </w:t>
            </w:r>
          </w:p>
          <w:p w:rsidR="006A373B" w:rsidRPr="00581A4E" w:rsidRDefault="006A373B" w:rsidP="006A373B">
            <w:pPr>
              <w:shd w:val="clear" w:color="auto" w:fill="FFFFFF"/>
              <w:spacing w:line="120" w:lineRule="auto"/>
              <w:ind w:firstLine="323"/>
              <w:jc w:val="both"/>
              <w:rPr>
                <w:rFonts w:eastAsiaTheme="minorHAnsi"/>
                <w:bCs/>
                <w:i/>
                <w:sz w:val="24"/>
                <w:szCs w:val="24"/>
                <w:lang w:eastAsia="en-US"/>
              </w:rPr>
            </w:pPr>
          </w:p>
          <w:p w:rsidR="006A373B" w:rsidRPr="00581A4E" w:rsidRDefault="006A373B" w:rsidP="006A373B">
            <w:pPr>
              <w:shd w:val="clear" w:color="auto" w:fill="FFFFFF"/>
              <w:ind w:firstLine="323"/>
              <w:jc w:val="both"/>
              <w:rPr>
                <w:rFonts w:eastAsiaTheme="minorHAnsi"/>
                <w:bCs/>
                <w:i/>
                <w:sz w:val="24"/>
                <w:szCs w:val="24"/>
                <w:lang w:eastAsia="en-US"/>
              </w:rPr>
            </w:pPr>
            <w:r w:rsidRPr="00581A4E">
              <w:rPr>
                <w:rFonts w:eastAsiaTheme="minorHAnsi"/>
                <w:b/>
                <w:bCs/>
                <w:sz w:val="24"/>
                <w:szCs w:val="24"/>
                <w:lang w:eastAsia="en-US"/>
              </w:rPr>
              <w:t xml:space="preserve"> </w:t>
            </w:r>
            <w:r w:rsidRPr="00581A4E">
              <w:rPr>
                <w:rFonts w:eastAsiaTheme="minorHAnsi"/>
                <w:bCs/>
                <w:i/>
                <w:sz w:val="24"/>
                <w:szCs w:val="24"/>
                <w:lang w:eastAsia="en-US"/>
              </w:rPr>
              <w:t>Пропонується запровадити групи ОСР, відповідно до яких визначити показники ефективності:</w:t>
            </w:r>
          </w:p>
          <w:p w:rsidR="006A373B" w:rsidRPr="00581A4E" w:rsidRDefault="006A373B" w:rsidP="006A373B">
            <w:pPr>
              <w:shd w:val="clear" w:color="auto" w:fill="FFFFFF"/>
              <w:ind w:firstLine="41"/>
              <w:jc w:val="both"/>
              <w:rPr>
                <w:rFonts w:eastAsiaTheme="minorHAnsi"/>
                <w:bCs/>
                <w:i/>
                <w:sz w:val="24"/>
                <w:szCs w:val="24"/>
                <w:lang w:eastAsia="en-US"/>
              </w:rPr>
            </w:pPr>
            <w:r w:rsidRPr="00581A4E">
              <w:rPr>
                <w:rFonts w:eastAsiaTheme="minorHAnsi"/>
                <w:bCs/>
                <w:i/>
                <w:sz w:val="24"/>
                <w:szCs w:val="24"/>
                <w:lang w:eastAsia="en-US"/>
              </w:rPr>
              <w:t xml:space="preserve">- </w:t>
            </w:r>
            <w:r w:rsidRPr="00581A4E">
              <w:rPr>
                <w:rFonts w:eastAsiaTheme="minorHAnsi"/>
                <w:b/>
                <w:bCs/>
                <w:i/>
                <w:sz w:val="24"/>
                <w:szCs w:val="24"/>
                <w:lang w:eastAsia="en-US"/>
              </w:rPr>
              <w:t>(група 1 ОСР</w:t>
            </w:r>
            <w:r w:rsidRPr="00581A4E">
              <w:rPr>
                <w:rFonts w:eastAsiaTheme="minorHAnsi"/>
                <w:bCs/>
                <w:i/>
                <w:sz w:val="24"/>
                <w:szCs w:val="24"/>
                <w:lang w:eastAsia="en-US"/>
              </w:rPr>
              <w:t xml:space="preserve">) Віднесені до додатку </w:t>
            </w:r>
            <w:r w:rsidRPr="00581A4E">
              <w:rPr>
                <w:rFonts w:eastAsiaTheme="minorHAnsi"/>
                <w:bCs/>
                <w:i/>
                <w:sz w:val="24"/>
                <w:szCs w:val="24"/>
                <w:lang w:val="ru-RU" w:eastAsia="en-US"/>
              </w:rPr>
              <w:t xml:space="preserve">32 ПНКРЕКП 1175; </w:t>
            </w:r>
            <w:r w:rsidRPr="00581A4E">
              <w:rPr>
                <w:rFonts w:eastAsiaTheme="minorHAnsi"/>
                <w:bCs/>
                <w:i/>
                <w:sz w:val="24"/>
                <w:szCs w:val="24"/>
                <w:lang w:eastAsia="en-US"/>
              </w:rPr>
              <w:t>значні руйнування/критичні пошкодження</w:t>
            </w:r>
            <w:r w:rsidRPr="00581A4E">
              <w:rPr>
                <w:rFonts w:eastAsiaTheme="minorHAnsi"/>
                <w:bCs/>
                <w:i/>
                <w:sz w:val="24"/>
                <w:szCs w:val="24"/>
                <w:lang w:val="ru-RU" w:eastAsia="en-US"/>
              </w:rPr>
              <w:t xml:space="preserve"> </w:t>
            </w:r>
            <w:r w:rsidRPr="00581A4E">
              <w:rPr>
                <w:rFonts w:eastAsiaTheme="minorHAnsi"/>
                <w:bCs/>
                <w:i/>
                <w:sz w:val="24"/>
                <w:szCs w:val="24"/>
                <w:lang w:eastAsia="en-US"/>
              </w:rPr>
              <w:t>та зміни структури споживання, з окупованими територіями. Пропонується застосовувати показник ефективності ТВЕ для групи 1</w:t>
            </w:r>
            <w:r w:rsidRPr="00581A4E">
              <w:rPr>
                <w:rFonts w:eastAsiaTheme="minorHAnsi"/>
                <w:bCs/>
                <w:i/>
                <w:sz w:val="24"/>
                <w:szCs w:val="24"/>
                <w:lang w:val="ru-RU" w:eastAsia="en-US"/>
              </w:rPr>
              <w:t xml:space="preserve"> </w:t>
            </w:r>
            <w:r w:rsidRPr="00581A4E">
              <w:rPr>
                <w:rFonts w:eastAsiaTheme="minorHAnsi"/>
                <w:bCs/>
                <w:i/>
                <w:sz w:val="24"/>
                <w:szCs w:val="24"/>
                <w:lang w:eastAsia="en-US"/>
              </w:rPr>
              <w:t xml:space="preserve">на рівні: </w:t>
            </w:r>
          </w:p>
          <w:p w:rsidR="006A373B" w:rsidRPr="00581A4E" w:rsidRDefault="006A373B" w:rsidP="006A373B">
            <w:pPr>
              <w:shd w:val="clear" w:color="auto" w:fill="FFFFFF"/>
              <w:ind w:firstLine="41"/>
              <w:jc w:val="both"/>
              <w:rPr>
                <w:rFonts w:eastAsiaTheme="minorHAnsi"/>
                <w:bCs/>
                <w:i/>
                <w:sz w:val="24"/>
                <w:szCs w:val="24"/>
                <w:lang w:eastAsia="en-US"/>
              </w:rPr>
            </w:pPr>
            <w:r w:rsidRPr="00581A4E">
              <w:rPr>
                <w:rFonts w:eastAsiaTheme="minorHAnsi"/>
                <w:bCs/>
                <w:i/>
                <w:sz w:val="24"/>
                <w:szCs w:val="24"/>
                <w:lang w:eastAsia="en-US"/>
              </w:rPr>
              <w:t xml:space="preserve">-за умов воєнного стану 0 </w:t>
            </w:r>
            <w:proofErr w:type="spellStart"/>
            <w:r w:rsidRPr="00581A4E">
              <w:rPr>
                <w:rFonts w:eastAsiaTheme="minorHAnsi"/>
                <w:bCs/>
                <w:i/>
                <w:sz w:val="24"/>
                <w:szCs w:val="24"/>
                <w:lang w:eastAsia="en-US"/>
              </w:rPr>
              <w:t>у.о</w:t>
            </w:r>
            <w:proofErr w:type="spellEnd"/>
            <w:r w:rsidRPr="00581A4E">
              <w:rPr>
                <w:rFonts w:eastAsiaTheme="minorHAnsi"/>
                <w:bCs/>
                <w:i/>
                <w:sz w:val="24"/>
                <w:szCs w:val="24"/>
                <w:lang w:eastAsia="en-US"/>
              </w:rPr>
              <w:t>.;</w:t>
            </w:r>
          </w:p>
          <w:p w:rsidR="006A373B" w:rsidRPr="00581A4E" w:rsidRDefault="006A373B" w:rsidP="006A373B">
            <w:pPr>
              <w:shd w:val="clear" w:color="auto" w:fill="FFFFFF"/>
              <w:ind w:firstLine="41"/>
              <w:jc w:val="both"/>
              <w:rPr>
                <w:rFonts w:eastAsiaTheme="minorHAnsi"/>
                <w:b/>
                <w:bCs/>
                <w:i/>
                <w:sz w:val="24"/>
                <w:szCs w:val="24"/>
                <w:lang w:eastAsia="en-US"/>
              </w:rPr>
            </w:pPr>
            <w:r w:rsidRPr="00581A4E">
              <w:rPr>
                <w:rFonts w:eastAsiaTheme="minorHAnsi"/>
                <w:b/>
                <w:bCs/>
                <w:i/>
                <w:sz w:val="24"/>
                <w:szCs w:val="24"/>
                <w:lang w:eastAsia="en-US"/>
              </w:rPr>
              <w:t>-за умов скасування воєнного стану (0,33 для втрат 1 класу та 1,17 для втрат 2 класу).</w:t>
            </w:r>
          </w:p>
          <w:p w:rsidR="006A373B" w:rsidRPr="00581A4E" w:rsidRDefault="006A373B" w:rsidP="006A373B">
            <w:pPr>
              <w:shd w:val="clear" w:color="auto" w:fill="FFFFFF"/>
              <w:ind w:firstLine="41"/>
              <w:jc w:val="both"/>
              <w:rPr>
                <w:rFonts w:eastAsiaTheme="minorHAnsi"/>
                <w:bCs/>
                <w:i/>
                <w:sz w:val="24"/>
                <w:szCs w:val="24"/>
                <w:lang w:eastAsia="en-US"/>
              </w:rPr>
            </w:pPr>
            <w:r w:rsidRPr="00581A4E">
              <w:rPr>
                <w:rFonts w:eastAsiaTheme="minorHAnsi"/>
                <w:bCs/>
                <w:i/>
                <w:sz w:val="24"/>
                <w:szCs w:val="24"/>
                <w:lang w:eastAsia="en-US"/>
              </w:rPr>
              <w:t xml:space="preserve"> Також пропонується доповнити додаток </w:t>
            </w:r>
            <w:r w:rsidRPr="00581A4E">
              <w:rPr>
                <w:rFonts w:eastAsiaTheme="minorHAnsi"/>
                <w:bCs/>
                <w:i/>
                <w:sz w:val="24"/>
                <w:szCs w:val="24"/>
                <w:lang w:eastAsia="en-US"/>
              </w:rPr>
              <w:br/>
              <w:t xml:space="preserve">32 </w:t>
            </w:r>
            <w:r w:rsidRPr="00581A4E">
              <w:rPr>
                <w:rFonts w:eastAsiaTheme="minorHAnsi"/>
                <w:bCs/>
                <w:i/>
                <w:sz w:val="24"/>
                <w:szCs w:val="24"/>
                <w:lang w:val="ru-RU" w:eastAsia="en-US"/>
              </w:rPr>
              <w:t>ПНКРЕКП 1175 операторами систем</w:t>
            </w:r>
            <w:r w:rsidRPr="00581A4E">
              <w:rPr>
                <w:rFonts w:eastAsiaTheme="minorHAnsi"/>
                <w:bCs/>
                <w:i/>
                <w:sz w:val="24"/>
                <w:szCs w:val="24"/>
                <w:lang w:eastAsia="en-US"/>
              </w:rPr>
              <w:t xml:space="preserve"> розподілу, активи яких зазнали критичних пошкоджень, та на території яких ведуться бойові дії, зокрема АТ «ДТЕК Одеські електромережі». Резерви для зниження ТВЕ через застосування показника ефективності таких ОСР вичерпані.  </w:t>
            </w:r>
          </w:p>
          <w:p w:rsidR="006A373B" w:rsidRPr="00581A4E" w:rsidRDefault="006A373B" w:rsidP="006A373B">
            <w:pPr>
              <w:shd w:val="clear" w:color="auto" w:fill="FFFFFF"/>
              <w:ind w:firstLine="41"/>
              <w:jc w:val="both"/>
              <w:rPr>
                <w:rFonts w:eastAsiaTheme="minorHAnsi"/>
                <w:b/>
                <w:bCs/>
                <w:i/>
                <w:sz w:val="24"/>
                <w:szCs w:val="24"/>
                <w:lang w:eastAsia="en-US"/>
              </w:rPr>
            </w:pPr>
            <w:r w:rsidRPr="00581A4E">
              <w:rPr>
                <w:rFonts w:eastAsiaTheme="minorHAnsi"/>
                <w:bCs/>
                <w:i/>
                <w:sz w:val="24"/>
                <w:szCs w:val="24"/>
                <w:lang w:eastAsia="en-US"/>
              </w:rPr>
              <w:t xml:space="preserve">- </w:t>
            </w:r>
            <w:r w:rsidRPr="00581A4E">
              <w:rPr>
                <w:rFonts w:eastAsiaTheme="minorHAnsi"/>
                <w:b/>
                <w:bCs/>
                <w:i/>
                <w:sz w:val="24"/>
                <w:szCs w:val="24"/>
                <w:lang w:eastAsia="en-US"/>
              </w:rPr>
              <w:t>(Група 2 ОСР)</w:t>
            </w:r>
            <w:r w:rsidRPr="00581A4E">
              <w:rPr>
                <w:rFonts w:eastAsiaTheme="minorHAnsi"/>
                <w:bCs/>
                <w:i/>
                <w:sz w:val="24"/>
                <w:szCs w:val="24"/>
                <w:lang w:eastAsia="en-US"/>
              </w:rPr>
              <w:t xml:space="preserve"> Пропонується створити  окремий додаток в ПНКРЕКП 1175, до якого включити ОСР, обладнання яких  зазнало пошкоджень внаслідок воєнної агресії, яке не може бути відновлене протягом 2 років та</w:t>
            </w:r>
            <w:r w:rsidRPr="00581A4E">
              <w:rPr>
                <w:rFonts w:eastAsiaTheme="minorHAnsi"/>
                <w:bCs/>
                <w:i/>
                <w:sz w:val="24"/>
                <w:szCs w:val="24"/>
                <w:lang w:val="ru-RU" w:eastAsia="en-US"/>
              </w:rPr>
              <w:t>/</w:t>
            </w:r>
            <w:r w:rsidRPr="00581A4E">
              <w:rPr>
                <w:rFonts w:eastAsiaTheme="minorHAnsi"/>
                <w:bCs/>
                <w:i/>
                <w:sz w:val="24"/>
                <w:szCs w:val="24"/>
                <w:lang w:eastAsia="en-US"/>
              </w:rPr>
              <w:t>або по яким наявні зміни  структури споживання (що впливає на зростання втрат). Для таких ОСР неможливе досягнення стандартних показників цільових довоєнних показників ефективності через довгостроковий вплив вищезазначених факторів</w:t>
            </w:r>
            <w:r w:rsidRPr="00581A4E">
              <w:rPr>
                <w:rFonts w:eastAsiaTheme="minorHAnsi"/>
                <w:bCs/>
                <w:i/>
                <w:sz w:val="24"/>
                <w:szCs w:val="24"/>
                <w:lang w:val="ru-RU" w:eastAsia="en-US"/>
              </w:rPr>
              <w:t xml:space="preserve">. </w:t>
            </w:r>
            <w:proofErr w:type="spellStart"/>
            <w:r w:rsidRPr="00581A4E">
              <w:rPr>
                <w:rFonts w:eastAsiaTheme="minorHAnsi"/>
                <w:bCs/>
                <w:i/>
                <w:sz w:val="24"/>
                <w:szCs w:val="24"/>
                <w:lang w:val="ru-RU" w:eastAsia="en-US"/>
              </w:rPr>
              <w:t>Пропон</w:t>
            </w:r>
            <w:r w:rsidRPr="00581A4E">
              <w:rPr>
                <w:rFonts w:eastAsiaTheme="minorHAnsi"/>
                <w:bCs/>
                <w:i/>
                <w:sz w:val="24"/>
                <w:szCs w:val="24"/>
                <w:lang w:eastAsia="en-US"/>
              </w:rPr>
              <w:t>ується</w:t>
            </w:r>
            <w:proofErr w:type="spellEnd"/>
            <w:r w:rsidRPr="00581A4E">
              <w:rPr>
                <w:rFonts w:eastAsiaTheme="minorHAnsi"/>
                <w:bCs/>
                <w:i/>
                <w:sz w:val="24"/>
                <w:szCs w:val="24"/>
                <w:lang w:eastAsia="en-US"/>
              </w:rPr>
              <w:t xml:space="preserve"> для розрахунку ЕКПТВЕ для таких ОСР використовувати коефіцієнт показника ефективності</w:t>
            </w:r>
            <w:r w:rsidRPr="00581A4E">
              <w:rPr>
                <w:rFonts w:eastAsiaTheme="minorHAnsi"/>
                <w:bCs/>
                <w:i/>
                <w:sz w:val="24"/>
                <w:szCs w:val="24"/>
                <w:lang w:val="ru-RU" w:eastAsia="en-US"/>
              </w:rPr>
              <w:t xml:space="preserve"> </w:t>
            </w:r>
            <w:r w:rsidRPr="00581A4E">
              <w:rPr>
                <w:rFonts w:eastAsiaTheme="minorHAnsi"/>
                <w:b/>
                <w:bCs/>
                <w:i/>
                <w:sz w:val="24"/>
                <w:szCs w:val="24"/>
                <w:lang w:eastAsia="en-US"/>
              </w:rPr>
              <w:t xml:space="preserve">0,5 для втрат </w:t>
            </w:r>
            <w:r w:rsidRPr="00581A4E">
              <w:rPr>
                <w:rFonts w:eastAsiaTheme="minorHAnsi"/>
                <w:b/>
                <w:bCs/>
                <w:i/>
                <w:sz w:val="24"/>
                <w:szCs w:val="24"/>
                <w:lang w:eastAsia="en-US"/>
              </w:rPr>
              <w:br/>
              <w:t>1 класу та 1,75 для втрат 2 класу.</w:t>
            </w:r>
          </w:p>
          <w:p w:rsidR="006A373B" w:rsidRPr="00581A4E" w:rsidRDefault="006A373B" w:rsidP="006A373B">
            <w:pPr>
              <w:shd w:val="clear" w:color="auto" w:fill="FFFFFF"/>
              <w:ind w:firstLine="41"/>
              <w:jc w:val="both"/>
              <w:rPr>
                <w:rFonts w:eastAsiaTheme="minorHAnsi"/>
                <w:b/>
                <w:bCs/>
                <w:sz w:val="24"/>
                <w:szCs w:val="24"/>
                <w:lang w:eastAsia="en-US"/>
              </w:rPr>
            </w:pPr>
            <w:r w:rsidRPr="00581A4E">
              <w:rPr>
                <w:rFonts w:eastAsiaTheme="minorHAnsi"/>
                <w:bCs/>
                <w:i/>
                <w:sz w:val="24"/>
                <w:szCs w:val="24"/>
                <w:lang w:eastAsia="en-US"/>
              </w:rPr>
              <w:t>Також в залежності від групи, пропонується застосувати різні підходи до показників ефективності, спрямованих на скорочення операційних контрольованих витрат.</w:t>
            </w:r>
          </w:p>
          <w:p w:rsidR="006A373B" w:rsidRPr="00581A4E" w:rsidRDefault="006A373B" w:rsidP="00C9054D">
            <w:pPr>
              <w:shd w:val="clear" w:color="auto" w:fill="FFFFFF"/>
              <w:ind w:firstLine="41"/>
              <w:jc w:val="both"/>
              <w:rPr>
                <w:rFonts w:eastAsiaTheme="minorHAnsi"/>
                <w:b/>
                <w:bCs/>
                <w:sz w:val="24"/>
                <w:szCs w:val="24"/>
                <w:lang w:eastAsia="en-US"/>
              </w:rPr>
            </w:pPr>
          </w:p>
        </w:tc>
        <w:tc>
          <w:tcPr>
            <w:tcW w:w="3402" w:type="dxa"/>
          </w:tcPr>
          <w:p w:rsidR="00F13F05" w:rsidRPr="00581A4E" w:rsidRDefault="00F13F05" w:rsidP="00315876">
            <w:pPr>
              <w:widowControl w:val="0"/>
              <w:suppressAutoHyphens/>
              <w:ind w:firstLine="251"/>
              <w:jc w:val="both"/>
              <w:rPr>
                <w:b/>
                <w:bCs/>
                <w:color w:val="000000" w:themeColor="text1"/>
                <w:sz w:val="24"/>
                <w:szCs w:val="24"/>
              </w:rPr>
            </w:pPr>
            <w:r w:rsidRPr="00581A4E">
              <w:rPr>
                <w:b/>
                <w:bCs/>
                <w:color w:val="000000" w:themeColor="text1"/>
                <w:sz w:val="24"/>
                <w:szCs w:val="24"/>
              </w:rPr>
              <w:t xml:space="preserve">Загальна позиція </w:t>
            </w:r>
          </w:p>
          <w:p w:rsidR="00F13F05" w:rsidRPr="00581A4E" w:rsidRDefault="00F13F05" w:rsidP="00315876">
            <w:pPr>
              <w:widowControl w:val="0"/>
              <w:suppressAutoHyphens/>
              <w:ind w:firstLine="251"/>
              <w:jc w:val="both"/>
              <w:rPr>
                <w:rFonts w:eastAsia="Calibri"/>
                <w:b/>
                <w:bCs/>
                <w:sz w:val="24"/>
                <w:szCs w:val="24"/>
                <w:lang w:eastAsia="en-US"/>
              </w:rPr>
            </w:pPr>
            <w:r w:rsidRPr="00581A4E">
              <w:rPr>
                <w:b/>
                <w:bCs/>
                <w:color w:val="000000" w:themeColor="text1"/>
                <w:sz w:val="24"/>
                <w:szCs w:val="24"/>
              </w:rPr>
              <w:t xml:space="preserve">(до зауважень </w:t>
            </w:r>
            <w:r w:rsidRPr="00581A4E">
              <w:rPr>
                <w:rFonts w:eastAsiaTheme="minorHAnsi"/>
                <w:b/>
                <w:bCs/>
                <w:sz w:val="24"/>
                <w:szCs w:val="24"/>
                <w:lang w:eastAsia="en-US"/>
              </w:rPr>
              <w:t xml:space="preserve">АТ «ДТЕК ОДЕСЬКІ ЕЛЕКТРОМЕРЕЖІ» та </w:t>
            </w:r>
            <w:r w:rsidRPr="00581A4E">
              <w:rPr>
                <w:rFonts w:eastAsia="Calibri"/>
                <w:b/>
                <w:bCs/>
                <w:sz w:val="24"/>
                <w:szCs w:val="24"/>
                <w:lang w:eastAsia="en-US"/>
              </w:rPr>
              <w:t>АТ «ДТЕК ДОНЕЦЬКІ ЕЛЕКТРОМЕРЕЖІ»)</w:t>
            </w:r>
          </w:p>
          <w:p w:rsidR="00F13F05" w:rsidRPr="00581A4E" w:rsidRDefault="00F13F05" w:rsidP="00315876">
            <w:pPr>
              <w:widowControl w:val="0"/>
              <w:suppressAutoHyphens/>
              <w:ind w:firstLine="251"/>
              <w:jc w:val="both"/>
              <w:rPr>
                <w:b/>
                <w:bCs/>
                <w:color w:val="000000" w:themeColor="text1"/>
                <w:sz w:val="24"/>
                <w:szCs w:val="24"/>
              </w:rPr>
            </w:pPr>
          </w:p>
          <w:p w:rsidR="00315876" w:rsidRPr="00581A4E" w:rsidRDefault="00315876" w:rsidP="00315876">
            <w:pPr>
              <w:widowControl w:val="0"/>
              <w:suppressAutoHyphens/>
              <w:ind w:firstLine="251"/>
              <w:jc w:val="both"/>
              <w:rPr>
                <w:b/>
                <w:bCs/>
                <w:color w:val="000000" w:themeColor="text1"/>
                <w:sz w:val="24"/>
                <w:szCs w:val="24"/>
              </w:rPr>
            </w:pPr>
            <w:r w:rsidRPr="00581A4E">
              <w:rPr>
                <w:b/>
                <w:bCs/>
                <w:color w:val="000000" w:themeColor="text1"/>
                <w:sz w:val="24"/>
                <w:szCs w:val="24"/>
              </w:rPr>
              <w:t>Не враховано</w:t>
            </w:r>
          </w:p>
          <w:p w:rsidR="00BC2985" w:rsidRPr="00581A4E" w:rsidRDefault="001A51BD" w:rsidP="00315876">
            <w:pPr>
              <w:widowControl w:val="0"/>
              <w:suppressAutoHyphens/>
              <w:ind w:firstLine="251"/>
              <w:jc w:val="both"/>
              <w:rPr>
                <w:bCs/>
                <w:color w:val="000000" w:themeColor="text1"/>
                <w:sz w:val="24"/>
                <w:szCs w:val="24"/>
              </w:rPr>
            </w:pPr>
            <w:r w:rsidRPr="00581A4E">
              <w:rPr>
                <w:bCs/>
                <w:color w:val="000000" w:themeColor="text1"/>
                <w:sz w:val="24"/>
                <w:szCs w:val="24"/>
              </w:rPr>
              <w:t xml:space="preserve">Змінами </w:t>
            </w:r>
            <w:r w:rsidR="000A513B" w:rsidRPr="00581A4E">
              <w:rPr>
                <w:bCs/>
                <w:color w:val="000000" w:themeColor="text1"/>
                <w:sz w:val="24"/>
                <w:szCs w:val="24"/>
              </w:rPr>
              <w:t xml:space="preserve">удосконалено положення Постанови № 1029, якими </w:t>
            </w:r>
            <w:r w:rsidR="00DB52E5" w:rsidRPr="00581A4E">
              <w:rPr>
                <w:bCs/>
                <w:color w:val="000000" w:themeColor="text1"/>
                <w:sz w:val="24"/>
                <w:szCs w:val="24"/>
              </w:rPr>
              <w:t xml:space="preserve">впорядковані </w:t>
            </w:r>
            <w:r w:rsidR="000A513B" w:rsidRPr="00581A4E">
              <w:rPr>
                <w:bCs/>
                <w:color w:val="000000" w:themeColor="text1"/>
                <w:sz w:val="24"/>
                <w:szCs w:val="24"/>
              </w:rPr>
              <w:t>вимоги щодо</w:t>
            </w:r>
            <w:r w:rsidRPr="00581A4E">
              <w:rPr>
                <w:bCs/>
                <w:color w:val="000000" w:themeColor="text1"/>
                <w:sz w:val="24"/>
                <w:szCs w:val="24"/>
              </w:rPr>
              <w:t xml:space="preserve"> </w:t>
            </w:r>
            <w:r w:rsidR="00F13F05" w:rsidRPr="00581A4E">
              <w:rPr>
                <w:bCs/>
                <w:color w:val="000000" w:themeColor="text1"/>
                <w:sz w:val="24"/>
                <w:szCs w:val="24"/>
              </w:rPr>
              <w:t xml:space="preserve">необхідності </w:t>
            </w:r>
            <w:r w:rsidR="000A513B" w:rsidRPr="00581A4E">
              <w:rPr>
                <w:bCs/>
                <w:color w:val="000000" w:themeColor="text1"/>
                <w:sz w:val="24"/>
                <w:szCs w:val="24"/>
              </w:rPr>
              <w:t xml:space="preserve">фіксації та дослідження </w:t>
            </w:r>
            <w:r w:rsidR="00BC2985" w:rsidRPr="00581A4E">
              <w:rPr>
                <w:bCs/>
                <w:color w:val="000000" w:themeColor="text1"/>
                <w:sz w:val="24"/>
                <w:szCs w:val="24"/>
              </w:rPr>
              <w:t xml:space="preserve">результатів </w:t>
            </w:r>
            <w:r w:rsidR="000A513B" w:rsidRPr="00581A4E">
              <w:rPr>
                <w:bCs/>
                <w:color w:val="000000" w:themeColor="text1"/>
                <w:sz w:val="24"/>
                <w:szCs w:val="24"/>
              </w:rPr>
              <w:t>стану виконання зобов’язань ОСР</w:t>
            </w:r>
            <w:r w:rsidR="00DB52E5" w:rsidRPr="00581A4E">
              <w:rPr>
                <w:bCs/>
                <w:color w:val="000000" w:themeColor="text1"/>
                <w:sz w:val="24"/>
                <w:szCs w:val="24"/>
              </w:rPr>
              <w:t xml:space="preserve"> проходження першого регуляторного періоду</w:t>
            </w:r>
            <w:r w:rsidR="00BC2985" w:rsidRPr="00581A4E">
              <w:rPr>
                <w:bCs/>
                <w:color w:val="000000" w:themeColor="text1"/>
                <w:sz w:val="24"/>
                <w:szCs w:val="24"/>
              </w:rPr>
              <w:t>,</w:t>
            </w:r>
            <w:r w:rsidR="000A513B" w:rsidRPr="00581A4E">
              <w:rPr>
                <w:bCs/>
                <w:color w:val="000000" w:themeColor="text1"/>
                <w:sz w:val="24"/>
                <w:szCs w:val="24"/>
              </w:rPr>
              <w:t xml:space="preserve"> з урахуванням </w:t>
            </w:r>
            <w:r w:rsidR="00DB52E5" w:rsidRPr="00581A4E">
              <w:rPr>
                <w:bCs/>
                <w:color w:val="000000" w:themeColor="text1"/>
                <w:sz w:val="24"/>
                <w:szCs w:val="24"/>
              </w:rPr>
              <w:t xml:space="preserve">нормативної бази Регулятора, прийнятої </w:t>
            </w:r>
            <w:r w:rsidR="000A513B" w:rsidRPr="00581A4E">
              <w:rPr>
                <w:bCs/>
                <w:color w:val="000000" w:themeColor="text1"/>
                <w:sz w:val="24"/>
                <w:szCs w:val="24"/>
              </w:rPr>
              <w:t>в умовах воєнного стану</w:t>
            </w:r>
            <w:r w:rsidR="00DB52E5" w:rsidRPr="00581A4E">
              <w:rPr>
                <w:bCs/>
                <w:color w:val="000000" w:themeColor="text1"/>
                <w:sz w:val="24"/>
                <w:szCs w:val="24"/>
              </w:rPr>
              <w:t>.</w:t>
            </w:r>
          </w:p>
          <w:p w:rsidR="00BC2985" w:rsidRPr="00581A4E" w:rsidRDefault="00F13F05" w:rsidP="00F13F05">
            <w:pPr>
              <w:widowControl w:val="0"/>
              <w:suppressAutoHyphens/>
              <w:ind w:firstLine="251"/>
              <w:jc w:val="both"/>
              <w:rPr>
                <w:bCs/>
                <w:color w:val="000000" w:themeColor="text1"/>
                <w:sz w:val="24"/>
                <w:szCs w:val="24"/>
              </w:rPr>
            </w:pPr>
            <w:r w:rsidRPr="00581A4E">
              <w:rPr>
                <w:bCs/>
                <w:color w:val="000000" w:themeColor="text1"/>
                <w:sz w:val="24"/>
                <w:szCs w:val="24"/>
              </w:rPr>
              <w:t>Стартова</w:t>
            </w:r>
            <w:r w:rsidR="00BC2985" w:rsidRPr="00581A4E">
              <w:rPr>
                <w:bCs/>
                <w:color w:val="000000" w:themeColor="text1"/>
                <w:sz w:val="24"/>
                <w:szCs w:val="24"/>
              </w:rPr>
              <w:t xml:space="preserve"> фіксація і дослідження </w:t>
            </w:r>
            <w:r w:rsidR="005D41D6" w:rsidRPr="00581A4E">
              <w:rPr>
                <w:bCs/>
                <w:i/>
                <w:color w:val="000000" w:themeColor="text1"/>
                <w:sz w:val="24"/>
                <w:szCs w:val="24"/>
              </w:rPr>
              <w:t>(за перші п’ять років першого регуляторного періоду)</w:t>
            </w:r>
            <w:r w:rsidR="005D41D6" w:rsidRPr="00581A4E">
              <w:rPr>
                <w:bCs/>
                <w:color w:val="000000" w:themeColor="text1"/>
                <w:sz w:val="24"/>
                <w:szCs w:val="24"/>
              </w:rPr>
              <w:t xml:space="preserve"> </w:t>
            </w:r>
            <w:r w:rsidR="00BC2985" w:rsidRPr="00581A4E">
              <w:rPr>
                <w:bCs/>
                <w:color w:val="000000" w:themeColor="text1"/>
                <w:sz w:val="24"/>
                <w:szCs w:val="24"/>
              </w:rPr>
              <w:t xml:space="preserve">є </w:t>
            </w:r>
            <w:r w:rsidR="005D41D6" w:rsidRPr="00581A4E">
              <w:rPr>
                <w:bCs/>
                <w:color w:val="000000" w:themeColor="text1"/>
                <w:sz w:val="24"/>
                <w:szCs w:val="24"/>
              </w:rPr>
              <w:t xml:space="preserve">підставою для здійснення Регулятором комплексного </w:t>
            </w:r>
            <w:r w:rsidRPr="00581A4E">
              <w:rPr>
                <w:bCs/>
                <w:color w:val="000000" w:themeColor="text1"/>
                <w:sz w:val="24"/>
                <w:szCs w:val="24"/>
              </w:rPr>
              <w:t xml:space="preserve">та розгорнутого </w:t>
            </w:r>
            <w:r w:rsidR="005D41D6" w:rsidRPr="00581A4E">
              <w:rPr>
                <w:bCs/>
                <w:color w:val="000000" w:themeColor="text1"/>
                <w:sz w:val="24"/>
                <w:szCs w:val="24"/>
              </w:rPr>
              <w:t>аналізу результатів діяльності ОСР</w:t>
            </w:r>
            <w:r w:rsidRPr="00581A4E">
              <w:rPr>
                <w:bCs/>
                <w:color w:val="000000" w:themeColor="text1"/>
                <w:sz w:val="24"/>
                <w:szCs w:val="24"/>
              </w:rPr>
              <w:t xml:space="preserve"> (зокрема</w:t>
            </w:r>
            <w:r w:rsidR="005D41D6" w:rsidRPr="00581A4E">
              <w:rPr>
                <w:bCs/>
                <w:color w:val="000000" w:themeColor="text1"/>
                <w:sz w:val="24"/>
                <w:szCs w:val="24"/>
              </w:rPr>
              <w:t xml:space="preserve"> </w:t>
            </w:r>
            <w:r w:rsidRPr="00581A4E">
              <w:rPr>
                <w:bCs/>
                <w:color w:val="000000" w:themeColor="text1"/>
                <w:sz w:val="24"/>
                <w:szCs w:val="24"/>
              </w:rPr>
              <w:t xml:space="preserve">результатів діяльності </w:t>
            </w:r>
            <w:r w:rsidR="005D41D6" w:rsidRPr="00581A4E">
              <w:rPr>
                <w:bCs/>
                <w:color w:val="000000" w:themeColor="text1"/>
                <w:sz w:val="24"/>
                <w:szCs w:val="24"/>
              </w:rPr>
              <w:t>в умовах воєнного стану</w:t>
            </w:r>
            <w:r w:rsidRPr="00581A4E">
              <w:rPr>
                <w:bCs/>
                <w:color w:val="000000" w:themeColor="text1"/>
                <w:sz w:val="24"/>
                <w:szCs w:val="24"/>
              </w:rPr>
              <w:t>)</w:t>
            </w:r>
            <w:r w:rsidR="005D41D6" w:rsidRPr="00581A4E">
              <w:rPr>
                <w:bCs/>
                <w:color w:val="000000" w:themeColor="text1"/>
                <w:sz w:val="24"/>
                <w:szCs w:val="24"/>
              </w:rPr>
              <w:t xml:space="preserve">, для </w:t>
            </w:r>
            <w:r w:rsidR="004B4DF6" w:rsidRPr="00602809">
              <w:rPr>
                <w:bCs/>
                <w:color w:val="000000" w:themeColor="text1"/>
                <w:sz w:val="24"/>
                <w:szCs w:val="24"/>
              </w:rPr>
              <w:t xml:space="preserve">подальшого </w:t>
            </w:r>
            <w:r w:rsidR="005D41D6" w:rsidRPr="00602809">
              <w:rPr>
                <w:bCs/>
                <w:color w:val="000000" w:themeColor="text1"/>
                <w:sz w:val="24"/>
                <w:szCs w:val="24"/>
              </w:rPr>
              <w:t xml:space="preserve">напрацювання </w:t>
            </w:r>
            <w:r w:rsidR="00340F44" w:rsidRPr="00602809">
              <w:rPr>
                <w:bCs/>
                <w:color w:val="000000" w:themeColor="text1"/>
                <w:sz w:val="24"/>
                <w:szCs w:val="24"/>
              </w:rPr>
              <w:t xml:space="preserve">та внесення </w:t>
            </w:r>
            <w:r w:rsidRPr="00602809">
              <w:rPr>
                <w:bCs/>
                <w:color w:val="000000" w:themeColor="text1"/>
                <w:sz w:val="24"/>
                <w:szCs w:val="24"/>
              </w:rPr>
              <w:t>змін до нормативної бази в частині визначення</w:t>
            </w:r>
            <w:r w:rsidRPr="00581A4E">
              <w:rPr>
                <w:bCs/>
                <w:color w:val="000000" w:themeColor="text1"/>
                <w:sz w:val="24"/>
                <w:szCs w:val="24"/>
              </w:rPr>
              <w:t xml:space="preserve"> умов та джерел фінансування для забезпечення</w:t>
            </w:r>
            <w:r w:rsidR="00AD2373" w:rsidRPr="00581A4E">
              <w:rPr>
                <w:bCs/>
                <w:color w:val="000000" w:themeColor="text1"/>
                <w:sz w:val="24"/>
                <w:szCs w:val="24"/>
              </w:rPr>
              <w:t xml:space="preserve"> (</w:t>
            </w:r>
            <w:r w:rsidRPr="00581A4E">
              <w:rPr>
                <w:bCs/>
                <w:color w:val="000000" w:themeColor="text1"/>
                <w:sz w:val="24"/>
                <w:szCs w:val="24"/>
              </w:rPr>
              <w:t xml:space="preserve">у тому числі </w:t>
            </w:r>
            <w:r w:rsidR="00AD2373" w:rsidRPr="00581A4E">
              <w:rPr>
                <w:bCs/>
                <w:color w:val="000000" w:themeColor="text1"/>
                <w:sz w:val="24"/>
                <w:szCs w:val="24"/>
              </w:rPr>
              <w:t>протягом</w:t>
            </w:r>
            <w:r w:rsidRPr="00581A4E">
              <w:rPr>
                <w:bCs/>
                <w:color w:val="000000" w:themeColor="text1"/>
                <w:sz w:val="24"/>
                <w:szCs w:val="24"/>
              </w:rPr>
              <w:t xml:space="preserve"> </w:t>
            </w:r>
            <w:r w:rsidR="00AD2373" w:rsidRPr="00581A4E">
              <w:rPr>
                <w:bCs/>
                <w:color w:val="000000" w:themeColor="text1"/>
                <w:sz w:val="24"/>
                <w:szCs w:val="24"/>
              </w:rPr>
              <w:t>останнього</w:t>
            </w:r>
            <w:r w:rsidRPr="00581A4E">
              <w:rPr>
                <w:bCs/>
                <w:color w:val="000000" w:themeColor="text1"/>
                <w:sz w:val="24"/>
                <w:szCs w:val="24"/>
              </w:rPr>
              <w:t xml:space="preserve"> </w:t>
            </w:r>
            <w:r w:rsidR="00AD2373" w:rsidRPr="00581A4E">
              <w:rPr>
                <w:bCs/>
                <w:color w:val="000000" w:themeColor="text1"/>
                <w:sz w:val="24"/>
                <w:szCs w:val="24"/>
              </w:rPr>
              <w:t>року</w:t>
            </w:r>
            <w:r w:rsidRPr="00581A4E">
              <w:rPr>
                <w:bCs/>
                <w:color w:val="000000" w:themeColor="text1"/>
                <w:sz w:val="24"/>
                <w:szCs w:val="24"/>
              </w:rPr>
              <w:t xml:space="preserve"> першого регуляторного періоду</w:t>
            </w:r>
            <w:r w:rsidR="00AD2373" w:rsidRPr="00581A4E">
              <w:rPr>
                <w:bCs/>
                <w:color w:val="000000" w:themeColor="text1"/>
                <w:sz w:val="24"/>
                <w:szCs w:val="24"/>
              </w:rPr>
              <w:t>)</w:t>
            </w:r>
            <w:r w:rsidRPr="00581A4E">
              <w:rPr>
                <w:bCs/>
                <w:color w:val="000000" w:themeColor="text1"/>
                <w:sz w:val="24"/>
                <w:szCs w:val="24"/>
              </w:rPr>
              <w:t xml:space="preserve"> повного виконання ОСР зобов’язань </w:t>
            </w:r>
            <w:r w:rsidR="00AD2373" w:rsidRPr="00581A4E">
              <w:rPr>
                <w:bCs/>
                <w:color w:val="000000" w:themeColor="text1"/>
                <w:sz w:val="24"/>
                <w:szCs w:val="24"/>
              </w:rPr>
              <w:t xml:space="preserve">щодо умов застосування стимулюючого регулювання </w:t>
            </w:r>
            <w:r w:rsidRPr="00581A4E">
              <w:rPr>
                <w:bCs/>
                <w:color w:val="000000" w:themeColor="text1"/>
                <w:sz w:val="24"/>
                <w:szCs w:val="24"/>
              </w:rPr>
              <w:t>першого регулярного періоду.</w:t>
            </w:r>
          </w:p>
          <w:p w:rsidR="00BC2985" w:rsidRPr="00581A4E" w:rsidRDefault="00BC2985" w:rsidP="00315876">
            <w:pPr>
              <w:widowControl w:val="0"/>
              <w:suppressAutoHyphens/>
              <w:ind w:firstLine="251"/>
              <w:jc w:val="both"/>
              <w:rPr>
                <w:bCs/>
                <w:color w:val="000000" w:themeColor="text1"/>
                <w:sz w:val="24"/>
                <w:szCs w:val="24"/>
              </w:rPr>
            </w:pPr>
          </w:p>
          <w:p w:rsidR="00B13091" w:rsidRPr="00581A4E" w:rsidRDefault="00B13091"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6A373B" w:rsidRPr="00581A4E" w:rsidRDefault="006A373B" w:rsidP="006A373B">
            <w:pPr>
              <w:widowControl w:val="0"/>
              <w:suppressAutoHyphens/>
              <w:ind w:firstLine="251"/>
              <w:jc w:val="both"/>
              <w:rPr>
                <w:b/>
                <w:bCs/>
                <w:color w:val="000000" w:themeColor="text1"/>
                <w:sz w:val="24"/>
                <w:szCs w:val="24"/>
              </w:rPr>
            </w:pPr>
            <w:r w:rsidRPr="00581A4E">
              <w:rPr>
                <w:b/>
                <w:bCs/>
                <w:color w:val="000000" w:themeColor="text1"/>
                <w:sz w:val="24"/>
                <w:szCs w:val="24"/>
              </w:rPr>
              <w:t xml:space="preserve">Загальна позиція </w:t>
            </w:r>
          </w:p>
          <w:p w:rsidR="006A373B" w:rsidRPr="00581A4E" w:rsidRDefault="006A373B" w:rsidP="006A373B">
            <w:pPr>
              <w:widowControl w:val="0"/>
              <w:suppressAutoHyphens/>
              <w:ind w:firstLine="251"/>
              <w:jc w:val="both"/>
              <w:rPr>
                <w:rFonts w:eastAsia="Calibri"/>
                <w:b/>
                <w:bCs/>
                <w:sz w:val="24"/>
                <w:szCs w:val="24"/>
                <w:lang w:eastAsia="en-US"/>
              </w:rPr>
            </w:pPr>
            <w:r w:rsidRPr="00581A4E">
              <w:rPr>
                <w:b/>
                <w:bCs/>
                <w:color w:val="000000" w:themeColor="text1"/>
                <w:sz w:val="24"/>
                <w:szCs w:val="24"/>
              </w:rPr>
              <w:t xml:space="preserve">(до зауважень </w:t>
            </w:r>
            <w:r w:rsidRPr="00581A4E">
              <w:rPr>
                <w:rFonts w:eastAsiaTheme="minorHAnsi"/>
                <w:b/>
                <w:bCs/>
                <w:sz w:val="24"/>
                <w:szCs w:val="24"/>
                <w:lang w:val="ru-RU" w:eastAsia="en-US"/>
              </w:rPr>
              <w:t>АТ «ЖИТОМИРОБЛЕНЕРГО»</w:t>
            </w:r>
            <w:r w:rsidRPr="00581A4E">
              <w:rPr>
                <w:rFonts w:eastAsiaTheme="minorHAnsi"/>
                <w:b/>
                <w:bCs/>
                <w:sz w:val="24"/>
                <w:szCs w:val="24"/>
                <w:lang w:eastAsia="en-US"/>
              </w:rPr>
              <w:t>та Громадська спілка «Розумні електромережі України»</w:t>
            </w:r>
            <w:r w:rsidRPr="00581A4E">
              <w:rPr>
                <w:rFonts w:eastAsia="Calibri"/>
                <w:b/>
                <w:bCs/>
                <w:sz w:val="24"/>
                <w:szCs w:val="24"/>
                <w:lang w:eastAsia="en-US"/>
              </w:rPr>
              <w:t>)</w:t>
            </w:r>
          </w:p>
          <w:p w:rsidR="006A373B" w:rsidRPr="00581A4E" w:rsidRDefault="006A373B" w:rsidP="00340F44">
            <w:pPr>
              <w:widowControl w:val="0"/>
              <w:suppressAutoHyphens/>
              <w:ind w:firstLine="251"/>
              <w:jc w:val="both"/>
              <w:rPr>
                <w:b/>
                <w:bCs/>
                <w:color w:val="000000" w:themeColor="text1"/>
                <w:sz w:val="24"/>
                <w:szCs w:val="24"/>
              </w:rPr>
            </w:pPr>
          </w:p>
          <w:p w:rsidR="00340F44" w:rsidRPr="00581A4E" w:rsidRDefault="00340F44" w:rsidP="00340F44">
            <w:pPr>
              <w:widowControl w:val="0"/>
              <w:suppressAutoHyphens/>
              <w:ind w:firstLine="251"/>
              <w:jc w:val="both"/>
              <w:rPr>
                <w:b/>
                <w:bCs/>
                <w:color w:val="000000" w:themeColor="text1"/>
                <w:sz w:val="24"/>
                <w:szCs w:val="24"/>
              </w:rPr>
            </w:pPr>
            <w:r w:rsidRPr="00581A4E">
              <w:rPr>
                <w:b/>
                <w:bCs/>
                <w:color w:val="000000" w:themeColor="text1"/>
                <w:sz w:val="24"/>
                <w:szCs w:val="24"/>
              </w:rPr>
              <w:t>Не враховано</w:t>
            </w:r>
          </w:p>
          <w:p w:rsidR="00DE48C4" w:rsidRPr="00602809" w:rsidRDefault="006A373B" w:rsidP="00340F44">
            <w:pPr>
              <w:widowControl w:val="0"/>
              <w:suppressAutoHyphens/>
              <w:ind w:firstLine="251"/>
              <w:jc w:val="both"/>
              <w:rPr>
                <w:bCs/>
                <w:color w:val="000000" w:themeColor="text1"/>
                <w:sz w:val="24"/>
                <w:szCs w:val="24"/>
              </w:rPr>
            </w:pPr>
            <w:r w:rsidRPr="00581A4E">
              <w:rPr>
                <w:bCs/>
                <w:color w:val="000000" w:themeColor="text1"/>
                <w:sz w:val="24"/>
                <w:szCs w:val="24"/>
              </w:rPr>
              <w:t xml:space="preserve">Запропоноване уточнення не </w:t>
            </w:r>
            <w:r w:rsidRPr="00602809">
              <w:rPr>
                <w:bCs/>
                <w:color w:val="000000" w:themeColor="text1"/>
                <w:sz w:val="24"/>
                <w:szCs w:val="24"/>
              </w:rPr>
              <w:t xml:space="preserve">потребує нормативного </w:t>
            </w:r>
            <w:r w:rsidR="004B4DF6" w:rsidRPr="00602809">
              <w:rPr>
                <w:bCs/>
                <w:color w:val="000000" w:themeColor="text1"/>
                <w:sz w:val="24"/>
                <w:szCs w:val="24"/>
              </w:rPr>
              <w:t>врегулювання</w:t>
            </w:r>
            <w:r w:rsidRPr="00602809">
              <w:rPr>
                <w:bCs/>
                <w:color w:val="000000" w:themeColor="text1"/>
                <w:sz w:val="24"/>
                <w:szCs w:val="24"/>
              </w:rPr>
              <w:t>.</w:t>
            </w:r>
          </w:p>
          <w:p w:rsidR="006A373B" w:rsidRPr="00581A4E" w:rsidRDefault="00DE48C4" w:rsidP="00340F44">
            <w:pPr>
              <w:widowControl w:val="0"/>
              <w:suppressAutoHyphens/>
              <w:ind w:firstLine="251"/>
              <w:jc w:val="both"/>
              <w:rPr>
                <w:bCs/>
                <w:color w:val="000000" w:themeColor="text1"/>
                <w:sz w:val="24"/>
                <w:szCs w:val="24"/>
              </w:rPr>
            </w:pPr>
            <w:r w:rsidRPr="00602809">
              <w:rPr>
                <w:rFonts w:eastAsiaTheme="minorHAnsi"/>
                <w:bCs/>
                <w:sz w:val="24"/>
                <w:szCs w:val="24"/>
                <w:lang w:eastAsia="en-US"/>
              </w:rPr>
              <w:t>Оцінка</w:t>
            </w:r>
            <w:r w:rsidR="006A373B" w:rsidRPr="00602809">
              <w:rPr>
                <w:rFonts w:eastAsiaTheme="minorHAnsi"/>
                <w:bCs/>
                <w:sz w:val="24"/>
                <w:szCs w:val="24"/>
                <w:lang w:eastAsia="en-US"/>
              </w:rPr>
              <w:t xml:space="preserve"> результатів досягнення фактичних показників першого регуляторного періоду та встановленн</w:t>
            </w:r>
            <w:r w:rsidRPr="00602809">
              <w:rPr>
                <w:rFonts w:eastAsiaTheme="minorHAnsi"/>
                <w:bCs/>
                <w:sz w:val="24"/>
                <w:szCs w:val="24"/>
                <w:lang w:eastAsia="en-US"/>
              </w:rPr>
              <w:t>я</w:t>
            </w:r>
            <w:r w:rsidR="006A373B" w:rsidRPr="00602809">
              <w:rPr>
                <w:rFonts w:eastAsiaTheme="minorHAnsi"/>
                <w:bCs/>
                <w:sz w:val="24"/>
                <w:szCs w:val="24"/>
                <w:lang w:eastAsia="en-US"/>
              </w:rPr>
              <w:t xml:space="preserve"> показників ефективності на другий регуляторний період </w:t>
            </w:r>
            <w:r w:rsidRPr="00602809">
              <w:rPr>
                <w:rFonts w:eastAsiaTheme="minorHAnsi"/>
                <w:bCs/>
                <w:sz w:val="24"/>
                <w:szCs w:val="24"/>
                <w:lang w:eastAsia="en-US"/>
              </w:rPr>
              <w:t xml:space="preserve">здійснюватиметься з урахуванням </w:t>
            </w:r>
            <w:r w:rsidR="004B4DF6" w:rsidRPr="00602809">
              <w:rPr>
                <w:rFonts w:eastAsiaTheme="minorHAnsi"/>
                <w:bCs/>
                <w:sz w:val="24"/>
                <w:szCs w:val="24"/>
                <w:lang w:eastAsia="en-US"/>
              </w:rPr>
              <w:t>вимог</w:t>
            </w:r>
            <w:r w:rsidRPr="00602809">
              <w:rPr>
                <w:rFonts w:eastAsiaTheme="minorHAnsi"/>
                <w:bCs/>
                <w:strike/>
                <w:sz w:val="24"/>
                <w:szCs w:val="24"/>
                <w:lang w:eastAsia="en-US"/>
              </w:rPr>
              <w:t xml:space="preserve"> </w:t>
            </w:r>
            <w:r w:rsidRPr="00602809">
              <w:rPr>
                <w:rFonts w:eastAsiaTheme="minorHAnsi"/>
                <w:bCs/>
                <w:sz w:val="24"/>
                <w:szCs w:val="24"/>
                <w:lang w:eastAsia="en-US"/>
              </w:rPr>
              <w:t>нормативно-правової бази Регулятора щодо тарифоутворення.</w:t>
            </w:r>
          </w:p>
          <w:p w:rsidR="00DE48C4" w:rsidRPr="00581A4E" w:rsidRDefault="00DE48C4" w:rsidP="008F2AB9">
            <w:pPr>
              <w:widowControl w:val="0"/>
              <w:suppressAutoHyphens/>
              <w:ind w:firstLine="251"/>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340F44" w:rsidRPr="00581A4E" w:rsidRDefault="00340F44"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B13091" w:rsidRPr="00581A4E" w:rsidRDefault="00B13091"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AD2373" w:rsidRPr="00581A4E" w:rsidRDefault="00AD2373"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D63834" w:rsidRPr="00581A4E" w:rsidRDefault="00D63834" w:rsidP="00C9054D">
            <w:pPr>
              <w:tabs>
                <w:tab w:val="left" w:pos="8340"/>
                <w:tab w:val="left" w:pos="11614"/>
              </w:tabs>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237854" w:rsidRPr="00581A4E" w:rsidRDefault="00237854" w:rsidP="00237854">
            <w:pPr>
              <w:widowControl w:val="0"/>
              <w:suppressAutoHyphens/>
              <w:ind w:firstLine="251"/>
              <w:jc w:val="both"/>
              <w:rPr>
                <w:rFonts w:eastAsiaTheme="minorHAnsi"/>
                <w:sz w:val="24"/>
                <w:szCs w:val="24"/>
                <w:lang w:eastAsia="en-US"/>
              </w:rPr>
            </w:pPr>
          </w:p>
          <w:p w:rsidR="00DE48C4" w:rsidRPr="00581A4E" w:rsidRDefault="00DE48C4" w:rsidP="00DE48C4">
            <w:pPr>
              <w:widowControl w:val="0"/>
              <w:suppressAutoHyphens/>
              <w:ind w:firstLine="251"/>
              <w:jc w:val="both"/>
              <w:rPr>
                <w:b/>
                <w:bCs/>
                <w:color w:val="000000" w:themeColor="text1"/>
                <w:sz w:val="24"/>
                <w:szCs w:val="24"/>
              </w:rPr>
            </w:pPr>
            <w:r w:rsidRPr="00581A4E">
              <w:rPr>
                <w:b/>
                <w:bCs/>
                <w:color w:val="000000" w:themeColor="text1"/>
                <w:sz w:val="24"/>
                <w:szCs w:val="24"/>
              </w:rPr>
              <w:t>Не враховано</w:t>
            </w:r>
          </w:p>
          <w:p w:rsidR="00DE48C4" w:rsidRPr="008F2AB9" w:rsidRDefault="00DE48C4" w:rsidP="00DE48C4">
            <w:pPr>
              <w:widowControl w:val="0"/>
              <w:suppressAutoHyphens/>
              <w:ind w:firstLine="251"/>
              <w:jc w:val="both"/>
              <w:rPr>
                <w:rFonts w:eastAsiaTheme="minorHAnsi"/>
                <w:sz w:val="24"/>
                <w:szCs w:val="24"/>
                <w:lang w:eastAsia="en-US"/>
              </w:rPr>
            </w:pPr>
            <w:r w:rsidRPr="00581A4E">
              <w:rPr>
                <w:rFonts w:eastAsiaTheme="minorHAnsi"/>
                <w:sz w:val="24"/>
                <w:szCs w:val="24"/>
                <w:lang w:eastAsia="en-US"/>
              </w:rPr>
              <w:t xml:space="preserve">Пропонується зазначені пропозиції розглянути під час </w:t>
            </w:r>
            <w:r w:rsidRPr="00581A4E">
              <w:rPr>
                <w:bCs/>
                <w:color w:val="000000" w:themeColor="text1"/>
                <w:sz w:val="24"/>
                <w:szCs w:val="24"/>
              </w:rPr>
              <w:t xml:space="preserve">напрацювання та внесення змін до нормативної бази Регулятора щодо умов для застосування </w:t>
            </w:r>
            <w:r w:rsidRPr="00581A4E">
              <w:rPr>
                <w:rFonts w:eastAsiaTheme="minorHAnsi"/>
                <w:sz w:val="24"/>
                <w:szCs w:val="24"/>
                <w:lang w:eastAsia="en-US"/>
              </w:rPr>
              <w:t>другого регуляторного періоду стимулюючого регулювання.</w:t>
            </w:r>
          </w:p>
          <w:p w:rsidR="00DE48C4" w:rsidRPr="008F2AB9" w:rsidRDefault="00DE48C4" w:rsidP="00DE48C4">
            <w:pPr>
              <w:widowControl w:val="0"/>
              <w:suppressAutoHyphens/>
              <w:ind w:firstLine="251"/>
              <w:jc w:val="both"/>
              <w:rPr>
                <w:bCs/>
                <w:color w:val="000000" w:themeColor="text1"/>
                <w:sz w:val="24"/>
                <w:szCs w:val="24"/>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237854" w:rsidRPr="008F2AB9" w:rsidRDefault="00237854"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237854">
            <w:pPr>
              <w:widowControl w:val="0"/>
              <w:suppressAutoHyphens/>
              <w:ind w:firstLine="251"/>
              <w:jc w:val="both"/>
              <w:rPr>
                <w:rFonts w:eastAsiaTheme="minorHAnsi"/>
                <w:sz w:val="24"/>
                <w:szCs w:val="24"/>
                <w:lang w:eastAsia="en-US"/>
              </w:rPr>
            </w:pPr>
          </w:p>
          <w:p w:rsidR="00910E19" w:rsidRPr="008F2AB9" w:rsidRDefault="00910E19" w:rsidP="00DE48C4">
            <w:pPr>
              <w:widowControl w:val="0"/>
              <w:suppressAutoHyphens/>
              <w:ind w:firstLine="251"/>
              <w:jc w:val="both"/>
              <w:rPr>
                <w:rFonts w:eastAsiaTheme="minorHAnsi"/>
                <w:sz w:val="24"/>
                <w:szCs w:val="24"/>
                <w:lang w:eastAsia="en-US"/>
              </w:rPr>
            </w:pPr>
          </w:p>
        </w:tc>
      </w:tr>
    </w:tbl>
    <w:p w:rsidR="006E391C" w:rsidRPr="00B13091" w:rsidRDefault="006E391C" w:rsidP="00C77CBE">
      <w:pPr>
        <w:pStyle w:val="20"/>
        <w:rPr>
          <w:i/>
          <w:sz w:val="24"/>
          <w:szCs w:val="24"/>
        </w:rPr>
      </w:pPr>
    </w:p>
    <w:sectPr w:rsidR="006E391C" w:rsidRPr="00B13091" w:rsidSect="00943BE5">
      <w:footerReference w:type="default" r:id="rId8"/>
      <w:pgSz w:w="16840" w:h="11907" w:orient="landscape"/>
      <w:pgMar w:top="567" w:right="567" w:bottom="454" w:left="567" w:header="720" w:footer="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B92" w:rsidRDefault="00466B92">
      <w:r>
        <w:separator/>
      </w:r>
    </w:p>
  </w:endnote>
  <w:endnote w:type="continuationSeparator" w:id="0">
    <w:p w:rsidR="00466B92" w:rsidRDefault="00466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559" w:type="dxa"/>
      <w:tblLayout w:type="fixed"/>
      <w:tblLook w:val="0000" w:firstRow="0" w:lastRow="0" w:firstColumn="0" w:lastColumn="0" w:noHBand="0" w:noVBand="0"/>
    </w:tblPr>
    <w:tblGrid>
      <w:gridCol w:w="6487"/>
      <w:gridCol w:w="3119"/>
      <w:gridCol w:w="5953"/>
    </w:tblGrid>
    <w:tr w:rsidR="00D21536" w:rsidTr="008C4BDD">
      <w:tc>
        <w:tcPr>
          <w:tcW w:w="6487" w:type="dxa"/>
        </w:tcPr>
        <w:p w:rsidR="00D21536" w:rsidRPr="009150DF" w:rsidRDefault="00D21536">
          <w:pPr>
            <w:pStyle w:val="a3"/>
            <w:rPr>
              <w:sz w:val="14"/>
              <w:szCs w:val="14"/>
            </w:rPr>
          </w:pPr>
        </w:p>
      </w:tc>
      <w:tc>
        <w:tcPr>
          <w:tcW w:w="3119" w:type="dxa"/>
        </w:tcPr>
        <w:p w:rsidR="00D21536" w:rsidRPr="008C4BDD" w:rsidRDefault="00D21536" w:rsidP="008C4BDD">
          <w:pPr>
            <w:pStyle w:val="a3"/>
            <w:jc w:val="center"/>
            <w:rPr>
              <w:sz w:val="14"/>
              <w:szCs w:val="14"/>
              <w:lang w:val="en-US"/>
            </w:rPr>
          </w:pPr>
        </w:p>
      </w:tc>
      <w:tc>
        <w:tcPr>
          <w:tcW w:w="5953" w:type="dxa"/>
        </w:tcPr>
        <w:p w:rsidR="00D21536" w:rsidRPr="009150DF" w:rsidRDefault="00D21536" w:rsidP="009150DF">
          <w:pPr>
            <w:pStyle w:val="a3"/>
            <w:jc w:val="right"/>
            <w:rPr>
              <w:sz w:val="14"/>
              <w:szCs w:val="14"/>
            </w:rPr>
          </w:pPr>
          <w:r w:rsidRPr="009150DF">
            <w:rPr>
              <w:sz w:val="14"/>
              <w:szCs w:val="14"/>
              <w:lang w:val="en-US"/>
            </w:rPr>
            <w:t xml:space="preserve">- </w:t>
          </w:r>
          <w:r w:rsidRPr="009150DF">
            <w:rPr>
              <w:sz w:val="14"/>
              <w:szCs w:val="14"/>
              <w:lang w:val="en-US"/>
            </w:rPr>
            <w:fldChar w:fldCharType="begin"/>
          </w:r>
          <w:r w:rsidRPr="009150DF">
            <w:rPr>
              <w:sz w:val="14"/>
              <w:szCs w:val="14"/>
              <w:lang w:val="en-US"/>
            </w:rPr>
            <w:instrText xml:space="preserve"> PAGE </w:instrText>
          </w:r>
          <w:r w:rsidRPr="009150DF">
            <w:rPr>
              <w:sz w:val="14"/>
              <w:szCs w:val="14"/>
              <w:lang w:val="en-US"/>
            </w:rPr>
            <w:fldChar w:fldCharType="separate"/>
          </w:r>
          <w:r w:rsidR="005202B5">
            <w:rPr>
              <w:noProof/>
              <w:sz w:val="14"/>
              <w:szCs w:val="14"/>
              <w:lang w:val="en-US"/>
            </w:rPr>
            <w:t>1</w:t>
          </w:r>
          <w:r w:rsidRPr="009150DF">
            <w:rPr>
              <w:sz w:val="14"/>
              <w:szCs w:val="14"/>
              <w:lang w:val="en-US"/>
            </w:rPr>
            <w:fldChar w:fldCharType="end"/>
          </w:r>
          <w:r w:rsidRPr="009150DF">
            <w:rPr>
              <w:sz w:val="14"/>
              <w:szCs w:val="14"/>
              <w:lang w:val="en-US"/>
            </w:rPr>
            <w:t xml:space="preserve"> -</w:t>
          </w:r>
        </w:p>
      </w:tc>
    </w:tr>
  </w:tbl>
  <w:p w:rsidR="00D21536" w:rsidRPr="009150DF" w:rsidRDefault="00D21536" w:rsidP="009150DF">
    <w:pPr>
      <w:pStyle w:val="a4"/>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B92" w:rsidRDefault="00466B92">
      <w:r>
        <w:separator/>
      </w:r>
    </w:p>
  </w:footnote>
  <w:footnote w:type="continuationSeparator" w:id="0">
    <w:p w:rsidR="00466B92" w:rsidRDefault="00466B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30.75pt;height:16.5pt;visibility:visible" o:bullet="t">
        <v:imagedata r:id="rId1" o:title="GK40721_IMG_054"/>
      </v:shape>
    </w:pict>
  </w:numPicBullet>
  <w:numPicBullet w:numPicBulletId="1">
    <w:pict>
      <v:shape id="_x0000_i1121" type="#_x0000_t75" style="width:34.5pt;height:17.25pt;visibility:visible" o:bullet="t">
        <v:imagedata r:id="rId2" o:title="GK40721_IMG_018"/>
      </v:shape>
    </w:pict>
  </w:numPicBullet>
  <w:abstractNum w:abstractNumId="0" w15:restartNumberingAfterBreak="0">
    <w:nsid w:val="21C5482C"/>
    <w:multiLevelType w:val="hybridMultilevel"/>
    <w:tmpl w:val="55785692"/>
    <w:lvl w:ilvl="0" w:tplc="A560C38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15:restartNumberingAfterBreak="0">
    <w:nsid w:val="2CE34142"/>
    <w:multiLevelType w:val="hybridMultilevel"/>
    <w:tmpl w:val="A9E2D282"/>
    <w:lvl w:ilvl="0" w:tplc="3A08941E">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 w15:restartNumberingAfterBreak="0">
    <w:nsid w:val="459109E8"/>
    <w:multiLevelType w:val="hybridMultilevel"/>
    <w:tmpl w:val="82CE85F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0BA338C"/>
    <w:multiLevelType w:val="hybridMultilevel"/>
    <w:tmpl w:val="E13A2F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37627B0"/>
    <w:multiLevelType w:val="hybridMultilevel"/>
    <w:tmpl w:val="4322BFAA"/>
    <w:lvl w:ilvl="0" w:tplc="C0F6218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5" w15:restartNumberingAfterBreak="0">
    <w:nsid w:val="76E031AF"/>
    <w:multiLevelType w:val="hybridMultilevel"/>
    <w:tmpl w:val="40BE0800"/>
    <w:lvl w:ilvl="0" w:tplc="052238F4">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num w:numId="1">
    <w:abstractNumId w:val="3"/>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2079"/>
    <w:rsid w:val="00002C80"/>
    <w:rsid w:val="00004731"/>
    <w:rsid w:val="00004D6E"/>
    <w:rsid w:val="000052B9"/>
    <w:rsid w:val="00005D5F"/>
    <w:rsid w:val="00006C06"/>
    <w:rsid w:val="00006EC0"/>
    <w:rsid w:val="00007896"/>
    <w:rsid w:val="00007C54"/>
    <w:rsid w:val="00010762"/>
    <w:rsid w:val="00011772"/>
    <w:rsid w:val="00013425"/>
    <w:rsid w:val="00014A70"/>
    <w:rsid w:val="00016DCE"/>
    <w:rsid w:val="00022869"/>
    <w:rsid w:val="00023367"/>
    <w:rsid w:val="00023ECE"/>
    <w:rsid w:val="0002509A"/>
    <w:rsid w:val="00025FAB"/>
    <w:rsid w:val="00026C77"/>
    <w:rsid w:val="00026F9B"/>
    <w:rsid w:val="000278F2"/>
    <w:rsid w:val="0003039A"/>
    <w:rsid w:val="00030B6C"/>
    <w:rsid w:val="00031959"/>
    <w:rsid w:val="00031E1F"/>
    <w:rsid w:val="00032A51"/>
    <w:rsid w:val="00034797"/>
    <w:rsid w:val="00034A19"/>
    <w:rsid w:val="000379F4"/>
    <w:rsid w:val="00037BA4"/>
    <w:rsid w:val="0004041C"/>
    <w:rsid w:val="00040964"/>
    <w:rsid w:val="00042A09"/>
    <w:rsid w:val="00043488"/>
    <w:rsid w:val="00043D68"/>
    <w:rsid w:val="00044D14"/>
    <w:rsid w:val="00044D67"/>
    <w:rsid w:val="00044F0B"/>
    <w:rsid w:val="00045D3B"/>
    <w:rsid w:val="000466AD"/>
    <w:rsid w:val="00046861"/>
    <w:rsid w:val="00046EF2"/>
    <w:rsid w:val="000471F0"/>
    <w:rsid w:val="00051182"/>
    <w:rsid w:val="00051BB0"/>
    <w:rsid w:val="0005219E"/>
    <w:rsid w:val="000557EC"/>
    <w:rsid w:val="00057506"/>
    <w:rsid w:val="00060AA5"/>
    <w:rsid w:val="00060AFD"/>
    <w:rsid w:val="00062C87"/>
    <w:rsid w:val="0006587B"/>
    <w:rsid w:val="00065B5D"/>
    <w:rsid w:val="00067576"/>
    <w:rsid w:val="000675BC"/>
    <w:rsid w:val="00067F3A"/>
    <w:rsid w:val="0007213C"/>
    <w:rsid w:val="00072208"/>
    <w:rsid w:val="0007237C"/>
    <w:rsid w:val="00073242"/>
    <w:rsid w:val="00073EB6"/>
    <w:rsid w:val="00074C14"/>
    <w:rsid w:val="00076006"/>
    <w:rsid w:val="00077617"/>
    <w:rsid w:val="000808F2"/>
    <w:rsid w:val="00080E4E"/>
    <w:rsid w:val="000824AA"/>
    <w:rsid w:val="000835DB"/>
    <w:rsid w:val="0008391D"/>
    <w:rsid w:val="00084670"/>
    <w:rsid w:val="0008619B"/>
    <w:rsid w:val="000871B0"/>
    <w:rsid w:val="000908FF"/>
    <w:rsid w:val="0009101D"/>
    <w:rsid w:val="0009297E"/>
    <w:rsid w:val="00094DA0"/>
    <w:rsid w:val="00095254"/>
    <w:rsid w:val="00096A58"/>
    <w:rsid w:val="00096CF6"/>
    <w:rsid w:val="000971AD"/>
    <w:rsid w:val="000A0E5D"/>
    <w:rsid w:val="000A1211"/>
    <w:rsid w:val="000A1CE3"/>
    <w:rsid w:val="000A2307"/>
    <w:rsid w:val="000A2939"/>
    <w:rsid w:val="000A2C0E"/>
    <w:rsid w:val="000A32AF"/>
    <w:rsid w:val="000A3BD4"/>
    <w:rsid w:val="000A44E4"/>
    <w:rsid w:val="000A45D5"/>
    <w:rsid w:val="000A498D"/>
    <w:rsid w:val="000A4E3E"/>
    <w:rsid w:val="000A513B"/>
    <w:rsid w:val="000A5224"/>
    <w:rsid w:val="000B0015"/>
    <w:rsid w:val="000B26ED"/>
    <w:rsid w:val="000B3927"/>
    <w:rsid w:val="000B4E48"/>
    <w:rsid w:val="000B4F80"/>
    <w:rsid w:val="000B5760"/>
    <w:rsid w:val="000B643C"/>
    <w:rsid w:val="000B6A15"/>
    <w:rsid w:val="000C183C"/>
    <w:rsid w:val="000C1B45"/>
    <w:rsid w:val="000C35EB"/>
    <w:rsid w:val="000C3D6D"/>
    <w:rsid w:val="000C3FDA"/>
    <w:rsid w:val="000C412B"/>
    <w:rsid w:val="000C5880"/>
    <w:rsid w:val="000C5DAB"/>
    <w:rsid w:val="000C6DE2"/>
    <w:rsid w:val="000D18FB"/>
    <w:rsid w:val="000D1993"/>
    <w:rsid w:val="000D5BDC"/>
    <w:rsid w:val="000D635D"/>
    <w:rsid w:val="000D6843"/>
    <w:rsid w:val="000D6D09"/>
    <w:rsid w:val="000D769D"/>
    <w:rsid w:val="000E101D"/>
    <w:rsid w:val="000E1F52"/>
    <w:rsid w:val="000E2AA4"/>
    <w:rsid w:val="000E39D6"/>
    <w:rsid w:val="000E5FA0"/>
    <w:rsid w:val="000E6121"/>
    <w:rsid w:val="000E6C29"/>
    <w:rsid w:val="000F12F9"/>
    <w:rsid w:val="000F184E"/>
    <w:rsid w:val="000F1D5F"/>
    <w:rsid w:val="000F1E30"/>
    <w:rsid w:val="000F313E"/>
    <w:rsid w:val="000F4161"/>
    <w:rsid w:val="000F5215"/>
    <w:rsid w:val="000F6246"/>
    <w:rsid w:val="00101DF8"/>
    <w:rsid w:val="00101E31"/>
    <w:rsid w:val="0010557B"/>
    <w:rsid w:val="00106EFA"/>
    <w:rsid w:val="00111734"/>
    <w:rsid w:val="001145DF"/>
    <w:rsid w:val="001155DB"/>
    <w:rsid w:val="00115926"/>
    <w:rsid w:val="001160D9"/>
    <w:rsid w:val="00117706"/>
    <w:rsid w:val="0012008A"/>
    <w:rsid w:val="00121B2E"/>
    <w:rsid w:val="00121E65"/>
    <w:rsid w:val="00122E25"/>
    <w:rsid w:val="001230D5"/>
    <w:rsid w:val="0012336B"/>
    <w:rsid w:val="00124674"/>
    <w:rsid w:val="00124827"/>
    <w:rsid w:val="00127229"/>
    <w:rsid w:val="00127D53"/>
    <w:rsid w:val="001309E3"/>
    <w:rsid w:val="001312C3"/>
    <w:rsid w:val="00131672"/>
    <w:rsid w:val="001320CC"/>
    <w:rsid w:val="00133C87"/>
    <w:rsid w:val="001347F9"/>
    <w:rsid w:val="00134D82"/>
    <w:rsid w:val="0013592E"/>
    <w:rsid w:val="00135D0C"/>
    <w:rsid w:val="001366D1"/>
    <w:rsid w:val="00140B9B"/>
    <w:rsid w:val="001413AD"/>
    <w:rsid w:val="00141E54"/>
    <w:rsid w:val="00143F7E"/>
    <w:rsid w:val="0014684F"/>
    <w:rsid w:val="00155396"/>
    <w:rsid w:val="001572EC"/>
    <w:rsid w:val="00157373"/>
    <w:rsid w:val="001577EC"/>
    <w:rsid w:val="00160263"/>
    <w:rsid w:val="00160B99"/>
    <w:rsid w:val="001622DD"/>
    <w:rsid w:val="001636DC"/>
    <w:rsid w:val="0016420E"/>
    <w:rsid w:val="00164242"/>
    <w:rsid w:val="00166C2C"/>
    <w:rsid w:val="00171D3C"/>
    <w:rsid w:val="0017303A"/>
    <w:rsid w:val="001755AE"/>
    <w:rsid w:val="0017576C"/>
    <w:rsid w:val="001767FA"/>
    <w:rsid w:val="00180E0A"/>
    <w:rsid w:val="00181558"/>
    <w:rsid w:val="0018161D"/>
    <w:rsid w:val="001816BE"/>
    <w:rsid w:val="0018265D"/>
    <w:rsid w:val="001830BD"/>
    <w:rsid w:val="001831A3"/>
    <w:rsid w:val="00183C5A"/>
    <w:rsid w:val="00184507"/>
    <w:rsid w:val="001852BE"/>
    <w:rsid w:val="00186013"/>
    <w:rsid w:val="00187CA3"/>
    <w:rsid w:val="00187EF7"/>
    <w:rsid w:val="00190516"/>
    <w:rsid w:val="00192587"/>
    <w:rsid w:val="00192DE9"/>
    <w:rsid w:val="00193C3E"/>
    <w:rsid w:val="00193FE4"/>
    <w:rsid w:val="001949E8"/>
    <w:rsid w:val="001953F9"/>
    <w:rsid w:val="0019644F"/>
    <w:rsid w:val="001A13FF"/>
    <w:rsid w:val="001A1AF0"/>
    <w:rsid w:val="001A2C81"/>
    <w:rsid w:val="001A51BC"/>
    <w:rsid w:val="001A51BD"/>
    <w:rsid w:val="001A54BF"/>
    <w:rsid w:val="001A78A4"/>
    <w:rsid w:val="001B1AE2"/>
    <w:rsid w:val="001B25EB"/>
    <w:rsid w:val="001B384D"/>
    <w:rsid w:val="001B3CEE"/>
    <w:rsid w:val="001B46D7"/>
    <w:rsid w:val="001B4865"/>
    <w:rsid w:val="001B49C2"/>
    <w:rsid w:val="001B5209"/>
    <w:rsid w:val="001B6BE2"/>
    <w:rsid w:val="001B7F23"/>
    <w:rsid w:val="001C0464"/>
    <w:rsid w:val="001C059C"/>
    <w:rsid w:val="001C11C8"/>
    <w:rsid w:val="001C2F09"/>
    <w:rsid w:val="001C33DB"/>
    <w:rsid w:val="001C3CA5"/>
    <w:rsid w:val="001C4AE4"/>
    <w:rsid w:val="001C5DE1"/>
    <w:rsid w:val="001D0E61"/>
    <w:rsid w:val="001D1104"/>
    <w:rsid w:val="001D2306"/>
    <w:rsid w:val="001D5CDE"/>
    <w:rsid w:val="001D68F0"/>
    <w:rsid w:val="001D6CFE"/>
    <w:rsid w:val="001D7489"/>
    <w:rsid w:val="001D7D43"/>
    <w:rsid w:val="001E099E"/>
    <w:rsid w:val="001E0C23"/>
    <w:rsid w:val="001E171C"/>
    <w:rsid w:val="001E1C7F"/>
    <w:rsid w:val="001E241A"/>
    <w:rsid w:val="001E2638"/>
    <w:rsid w:val="001E3311"/>
    <w:rsid w:val="001E6694"/>
    <w:rsid w:val="001F0634"/>
    <w:rsid w:val="001F085F"/>
    <w:rsid w:val="001F089D"/>
    <w:rsid w:val="001F20FB"/>
    <w:rsid w:val="001F2B50"/>
    <w:rsid w:val="001F2FD6"/>
    <w:rsid w:val="001F455C"/>
    <w:rsid w:val="001F61A9"/>
    <w:rsid w:val="001F6B0A"/>
    <w:rsid w:val="001F7C88"/>
    <w:rsid w:val="0020092A"/>
    <w:rsid w:val="002015C5"/>
    <w:rsid w:val="0020190E"/>
    <w:rsid w:val="002023EA"/>
    <w:rsid w:val="00204F9E"/>
    <w:rsid w:val="00205D32"/>
    <w:rsid w:val="00206C49"/>
    <w:rsid w:val="00206D46"/>
    <w:rsid w:val="00206D60"/>
    <w:rsid w:val="00207901"/>
    <w:rsid w:val="002144F0"/>
    <w:rsid w:val="00215983"/>
    <w:rsid w:val="00216240"/>
    <w:rsid w:val="00216883"/>
    <w:rsid w:val="00216A0D"/>
    <w:rsid w:val="00216C68"/>
    <w:rsid w:val="00216CF6"/>
    <w:rsid w:val="00216DF4"/>
    <w:rsid w:val="00221173"/>
    <w:rsid w:val="002213A5"/>
    <w:rsid w:val="00221BC7"/>
    <w:rsid w:val="00222D14"/>
    <w:rsid w:val="002237BE"/>
    <w:rsid w:val="002332D3"/>
    <w:rsid w:val="002355FD"/>
    <w:rsid w:val="002371FE"/>
    <w:rsid w:val="00237854"/>
    <w:rsid w:val="002378AE"/>
    <w:rsid w:val="0024132B"/>
    <w:rsid w:val="00241C28"/>
    <w:rsid w:val="0024303B"/>
    <w:rsid w:val="00243183"/>
    <w:rsid w:val="00245439"/>
    <w:rsid w:val="00245701"/>
    <w:rsid w:val="00247CEF"/>
    <w:rsid w:val="00247E1D"/>
    <w:rsid w:val="002501EA"/>
    <w:rsid w:val="00250670"/>
    <w:rsid w:val="00250777"/>
    <w:rsid w:val="0025095B"/>
    <w:rsid w:val="002509EC"/>
    <w:rsid w:val="00251C23"/>
    <w:rsid w:val="00251E1A"/>
    <w:rsid w:val="00253E18"/>
    <w:rsid w:val="00255C39"/>
    <w:rsid w:val="0025673A"/>
    <w:rsid w:val="00257665"/>
    <w:rsid w:val="00257B19"/>
    <w:rsid w:val="0026145F"/>
    <w:rsid w:val="00262EDB"/>
    <w:rsid w:val="00264C33"/>
    <w:rsid w:val="00265313"/>
    <w:rsid w:val="002657C5"/>
    <w:rsid w:val="002658AF"/>
    <w:rsid w:val="002708B7"/>
    <w:rsid w:val="00271B6D"/>
    <w:rsid w:val="00272E40"/>
    <w:rsid w:val="00273A93"/>
    <w:rsid w:val="00273BDC"/>
    <w:rsid w:val="00274B31"/>
    <w:rsid w:val="00274DB1"/>
    <w:rsid w:val="0027526A"/>
    <w:rsid w:val="0027581D"/>
    <w:rsid w:val="0027770B"/>
    <w:rsid w:val="0028037B"/>
    <w:rsid w:val="00281542"/>
    <w:rsid w:val="00283531"/>
    <w:rsid w:val="00284393"/>
    <w:rsid w:val="00285174"/>
    <w:rsid w:val="002903E0"/>
    <w:rsid w:val="00291C31"/>
    <w:rsid w:val="002922B2"/>
    <w:rsid w:val="002957A7"/>
    <w:rsid w:val="00295CB4"/>
    <w:rsid w:val="002A0BE1"/>
    <w:rsid w:val="002A0CCA"/>
    <w:rsid w:val="002A11A7"/>
    <w:rsid w:val="002A4B02"/>
    <w:rsid w:val="002A4B7F"/>
    <w:rsid w:val="002A55CA"/>
    <w:rsid w:val="002A5B8F"/>
    <w:rsid w:val="002A61EF"/>
    <w:rsid w:val="002A74CA"/>
    <w:rsid w:val="002B1034"/>
    <w:rsid w:val="002B408A"/>
    <w:rsid w:val="002B41BB"/>
    <w:rsid w:val="002B5304"/>
    <w:rsid w:val="002B59BB"/>
    <w:rsid w:val="002B7307"/>
    <w:rsid w:val="002B774E"/>
    <w:rsid w:val="002C030E"/>
    <w:rsid w:val="002C0F5D"/>
    <w:rsid w:val="002C2E99"/>
    <w:rsid w:val="002C3F0E"/>
    <w:rsid w:val="002C4D26"/>
    <w:rsid w:val="002C51BA"/>
    <w:rsid w:val="002C54AF"/>
    <w:rsid w:val="002D196D"/>
    <w:rsid w:val="002D3E8C"/>
    <w:rsid w:val="002D4131"/>
    <w:rsid w:val="002D5ACB"/>
    <w:rsid w:val="002D7FC8"/>
    <w:rsid w:val="002E06F7"/>
    <w:rsid w:val="002E2AFD"/>
    <w:rsid w:val="002E31F1"/>
    <w:rsid w:val="002E49F7"/>
    <w:rsid w:val="002E6060"/>
    <w:rsid w:val="002E6799"/>
    <w:rsid w:val="002E791D"/>
    <w:rsid w:val="002F1625"/>
    <w:rsid w:val="002F2EFF"/>
    <w:rsid w:val="002F3140"/>
    <w:rsid w:val="002F4880"/>
    <w:rsid w:val="002F4A86"/>
    <w:rsid w:val="002F5FEE"/>
    <w:rsid w:val="002F7F55"/>
    <w:rsid w:val="00302B42"/>
    <w:rsid w:val="003038C4"/>
    <w:rsid w:val="00304F68"/>
    <w:rsid w:val="00305700"/>
    <w:rsid w:val="00305B88"/>
    <w:rsid w:val="003066A9"/>
    <w:rsid w:val="00307CEC"/>
    <w:rsid w:val="00307D8F"/>
    <w:rsid w:val="00310E0F"/>
    <w:rsid w:val="0031323F"/>
    <w:rsid w:val="00313430"/>
    <w:rsid w:val="00313A39"/>
    <w:rsid w:val="00313E55"/>
    <w:rsid w:val="003148CA"/>
    <w:rsid w:val="00314F6B"/>
    <w:rsid w:val="003156EB"/>
    <w:rsid w:val="00315876"/>
    <w:rsid w:val="00317780"/>
    <w:rsid w:val="00317CBB"/>
    <w:rsid w:val="0032166A"/>
    <w:rsid w:val="00324B7B"/>
    <w:rsid w:val="0032649E"/>
    <w:rsid w:val="0032684E"/>
    <w:rsid w:val="00327072"/>
    <w:rsid w:val="00330518"/>
    <w:rsid w:val="00330C6E"/>
    <w:rsid w:val="003312FD"/>
    <w:rsid w:val="00331F7B"/>
    <w:rsid w:val="003320CF"/>
    <w:rsid w:val="00332A40"/>
    <w:rsid w:val="00332EF4"/>
    <w:rsid w:val="00333359"/>
    <w:rsid w:val="003360AE"/>
    <w:rsid w:val="0033781F"/>
    <w:rsid w:val="00340725"/>
    <w:rsid w:val="00340F44"/>
    <w:rsid w:val="003412FF"/>
    <w:rsid w:val="00341F25"/>
    <w:rsid w:val="00343207"/>
    <w:rsid w:val="00343282"/>
    <w:rsid w:val="00344316"/>
    <w:rsid w:val="00344401"/>
    <w:rsid w:val="0034536C"/>
    <w:rsid w:val="00346804"/>
    <w:rsid w:val="0034777A"/>
    <w:rsid w:val="00350E83"/>
    <w:rsid w:val="0035110A"/>
    <w:rsid w:val="003515AA"/>
    <w:rsid w:val="00351D92"/>
    <w:rsid w:val="00352875"/>
    <w:rsid w:val="00354EF5"/>
    <w:rsid w:val="00355752"/>
    <w:rsid w:val="00357A49"/>
    <w:rsid w:val="00361535"/>
    <w:rsid w:val="00361661"/>
    <w:rsid w:val="003624C3"/>
    <w:rsid w:val="00364979"/>
    <w:rsid w:val="00364C28"/>
    <w:rsid w:val="00365FD2"/>
    <w:rsid w:val="00366AF6"/>
    <w:rsid w:val="00367233"/>
    <w:rsid w:val="00367608"/>
    <w:rsid w:val="00371C2C"/>
    <w:rsid w:val="00371DBE"/>
    <w:rsid w:val="003722D8"/>
    <w:rsid w:val="003738D2"/>
    <w:rsid w:val="00373D6A"/>
    <w:rsid w:val="0037541C"/>
    <w:rsid w:val="0037587F"/>
    <w:rsid w:val="00376E89"/>
    <w:rsid w:val="00376FCB"/>
    <w:rsid w:val="00380113"/>
    <w:rsid w:val="003812E3"/>
    <w:rsid w:val="003850AE"/>
    <w:rsid w:val="003859FD"/>
    <w:rsid w:val="00385E9A"/>
    <w:rsid w:val="00387426"/>
    <w:rsid w:val="003878AF"/>
    <w:rsid w:val="00391D56"/>
    <w:rsid w:val="0039304F"/>
    <w:rsid w:val="00393AE3"/>
    <w:rsid w:val="00394B46"/>
    <w:rsid w:val="00394D2B"/>
    <w:rsid w:val="00396063"/>
    <w:rsid w:val="00396868"/>
    <w:rsid w:val="00396EAB"/>
    <w:rsid w:val="00397294"/>
    <w:rsid w:val="003A14A0"/>
    <w:rsid w:val="003A1FC7"/>
    <w:rsid w:val="003A2CC0"/>
    <w:rsid w:val="003A38F7"/>
    <w:rsid w:val="003A515F"/>
    <w:rsid w:val="003A6411"/>
    <w:rsid w:val="003A66DF"/>
    <w:rsid w:val="003A6E66"/>
    <w:rsid w:val="003A6E9D"/>
    <w:rsid w:val="003A7BBD"/>
    <w:rsid w:val="003B0F93"/>
    <w:rsid w:val="003B1C74"/>
    <w:rsid w:val="003B2566"/>
    <w:rsid w:val="003B2CEF"/>
    <w:rsid w:val="003B3793"/>
    <w:rsid w:val="003B3ECC"/>
    <w:rsid w:val="003B4C78"/>
    <w:rsid w:val="003B5216"/>
    <w:rsid w:val="003B5711"/>
    <w:rsid w:val="003B5B8C"/>
    <w:rsid w:val="003B659E"/>
    <w:rsid w:val="003B76ED"/>
    <w:rsid w:val="003B7A55"/>
    <w:rsid w:val="003C502F"/>
    <w:rsid w:val="003C644F"/>
    <w:rsid w:val="003C6790"/>
    <w:rsid w:val="003C73C8"/>
    <w:rsid w:val="003C7641"/>
    <w:rsid w:val="003D2089"/>
    <w:rsid w:val="003D252C"/>
    <w:rsid w:val="003D3335"/>
    <w:rsid w:val="003D39E2"/>
    <w:rsid w:val="003D45EC"/>
    <w:rsid w:val="003D49C8"/>
    <w:rsid w:val="003D5195"/>
    <w:rsid w:val="003D522E"/>
    <w:rsid w:val="003D587E"/>
    <w:rsid w:val="003D675E"/>
    <w:rsid w:val="003D73F6"/>
    <w:rsid w:val="003D753C"/>
    <w:rsid w:val="003E099C"/>
    <w:rsid w:val="003E2B44"/>
    <w:rsid w:val="003E3863"/>
    <w:rsid w:val="003E5D3A"/>
    <w:rsid w:val="003E6B2E"/>
    <w:rsid w:val="003F12DF"/>
    <w:rsid w:val="003F222E"/>
    <w:rsid w:val="003F2E3D"/>
    <w:rsid w:val="003F350D"/>
    <w:rsid w:val="003F45AA"/>
    <w:rsid w:val="003F5893"/>
    <w:rsid w:val="003F7C10"/>
    <w:rsid w:val="00400A6F"/>
    <w:rsid w:val="00401381"/>
    <w:rsid w:val="00402BD1"/>
    <w:rsid w:val="0040597B"/>
    <w:rsid w:val="00405DDF"/>
    <w:rsid w:val="004061E1"/>
    <w:rsid w:val="00406840"/>
    <w:rsid w:val="00407CC2"/>
    <w:rsid w:val="00410EBB"/>
    <w:rsid w:val="004110D6"/>
    <w:rsid w:val="0041404D"/>
    <w:rsid w:val="004142CA"/>
    <w:rsid w:val="0041475C"/>
    <w:rsid w:val="00415217"/>
    <w:rsid w:val="00421403"/>
    <w:rsid w:val="00423B1A"/>
    <w:rsid w:val="004242AF"/>
    <w:rsid w:val="0042476C"/>
    <w:rsid w:val="004247DF"/>
    <w:rsid w:val="004248E8"/>
    <w:rsid w:val="0042767D"/>
    <w:rsid w:val="00432AE2"/>
    <w:rsid w:val="00433370"/>
    <w:rsid w:val="00434DFE"/>
    <w:rsid w:val="004354C6"/>
    <w:rsid w:val="00436255"/>
    <w:rsid w:val="0043729D"/>
    <w:rsid w:val="00437883"/>
    <w:rsid w:val="004379C6"/>
    <w:rsid w:val="00437F43"/>
    <w:rsid w:val="0044167C"/>
    <w:rsid w:val="00443200"/>
    <w:rsid w:val="0044361C"/>
    <w:rsid w:val="00443D2D"/>
    <w:rsid w:val="00443F41"/>
    <w:rsid w:val="00444FA5"/>
    <w:rsid w:val="0044697C"/>
    <w:rsid w:val="0044735F"/>
    <w:rsid w:val="00450228"/>
    <w:rsid w:val="0045125A"/>
    <w:rsid w:val="004546CE"/>
    <w:rsid w:val="00454DF6"/>
    <w:rsid w:val="004551F9"/>
    <w:rsid w:val="0045695B"/>
    <w:rsid w:val="00456C65"/>
    <w:rsid w:val="0045745B"/>
    <w:rsid w:val="00461020"/>
    <w:rsid w:val="00461A81"/>
    <w:rsid w:val="00461E4D"/>
    <w:rsid w:val="00462505"/>
    <w:rsid w:val="00462C0B"/>
    <w:rsid w:val="00464C92"/>
    <w:rsid w:val="00464FC2"/>
    <w:rsid w:val="004663D3"/>
    <w:rsid w:val="00466436"/>
    <w:rsid w:val="00466B92"/>
    <w:rsid w:val="00467019"/>
    <w:rsid w:val="00475D24"/>
    <w:rsid w:val="00476D34"/>
    <w:rsid w:val="004777B0"/>
    <w:rsid w:val="00477CE0"/>
    <w:rsid w:val="00480EBC"/>
    <w:rsid w:val="004822A4"/>
    <w:rsid w:val="00484813"/>
    <w:rsid w:val="004869C5"/>
    <w:rsid w:val="004873CB"/>
    <w:rsid w:val="00487BCF"/>
    <w:rsid w:val="004924B2"/>
    <w:rsid w:val="00492D49"/>
    <w:rsid w:val="004930F6"/>
    <w:rsid w:val="004951AF"/>
    <w:rsid w:val="00495447"/>
    <w:rsid w:val="0049570D"/>
    <w:rsid w:val="00496F9B"/>
    <w:rsid w:val="0049706C"/>
    <w:rsid w:val="004975CA"/>
    <w:rsid w:val="004A0AC5"/>
    <w:rsid w:val="004A0B75"/>
    <w:rsid w:val="004A1F86"/>
    <w:rsid w:val="004A26EB"/>
    <w:rsid w:val="004A3BE7"/>
    <w:rsid w:val="004A40E5"/>
    <w:rsid w:val="004A4421"/>
    <w:rsid w:val="004A4455"/>
    <w:rsid w:val="004B2560"/>
    <w:rsid w:val="004B374D"/>
    <w:rsid w:val="004B4DF6"/>
    <w:rsid w:val="004B5FB8"/>
    <w:rsid w:val="004B6313"/>
    <w:rsid w:val="004B7036"/>
    <w:rsid w:val="004B7732"/>
    <w:rsid w:val="004C07AE"/>
    <w:rsid w:val="004C0939"/>
    <w:rsid w:val="004C307E"/>
    <w:rsid w:val="004C35B6"/>
    <w:rsid w:val="004D002C"/>
    <w:rsid w:val="004D0AE6"/>
    <w:rsid w:val="004D1EBD"/>
    <w:rsid w:val="004D309F"/>
    <w:rsid w:val="004D3DD0"/>
    <w:rsid w:val="004D56B1"/>
    <w:rsid w:val="004D613D"/>
    <w:rsid w:val="004D61BD"/>
    <w:rsid w:val="004D7B44"/>
    <w:rsid w:val="004D7F4A"/>
    <w:rsid w:val="004E08BE"/>
    <w:rsid w:val="004E1202"/>
    <w:rsid w:val="004E1AF4"/>
    <w:rsid w:val="004E41A9"/>
    <w:rsid w:val="004E4C1F"/>
    <w:rsid w:val="004E6B1F"/>
    <w:rsid w:val="004E6C3E"/>
    <w:rsid w:val="004E6F6E"/>
    <w:rsid w:val="004E7E7B"/>
    <w:rsid w:val="004F0B62"/>
    <w:rsid w:val="004F1235"/>
    <w:rsid w:val="004F1855"/>
    <w:rsid w:val="004F21B8"/>
    <w:rsid w:val="004F2416"/>
    <w:rsid w:val="004F34B6"/>
    <w:rsid w:val="004F3D4F"/>
    <w:rsid w:val="004F6966"/>
    <w:rsid w:val="004F6E4A"/>
    <w:rsid w:val="004F7148"/>
    <w:rsid w:val="0050014A"/>
    <w:rsid w:val="005005BC"/>
    <w:rsid w:val="00501883"/>
    <w:rsid w:val="00501D8F"/>
    <w:rsid w:val="00502150"/>
    <w:rsid w:val="00504547"/>
    <w:rsid w:val="00504C6C"/>
    <w:rsid w:val="005062DE"/>
    <w:rsid w:val="005101F2"/>
    <w:rsid w:val="005109B6"/>
    <w:rsid w:val="00513E66"/>
    <w:rsid w:val="005164B5"/>
    <w:rsid w:val="00516968"/>
    <w:rsid w:val="00516DB3"/>
    <w:rsid w:val="005202B5"/>
    <w:rsid w:val="00520947"/>
    <w:rsid w:val="005210A3"/>
    <w:rsid w:val="00521538"/>
    <w:rsid w:val="00524C6F"/>
    <w:rsid w:val="00525082"/>
    <w:rsid w:val="0052593D"/>
    <w:rsid w:val="00525B5C"/>
    <w:rsid w:val="00527C2A"/>
    <w:rsid w:val="00532D75"/>
    <w:rsid w:val="005345CF"/>
    <w:rsid w:val="0053499A"/>
    <w:rsid w:val="00535B23"/>
    <w:rsid w:val="00536955"/>
    <w:rsid w:val="00536C12"/>
    <w:rsid w:val="005402ED"/>
    <w:rsid w:val="005420D6"/>
    <w:rsid w:val="00544759"/>
    <w:rsid w:val="00545324"/>
    <w:rsid w:val="00545508"/>
    <w:rsid w:val="00545E6B"/>
    <w:rsid w:val="00546418"/>
    <w:rsid w:val="00546DBC"/>
    <w:rsid w:val="00547084"/>
    <w:rsid w:val="0055038F"/>
    <w:rsid w:val="00550762"/>
    <w:rsid w:val="0055079B"/>
    <w:rsid w:val="00550912"/>
    <w:rsid w:val="00553C1A"/>
    <w:rsid w:val="00553FED"/>
    <w:rsid w:val="005565C9"/>
    <w:rsid w:val="00564471"/>
    <w:rsid w:val="00564E2B"/>
    <w:rsid w:val="00565F8B"/>
    <w:rsid w:val="00570279"/>
    <w:rsid w:val="00571340"/>
    <w:rsid w:val="00572A3F"/>
    <w:rsid w:val="00572D49"/>
    <w:rsid w:val="00576A6B"/>
    <w:rsid w:val="00576B44"/>
    <w:rsid w:val="00580854"/>
    <w:rsid w:val="00580945"/>
    <w:rsid w:val="00580F3E"/>
    <w:rsid w:val="00581A4E"/>
    <w:rsid w:val="005826FE"/>
    <w:rsid w:val="00583BD6"/>
    <w:rsid w:val="00584314"/>
    <w:rsid w:val="005844D4"/>
    <w:rsid w:val="00584B5D"/>
    <w:rsid w:val="00584F92"/>
    <w:rsid w:val="00586E11"/>
    <w:rsid w:val="00587DB3"/>
    <w:rsid w:val="0059067C"/>
    <w:rsid w:val="0059128E"/>
    <w:rsid w:val="0059228B"/>
    <w:rsid w:val="00593412"/>
    <w:rsid w:val="00595846"/>
    <w:rsid w:val="00597930"/>
    <w:rsid w:val="00597D9F"/>
    <w:rsid w:val="005A27FB"/>
    <w:rsid w:val="005A32F2"/>
    <w:rsid w:val="005A7FE1"/>
    <w:rsid w:val="005B013D"/>
    <w:rsid w:val="005B02EB"/>
    <w:rsid w:val="005B03E8"/>
    <w:rsid w:val="005B25D6"/>
    <w:rsid w:val="005B26D4"/>
    <w:rsid w:val="005B2C17"/>
    <w:rsid w:val="005B2C5D"/>
    <w:rsid w:val="005B6C09"/>
    <w:rsid w:val="005B7CC7"/>
    <w:rsid w:val="005C15BA"/>
    <w:rsid w:val="005C61D1"/>
    <w:rsid w:val="005D0669"/>
    <w:rsid w:val="005D2D22"/>
    <w:rsid w:val="005D30C1"/>
    <w:rsid w:val="005D30F9"/>
    <w:rsid w:val="005D31B3"/>
    <w:rsid w:val="005D41D6"/>
    <w:rsid w:val="005D49D1"/>
    <w:rsid w:val="005D508B"/>
    <w:rsid w:val="005E0BA4"/>
    <w:rsid w:val="005E0DF9"/>
    <w:rsid w:val="005E1873"/>
    <w:rsid w:val="005E1D99"/>
    <w:rsid w:val="005E248F"/>
    <w:rsid w:val="005E2E42"/>
    <w:rsid w:val="005E3021"/>
    <w:rsid w:val="005E36A8"/>
    <w:rsid w:val="005E3736"/>
    <w:rsid w:val="005E573A"/>
    <w:rsid w:val="005E66A8"/>
    <w:rsid w:val="005E70CB"/>
    <w:rsid w:val="005E77B8"/>
    <w:rsid w:val="005F07E7"/>
    <w:rsid w:val="005F1C78"/>
    <w:rsid w:val="005F3FD4"/>
    <w:rsid w:val="005F4194"/>
    <w:rsid w:val="005F43E8"/>
    <w:rsid w:val="005F5FB1"/>
    <w:rsid w:val="005F680F"/>
    <w:rsid w:val="005F6BB0"/>
    <w:rsid w:val="006003DD"/>
    <w:rsid w:val="00601A0B"/>
    <w:rsid w:val="00601BBA"/>
    <w:rsid w:val="006024A0"/>
    <w:rsid w:val="00602809"/>
    <w:rsid w:val="00602923"/>
    <w:rsid w:val="00602FFD"/>
    <w:rsid w:val="006037C9"/>
    <w:rsid w:val="00603ABA"/>
    <w:rsid w:val="006063CE"/>
    <w:rsid w:val="00610A4E"/>
    <w:rsid w:val="0061106A"/>
    <w:rsid w:val="006116C2"/>
    <w:rsid w:val="00611AE8"/>
    <w:rsid w:val="006121A0"/>
    <w:rsid w:val="00612C6E"/>
    <w:rsid w:val="0061313C"/>
    <w:rsid w:val="00613E0F"/>
    <w:rsid w:val="006149CF"/>
    <w:rsid w:val="006200CA"/>
    <w:rsid w:val="00620496"/>
    <w:rsid w:val="00620780"/>
    <w:rsid w:val="00620A11"/>
    <w:rsid w:val="0062246A"/>
    <w:rsid w:val="00626887"/>
    <w:rsid w:val="00627AE9"/>
    <w:rsid w:val="00631AF1"/>
    <w:rsid w:val="006325B9"/>
    <w:rsid w:val="006344B3"/>
    <w:rsid w:val="0063500E"/>
    <w:rsid w:val="0064007F"/>
    <w:rsid w:val="006412EF"/>
    <w:rsid w:val="00641418"/>
    <w:rsid w:val="0064220E"/>
    <w:rsid w:val="00643999"/>
    <w:rsid w:val="0064484E"/>
    <w:rsid w:val="00645A49"/>
    <w:rsid w:val="00645CDE"/>
    <w:rsid w:val="0064711F"/>
    <w:rsid w:val="006477E7"/>
    <w:rsid w:val="00647C26"/>
    <w:rsid w:val="00650EAF"/>
    <w:rsid w:val="0065176D"/>
    <w:rsid w:val="00652490"/>
    <w:rsid w:val="00652B1B"/>
    <w:rsid w:val="00652B73"/>
    <w:rsid w:val="00653083"/>
    <w:rsid w:val="00653FB3"/>
    <w:rsid w:val="006551CF"/>
    <w:rsid w:val="0065549E"/>
    <w:rsid w:val="006563EC"/>
    <w:rsid w:val="00656E08"/>
    <w:rsid w:val="0065706E"/>
    <w:rsid w:val="00657E66"/>
    <w:rsid w:val="006600DF"/>
    <w:rsid w:val="006618B5"/>
    <w:rsid w:val="006619A5"/>
    <w:rsid w:val="00661C0A"/>
    <w:rsid w:val="006622BD"/>
    <w:rsid w:val="00662A96"/>
    <w:rsid w:val="00663609"/>
    <w:rsid w:val="00664102"/>
    <w:rsid w:val="0066533F"/>
    <w:rsid w:val="00665999"/>
    <w:rsid w:val="00665EC3"/>
    <w:rsid w:val="00671486"/>
    <w:rsid w:val="0067207D"/>
    <w:rsid w:val="006725EF"/>
    <w:rsid w:val="00673AC8"/>
    <w:rsid w:val="006743E5"/>
    <w:rsid w:val="0067471B"/>
    <w:rsid w:val="00674944"/>
    <w:rsid w:val="006768AB"/>
    <w:rsid w:val="00677822"/>
    <w:rsid w:val="006800FA"/>
    <w:rsid w:val="00683484"/>
    <w:rsid w:val="006854FD"/>
    <w:rsid w:val="00686C4E"/>
    <w:rsid w:val="00687485"/>
    <w:rsid w:val="00687735"/>
    <w:rsid w:val="006907AD"/>
    <w:rsid w:val="00692F81"/>
    <w:rsid w:val="006930D4"/>
    <w:rsid w:val="006935F8"/>
    <w:rsid w:val="00694127"/>
    <w:rsid w:val="00694A16"/>
    <w:rsid w:val="00694A9E"/>
    <w:rsid w:val="006A0D7A"/>
    <w:rsid w:val="006A21D3"/>
    <w:rsid w:val="006A373B"/>
    <w:rsid w:val="006A47E2"/>
    <w:rsid w:val="006A5DBB"/>
    <w:rsid w:val="006B00D5"/>
    <w:rsid w:val="006B0400"/>
    <w:rsid w:val="006B0878"/>
    <w:rsid w:val="006B1CC5"/>
    <w:rsid w:val="006B2F7D"/>
    <w:rsid w:val="006B5EC9"/>
    <w:rsid w:val="006B60F3"/>
    <w:rsid w:val="006B7AD9"/>
    <w:rsid w:val="006C1FE8"/>
    <w:rsid w:val="006C212A"/>
    <w:rsid w:val="006C2C44"/>
    <w:rsid w:val="006C2D11"/>
    <w:rsid w:val="006C7055"/>
    <w:rsid w:val="006D02FF"/>
    <w:rsid w:val="006D1609"/>
    <w:rsid w:val="006D2BCF"/>
    <w:rsid w:val="006D3395"/>
    <w:rsid w:val="006D3C3B"/>
    <w:rsid w:val="006D3F88"/>
    <w:rsid w:val="006D4CE2"/>
    <w:rsid w:val="006D6113"/>
    <w:rsid w:val="006D6375"/>
    <w:rsid w:val="006E0431"/>
    <w:rsid w:val="006E391C"/>
    <w:rsid w:val="006E4379"/>
    <w:rsid w:val="006E5E64"/>
    <w:rsid w:val="006E6ACD"/>
    <w:rsid w:val="006F01E4"/>
    <w:rsid w:val="006F0AAA"/>
    <w:rsid w:val="006F0FAE"/>
    <w:rsid w:val="006F16AE"/>
    <w:rsid w:val="006F1E9D"/>
    <w:rsid w:val="006F2725"/>
    <w:rsid w:val="006F4A50"/>
    <w:rsid w:val="006F4B20"/>
    <w:rsid w:val="006F4B53"/>
    <w:rsid w:val="00700177"/>
    <w:rsid w:val="00700703"/>
    <w:rsid w:val="0070146A"/>
    <w:rsid w:val="00704342"/>
    <w:rsid w:val="00704EFB"/>
    <w:rsid w:val="00704FFE"/>
    <w:rsid w:val="00705CCA"/>
    <w:rsid w:val="00710187"/>
    <w:rsid w:val="0071081C"/>
    <w:rsid w:val="007115CD"/>
    <w:rsid w:val="00713D09"/>
    <w:rsid w:val="0071425E"/>
    <w:rsid w:val="007148AB"/>
    <w:rsid w:val="007154CE"/>
    <w:rsid w:val="007157E1"/>
    <w:rsid w:val="00716C94"/>
    <w:rsid w:val="0071717E"/>
    <w:rsid w:val="00720164"/>
    <w:rsid w:val="00720D11"/>
    <w:rsid w:val="00722D83"/>
    <w:rsid w:val="0072308A"/>
    <w:rsid w:val="007234B4"/>
    <w:rsid w:val="00723C2F"/>
    <w:rsid w:val="0072516F"/>
    <w:rsid w:val="00725B41"/>
    <w:rsid w:val="00727C34"/>
    <w:rsid w:val="00727E0A"/>
    <w:rsid w:val="0073176E"/>
    <w:rsid w:val="00732EC9"/>
    <w:rsid w:val="00734209"/>
    <w:rsid w:val="00734B27"/>
    <w:rsid w:val="00735226"/>
    <w:rsid w:val="00735646"/>
    <w:rsid w:val="00735CA5"/>
    <w:rsid w:val="00735DCE"/>
    <w:rsid w:val="00736D94"/>
    <w:rsid w:val="00742597"/>
    <w:rsid w:val="00744629"/>
    <w:rsid w:val="00744AAE"/>
    <w:rsid w:val="0074699B"/>
    <w:rsid w:val="00746E38"/>
    <w:rsid w:val="00747E02"/>
    <w:rsid w:val="00750508"/>
    <w:rsid w:val="007520AD"/>
    <w:rsid w:val="00752BEF"/>
    <w:rsid w:val="00753424"/>
    <w:rsid w:val="00756784"/>
    <w:rsid w:val="0076078D"/>
    <w:rsid w:val="00760B3F"/>
    <w:rsid w:val="00761175"/>
    <w:rsid w:val="00761471"/>
    <w:rsid w:val="007619F1"/>
    <w:rsid w:val="00762041"/>
    <w:rsid w:val="00763719"/>
    <w:rsid w:val="0076581A"/>
    <w:rsid w:val="007668E4"/>
    <w:rsid w:val="00766A7C"/>
    <w:rsid w:val="0076729C"/>
    <w:rsid w:val="00770065"/>
    <w:rsid w:val="007719F0"/>
    <w:rsid w:val="00772229"/>
    <w:rsid w:val="00772F28"/>
    <w:rsid w:val="00773622"/>
    <w:rsid w:val="00775215"/>
    <w:rsid w:val="007768E9"/>
    <w:rsid w:val="00777D56"/>
    <w:rsid w:val="0078012D"/>
    <w:rsid w:val="00780A1D"/>
    <w:rsid w:val="00780D39"/>
    <w:rsid w:val="0078107E"/>
    <w:rsid w:val="007817B6"/>
    <w:rsid w:val="00781C16"/>
    <w:rsid w:val="00782476"/>
    <w:rsid w:val="00782B02"/>
    <w:rsid w:val="00782E61"/>
    <w:rsid w:val="00784236"/>
    <w:rsid w:val="00784A9F"/>
    <w:rsid w:val="00787098"/>
    <w:rsid w:val="00787BF0"/>
    <w:rsid w:val="007917C0"/>
    <w:rsid w:val="007923C7"/>
    <w:rsid w:val="00792BD9"/>
    <w:rsid w:val="00794140"/>
    <w:rsid w:val="00794ACE"/>
    <w:rsid w:val="007955E6"/>
    <w:rsid w:val="007A1068"/>
    <w:rsid w:val="007A1163"/>
    <w:rsid w:val="007A2B7E"/>
    <w:rsid w:val="007A453E"/>
    <w:rsid w:val="007A540D"/>
    <w:rsid w:val="007A54A2"/>
    <w:rsid w:val="007A6C3E"/>
    <w:rsid w:val="007A7A05"/>
    <w:rsid w:val="007B0A50"/>
    <w:rsid w:val="007B30DB"/>
    <w:rsid w:val="007B3920"/>
    <w:rsid w:val="007B3D48"/>
    <w:rsid w:val="007B7182"/>
    <w:rsid w:val="007B7B27"/>
    <w:rsid w:val="007C1B0B"/>
    <w:rsid w:val="007C285A"/>
    <w:rsid w:val="007C32CA"/>
    <w:rsid w:val="007C3663"/>
    <w:rsid w:val="007C413A"/>
    <w:rsid w:val="007C435E"/>
    <w:rsid w:val="007C5023"/>
    <w:rsid w:val="007C5A11"/>
    <w:rsid w:val="007C7EF9"/>
    <w:rsid w:val="007D23F6"/>
    <w:rsid w:val="007D248B"/>
    <w:rsid w:val="007D35A6"/>
    <w:rsid w:val="007D37E0"/>
    <w:rsid w:val="007D3E83"/>
    <w:rsid w:val="007D6159"/>
    <w:rsid w:val="007D6613"/>
    <w:rsid w:val="007D68F4"/>
    <w:rsid w:val="007D794E"/>
    <w:rsid w:val="007E0A2F"/>
    <w:rsid w:val="007E0B72"/>
    <w:rsid w:val="007E1142"/>
    <w:rsid w:val="007E1291"/>
    <w:rsid w:val="007E12C3"/>
    <w:rsid w:val="007E1428"/>
    <w:rsid w:val="007E1838"/>
    <w:rsid w:val="007E302A"/>
    <w:rsid w:val="007E477C"/>
    <w:rsid w:val="007E4CF5"/>
    <w:rsid w:val="007E5314"/>
    <w:rsid w:val="007E5486"/>
    <w:rsid w:val="007E6613"/>
    <w:rsid w:val="007E6617"/>
    <w:rsid w:val="007F0276"/>
    <w:rsid w:val="007F2523"/>
    <w:rsid w:val="007F3DE0"/>
    <w:rsid w:val="007F4249"/>
    <w:rsid w:val="007F4389"/>
    <w:rsid w:val="007F7510"/>
    <w:rsid w:val="007F7660"/>
    <w:rsid w:val="00803329"/>
    <w:rsid w:val="0080419A"/>
    <w:rsid w:val="00804C98"/>
    <w:rsid w:val="0080537B"/>
    <w:rsid w:val="008067C0"/>
    <w:rsid w:val="00810143"/>
    <w:rsid w:val="00813A65"/>
    <w:rsid w:val="00813BA3"/>
    <w:rsid w:val="00813D8C"/>
    <w:rsid w:val="00814A88"/>
    <w:rsid w:val="00816051"/>
    <w:rsid w:val="00820524"/>
    <w:rsid w:val="00820A5A"/>
    <w:rsid w:val="00821050"/>
    <w:rsid w:val="008210B8"/>
    <w:rsid w:val="00822FC4"/>
    <w:rsid w:val="008232DC"/>
    <w:rsid w:val="00823C40"/>
    <w:rsid w:val="00823FFD"/>
    <w:rsid w:val="00825000"/>
    <w:rsid w:val="00827B25"/>
    <w:rsid w:val="00830029"/>
    <w:rsid w:val="00831FED"/>
    <w:rsid w:val="00832731"/>
    <w:rsid w:val="00832FBC"/>
    <w:rsid w:val="00834A65"/>
    <w:rsid w:val="00834E30"/>
    <w:rsid w:val="008357E0"/>
    <w:rsid w:val="008371EB"/>
    <w:rsid w:val="00843A72"/>
    <w:rsid w:val="00843BA6"/>
    <w:rsid w:val="00843D71"/>
    <w:rsid w:val="00844ECD"/>
    <w:rsid w:val="00851039"/>
    <w:rsid w:val="00852437"/>
    <w:rsid w:val="00853DEB"/>
    <w:rsid w:val="00853FB6"/>
    <w:rsid w:val="00854D96"/>
    <w:rsid w:val="00856F87"/>
    <w:rsid w:val="00857969"/>
    <w:rsid w:val="00862187"/>
    <w:rsid w:val="00863163"/>
    <w:rsid w:val="008644E0"/>
    <w:rsid w:val="008661BD"/>
    <w:rsid w:val="00867495"/>
    <w:rsid w:val="00867B4E"/>
    <w:rsid w:val="008713B6"/>
    <w:rsid w:val="0087156B"/>
    <w:rsid w:val="0088114B"/>
    <w:rsid w:val="008817C5"/>
    <w:rsid w:val="00881985"/>
    <w:rsid w:val="0088292E"/>
    <w:rsid w:val="00883DEC"/>
    <w:rsid w:val="00886E55"/>
    <w:rsid w:val="0088715F"/>
    <w:rsid w:val="00890CDB"/>
    <w:rsid w:val="00891BC6"/>
    <w:rsid w:val="00891C67"/>
    <w:rsid w:val="00892117"/>
    <w:rsid w:val="00893252"/>
    <w:rsid w:val="008932EA"/>
    <w:rsid w:val="00893627"/>
    <w:rsid w:val="0089417D"/>
    <w:rsid w:val="00894E26"/>
    <w:rsid w:val="008956C7"/>
    <w:rsid w:val="0089603C"/>
    <w:rsid w:val="00896C81"/>
    <w:rsid w:val="00897EBA"/>
    <w:rsid w:val="008A0B98"/>
    <w:rsid w:val="008A13C4"/>
    <w:rsid w:val="008A23C3"/>
    <w:rsid w:val="008A41AC"/>
    <w:rsid w:val="008A43AE"/>
    <w:rsid w:val="008A4793"/>
    <w:rsid w:val="008A5AE0"/>
    <w:rsid w:val="008A5AE8"/>
    <w:rsid w:val="008A767B"/>
    <w:rsid w:val="008B19D6"/>
    <w:rsid w:val="008B2199"/>
    <w:rsid w:val="008B224C"/>
    <w:rsid w:val="008B2CBD"/>
    <w:rsid w:val="008B3219"/>
    <w:rsid w:val="008B4468"/>
    <w:rsid w:val="008B46EF"/>
    <w:rsid w:val="008B479D"/>
    <w:rsid w:val="008B58F1"/>
    <w:rsid w:val="008B6A93"/>
    <w:rsid w:val="008B798C"/>
    <w:rsid w:val="008B7EAC"/>
    <w:rsid w:val="008B7F4F"/>
    <w:rsid w:val="008C0025"/>
    <w:rsid w:val="008C0B8B"/>
    <w:rsid w:val="008C11E4"/>
    <w:rsid w:val="008C153B"/>
    <w:rsid w:val="008C23CF"/>
    <w:rsid w:val="008C3E8A"/>
    <w:rsid w:val="008C4BDD"/>
    <w:rsid w:val="008C4E0B"/>
    <w:rsid w:val="008C61AC"/>
    <w:rsid w:val="008C6860"/>
    <w:rsid w:val="008C69DE"/>
    <w:rsid w:val="008C6E11"/>
    <w:rsid w:val="008C756A"/>
    <w:rsid w:val="008C7F3B"/>
    <w:rsid w:val="008D0349"/>
    <w:rsid w:val="008D099F"/>
    <w:rsid w:val="008D2631"/>
    <w:rsid w:val="008D2905"/>
    <w:rsid w:val="008D38DB"/>
    <w:rsid w:val="008D4400"/>
    <w:rsid w:val="008D59BE"/>
    <w:rsid w:val="008D6BE9"/>
    <w:rsid w:val="008E08BC"/>
    <w:rsid w:val="008E2656"/>
    <w:rsid w:val="008E4142"/>
    <w:rsid w:val="008E46A2"/>
    <w:rsid w:val="008E46C1"/>
    <w:rsid w:val="008E6E4D"/>
    <w:rsid w:val="008E70C5"/>
    <w:rsid w:val="008E75BA"/>
    <w:rsid w:val="008E7A39"/>
    <w:rsid w:val="008F2414"/>
    <w:rsid w:val="008F2AB9"/>
    <w:rsid w:val="008F3619"/>
    <w:rsid w:val="008F4B0B"/>
    <w:rsid w:val="008F5516"/>
    <w:rsid w:val="008F58DB"/>
    <w:rsid w:val="008F5C0C"/>
    <w:rsid w:val="008F64B7"/>
    <w:rsid w:val="008F6EDE"/>
    <w:rsid w:val="00901902"/>
    <w:rsid w:val="00903823"/>
    <w:rsid w:val="009056CB"/>
    <w:rsid w:val="00906AFD"/>
    <w:rsid w:val="00906F0C"/>
    <w:rsid w:val="00906F6A"/>
    <w:rsid w:val="00910E19"/>
    <w:rsid w:val="00911219"/>
    <w:rsid w:val="0091139B"/>
    <w:rsid w:val="00912B48"/>
    <w:rsid w:val="00912D60"/>
    <w:rsid w:val="009137DA"/>
    <w:rsid w:val="009137FF"/>
    <w:rsid w:val="009150DF"/>
    <w:rsid w:val="00915782"/>
    <w:rsid w:val="00915E86"/>
    <w:rsid w:val="009163CF"/>
    <w:rsid w:val="00916775"/>
    <w:rsid w:val="009221C5"/>
    <w:rsid w:val="00922265"/>
    <w:rsid w:val="0092359F"/>
    <w:rsid w:val="009246BD"/>
    <w:rsid w:val="00925285"/>
    <w:rsid w:val="00925BE4"/>
    <w:rsid w:val="00926555"/>
    <w:rsid w:val="009265B7"/>
    <w:rsid w:val="00926DA1"/>
    <w:rsid w:val="00927C0B"/>
    <w:rsid w:val="00927D0C"/>
    <w:rsid w:val="009317A4"/>
    <w:rsid w:val="009318D4"/>
    <w:rsid w:val="00936082"/>
    <w:rsid w:val="0093650C"/>
    <w:rsid w:val="00936693"/>
    <w:rsid w:val="009371A5"/>
    <w:rsid w:val="0093731A"/>
    <w:rsid w:val="00937569"/>
    <w:rsid w:val="009379ED"/>
    <w:rsid w:val="009419E1"/>
    <w:rsid w:val="00942019"/>
    <w:rsid w:val="009425B8"/>
    <w:rsid w:val="00943BE5"/>
    <w:rsid w:val="00944335"/>
    <w:rsid w:val="009449C9"/>
    <w:rsid w:val="0094619A"/>
    <w:rsid w:val="00947BCC"/>
    <w:rsid w:val="0095039B"/>
    <w:rsid w:val="00950FF2"/>
    <w:rsid w:val="00951A1D"/>
    <w:rsid w:val="0095289D"/>
    <w:rsid w:val="00953231"/>
    <w:rsid w:val="00957A3F"/>
    <w:rsid w:val="00957D6F"/>
    <w:rsid w:val="00960390"/>
    <w:rsid w:val="00960889"/>
    <w:rsid w:val="00962805"/>
    <w:rsid w:val="00962858"/>
    <w:rsid w:val="00962E45"/>
    <w:rsid w:val="00963204"/>
    <w:rsid w:val="009632E8"/>
    <w:rsid w:val="0096501E"/>
    <w:rsid w:val="00965A66"/>
    <w:rsid w:val="0096719C"/>
    <w:rsid w:val="009707A3"/>
    <w:rsid w:val="00972A05"/>
    <w:rsid w:val="009746FE"/>
    <w:rsid w:val="00974A13"/>
    <w:rsid w:val="00974A94"/>
    <w:rsid w:val="009752A9"/>
    <w:rsid w:val="009765E0"/>
    <w:rsid w:val="009775C0"/>
    <w:rsid w:val="00980314"/>
    <w:rsid w:val="00982D52"/>
    <w:rsid w:val="0098356A"/>
    <w:rsid w:val="00983C06"/>
    <w:rsid w:val="0098495F"/>
    <w:rsid w:val="00984FF1"/>
    <w:rsid w:val="009869CF"/>
    <w:rsid w:val="009903A5"/>
    <w:rsid w:val="00990D73"/>
    <w:rsid w:val="00990F17"/>
    <w:rsid w:val="00991864"/>
    <w:rsid w:val="00991D59"/>
    <w:rsid w:val="009937B4"/>
    <w:rsid w:val="00994787"/>
    <w:rsid w:val="00995505"/>
    <w:rsid w:val="009961FF"/>
    <w:rsid w:val="00996E50"/>
    <w:rsid w:val="00997237"/>
    <w:rsid w:val="009A1E4B"/>
    <w:rsid w:val="009A24BE"/>
    <w:rsid w:val="009A2548"/>
    <w:rsid w:val="009A2EC7"/>
    <w:rsid w:val="009A35CF"/>
    <w:rsid w:val="009A3950"/>
    <w:rsid w:val="009A5767"/>
    <w:rsid w:val="009A5891"/>
    <w:rsid w:val="009A6C5F"/>
    <w:rsid w:val="009A7DDE"/>
    <w:rsid w:val="009B0406"/>
    <w:rsid w:val="009B136D"/>
    <w:rsid w:val="009B2129"/>
    <w:rsid w:val="009B2D5E"/>
    <w:rsid w:val="009B342D"/>
    <w:rsid w:val="009B5867"/>
    <w:rsid w:val="009C0E77"/>
    <w:rsid w:val="009C1A1E"/>
    <w:rsid w:val="009C3329"/>
    <w:rsid w:val="009C3A7D"/>
    <w:rsid w:val="009C422E"/>
    <w:rsid w:val="009C4BF6"/>
    <w:rsid w:val="009C712F"/>
    <w:rsid w:val="009D1B4B"/>
    <w:rsid w:val="009D3FA8"/>
    <w:rsid w:val="009D47ED"/>
    <w:rsid w:val="009D4FDA"/>
    <w:rsid w:val="009D5514"/>
    <w:rsid w:val="009D5B25"/>
    <w:rsid w:val="009D5D82"/>
    <w:rsid w:val="009D6430"/>
    <w:rsid w:val="009D74F9"/>
    <w:rsid w:val="009E104B"/>
    <w:rsid w:val="009E1800"/>
    <w:rsid w:val="009E2839"/>
    <w:rsid w:val="009E295C"/>
    <w:rsid w:val="009E349D"/>
    <w:rsid w:val="009E3C6A"/>
    <w:rsid w:val="009E56AE"/>
    <w:rsid w:val="009E5756"/>
    <w:rsid w:val="009E5D4D"/>
    <w:rsid w:val="009E649F"/>
    <w:rsid w:val="009F0A1F"/>
    <w:rsid w:val="009F18B3"/>
    <w:rsid w:val="009F25C6"/>
    <w:rsid w:val="009F6C8D"/>
    <w:rsid w:val="009F7716"/>
    <w:rsid w:val="00A016B4"/>
    <w:rsid w:val="00A02913"/>
    <w:rsid w:val="00A0334C"/>
    <w:rsid w:val="00A03605"/>
    <w:rsid w:val="00A036D3"/>
    <w:rsid w:val="00A03BC1"/>
    <w:rsid w:val="00A03E17"/>
    <w:rsid w:val="00A04537"/>
    <w:rsid w:val="00A059D2"/>
    <w:rsid w:val="00A07102"/>
    <w:rsid w:val="00A076CF"/>
    <w:rsid w:val="00A076DB"/>
    <w:rsid w:val="00A07799"/>
    <w:rsid w:val="00A125F6"/>
    <w:rsid w:val="00A139F6"/>
    <w:rsid w:val="00A167AE"/>
    <w:rsid w:val="00A16C84"/>
    <w:rsid w:val="00A17172"/>
    <w:rsid w:val="00A17D8E"/>
    <w:rsid w:val="00A22A95"/>
    <w:rsid w:val="00A23197"/>
    <w:rsid w:val="00A23DE7"/>
    <w:rsid w:val="00A23E27"/>
    <w:rsid w:val="00A2487A"/>
    <w:rsid w:val="00A262DD"/>
    <w:rsid w:val="00A27AA3"/>
    <w:rsid w:val="00A30907"/>
    <w:rsid w:val="00A33D22"/>
    <w:rsid w:val="00A35457"/>
    <w:rsid w:val="00A36216"/>
    <w:rsid w:val="00A3701C"/>
    <w:rsid w:val="00A37DC7"/>
    <w:rsid w:val="00A37F8E"/>
    <w:rsid w:val="00A412D8"/>
    <w:rsid w:val="00A42D93"/>
    <w:rsid w:val="00A4550E"/>
    <w:rsid w:val="00A45799"/>
    <w:rsid w:val="00A45A71"/>
    <w:rsid w:val="00A46CC1"/>
    <w:rsid w:val="00A47894"/>
    <w:rsid w:val="00A50A56"/>
    <w:rsid w:val="00A5160F"/>
    <w:rsid w:val="00A54598"/>
    <w:rsid w:val="00A5478D"/>
    <w:rsid w:val="00A55524"/>
    <w:rsid w:val="00A56934"/>
    <w:rsid w:val="00A569DA"/>
    <w:rsid w:val="00A56D6A"/>
    <w:rsid w:val="00A57F5D"/>
    <w:rsid w:val="00A61189"/>
    <w:rsid w:val="00A61347"/>
    <w:rsid w:val="00A62087"/>
    <w:rsid w:val="00A638BA"/>
    <w:rsid w:val="00A64F07"/>
    <w:rsid w:val="00A66589"/>
    <w:rsid w:val="00A6689D"/>
    <w:rsid w:val="00A700F1"/>
    <w:rsid w:val="00A7172D"/>
    <w:rsid w:val="00A74627"/>
    <w:rsid w:val="00A76F6C"/>
    <w:rsid w:val="00A778FD"/>
    <w:rsid w:val="00A80C69"/>
    <w:rsid w:val="00A82CA4"/>
    <w:rsid w:val="00A84443"/>
    <w:rsid w:val="00A84A78"/>
    <w:rsid w:val="00A84F5C"/>
    <w:rsid w:val="00A850FB"/>
    <w:rsid w:val="00A85AA7"/>
    <w:rsid w:val="00A87A5B"/>
    <w:rsid w:val="00A90998"/>
    <w:rsid w:val="00A92024"/>
    <w:rsid w:val="00A936DA"/>
    <w:rsid w:val="00A93DE6"/>
    <w:rsid w:val="00A94320"/>
    <w:rsid w:val="00A9671C"/>
    <w:rsid w:val="00AA0475"/>
    <w:rsid w:val="00AA05A6"/>
    <w:rsid w:val="00AA19B0"/>
    <w:rsid w:val="00AA1EAF"/>
    <w:rsid w:val="00AA24A3"/>
    <w:rsid w:val="00AA3095"/>
    <w:rsid w:val="00AA3C55"/>
    <w:rsid w:val="00AA603E"/>
    <w:rsid w:val="00AA64B2"/>
    <w:rsid w:val="00AB126D"/>
    <w:rsid w:val="00AB382F"/>
    <w:rsid w:val="00AB3F7A"/>
    <w:rsid w:val="00AB40AA"/>
    <w:rsid w:val="00AB433F"/>
    <w:rsid w:val="00AB5901"/>
    <w:rsid w:val="00AB5E05"/>
    <w:rsid w:val="00AB7EBF"/>
    <w:rsid w:val="00AC020B"/>
    <w:rsid w:val="00AC2EBD"/>
    <w:rsid w:val="00AC2F01"/>
    <w:rsid w:val="00AC32D4"/>
    <w:rsid w:val="00AC4D93"/>
    <w:rsid w:val="00AC7120"/>
    <w:rsid w:val="00AC7EA7"/>
    <w:rsid w:val="00AD0077"/>
    <w:rsid w:val="00AD0582"/>
    <w:rsid w:val="00AD09DD"/>
    <w:rsid w:val="00AD1993"/>
    <w:rsid w:val="00AD2373"/>
    <w:rsid w:val="00AD2DD0"/>
    <w:rsid w:val="00AD57CE"/>
    <w:rsid w:val="00AD676B"/>
    <w:rsid w:val="00AD7520"/>
    <w:rsid w:val="00AE228A"/>
    <w:rsid w:val="00AE42EF"/>
    <w:rsid w:val="00AE4475"/>
    <w:rsid w:val="00AE4DAD"/>
    <w:rsid w:val="00AE52F2"/>
    <w:rsid w:val="00AE5687"/>
    <w:rsid w:val="00AF040C"/>
    <w:rsid w:val="00AF16BB"/>
    <w:rsid w:val="00AF18F3"/>
    <w:rsid w:val="00AF442A"/>
    <w:rsid w:val="00AF580D"/>
    <w:rsid w:val="00AF668F"/>
    <w:rsid w:val="00B002EF"/>
    <w:rsid w:val="00B003F4"/>
    <w:rsid w:val="00B00D9A"/>
    <w:rsid w:val="00B00EC8"/>
    <w:rsid w:val="00B03E6B"/>
    <w:rsid w:val="00B062CE"/>
    <w:rsid w:val="00B07E28"/>
    <w:rsid w:val="00B104A1"/>
    <w:rsid w:val="00B1199E"/>
    <w:rsid w:val="00B13091"/>
    <w:rsid w:val="00B13852"/>
    <w:rsid w:val="00B144ED"/>
    <w:rsid w:val="00B14595"/>
    <w:rsid w:val="00B14B3D"/>
    <w:rsid w:val="00B21875"/>
    <w:rsid w:val="00B218A7"/>
    <w:rsid w:val="00B24CD3"/>
    <w:rsid w:val="00B24E0A"/>
    <w:rsid w:val="00B254A3"/>
    <w:rsid w:val="00B256E4"/>
    <w:rsid w:val="00B26BAF"/>
    <w:rsid w:val="00B2713F"/>
    <w:rsid w:val="00B300B3"/>
    <w:rsid w:val="00B31BB4"/>
    <w:rsid w:val="00B3348B"/>
    <w:rsid w:val="00B33816"/>
    <w:rsid w:val="00B33E1F"/>
    <w:rsid w:val="00B34552"/>
    <w:rsid w:val="00B3734D"/>
    <w:rsid w:val="00B375B3"/>
    <w:rsid w:val="00B37F7D"/>
    <w:rsid w:val="00B37FCF"/>
    <w:rsid w:val="00B40237"/>
    <w:rsid w:val="00B4105C"/>
    <w:rsid w:val="00B41243"/>
    <w:rsid w:val="00B422B1"/>
    <w:rsid w:val="00B42F40"/>
    <w:rsid w:val="00B43DBD"/>
    <w:rsid w:val="00B46CF8"/>
    <w:rsid w:val="00B51008"/>
    <w:rsid w:val="00B51567"/>
    <w:rsid w:val="00B515C5"/>
    <w:rsid w:val="00B52185"/>
    <w:rsid w:val="00B53116"/>
    <w:rsid w:val="00B5358A"/>
    <w:rsid w:val="00B53D3A"/>
    <w:rsid w:val="00B5523A"/>
    <w:rsid w:val="00B55BA4"/>
    <w:rsid w:val="00B606F3"/>
    <w:rsid w:val="00B61AF0"/>
    <w:rsid w:val="00B6254D"/>
    <w:rsid w:val="00B639CE"/>
    <w:rsid w:val="00B647BB"/>
    <w:rsid w:val="00B67738"/>
    <w:rsid w:val="00B67CF6"/>
    <w:rsid w:val="00B67D61"/>
    <w:rsid w:val="00B704CE"/>
    <w:rsid w:val="00B7106B"/>
    <w:rsid w:val="00B716B4"/>
    <w:rsid w:val="00B71979"/>
    <w:rsid w:val="00B71F3C"/>
    <w:rsid w:val="00B71FDD"/>
    <w:rsid w:val="00B7239E"/>
    <w:rsid w:val="00B7329A"/>
    <w:rsid w:val="00B73BE3"/>
    <w:rsid w:val="00B73FFA"/>
    <w:rsid w:val="00B74D77"/>
    <w:rsid w:val="00B760A9"/>
    <w:rsid w:val="00B77332"/>
    <w:rsid w:val="00B8027F"/>
    <w:rsid w:val="00B82B6F"/>
    <w:rsid w:val="00B85A9B"/>
    <w:rsid w:val="00B85FC9"/>
    <w:rsid w:val="00B873B9"/>
    <w:rsid w:val="00B877A0"/>
    <w:rsid w:val="00B9057A"/>
    <w:rsid w:val="00B91024"/>
    <w:rsid w:val="00B92E12"/>
    <w:rsid w:val="00B92ED5"/>
    <w:rsid w:val="00B9314F"/>
    <w:rsid w:val="00B93B48"/>
    <w:rsid w:val="00B94739"/>
    <w:rsid w:val="00B95850"/>
    <w:rsid w:val="00B9673F"/>
    <w:rsid w:val="00BA1953"/>
    <w:rsid w:val="00BA19C7"/>
    <w:rsid w:val="00BA1AEE"/>
    <w:rsid w:val="00BA1FC4"/>
    <w:rsid w:val="00BA2250"/>
    <w:rsid w:val="00BA3324"/>
    <w:rsid w:val="00BA43A8"/>
    <w:rsid w:val="00BA4AFA"/>
    <w:rsid w:val="00BB38E8"/>
    <w:rsid w:val="00BB684F"/>
    <w:rsid w:val="00BC0792"/>
    <w:rsid w:val="00BC2985"/>
    <w:rsid w:val="00BC40A7"/>
    <w:rsid w:val="00BC41F8"/>
    <w:rsid w:val="00BC43B2"/>
    <w:rsid w:val="00BC563A"/>
    <w:rsid w:val="00BC6AB8"/>
    <w:rsid w:val="00BC6FD0"/>
    <w:rsid w:val="00BC7954"/>
    <w:rsid w:val="00BD0E09"/>
    <w:rsid w:val="00BD176C"/>
    <w:rsid w:val="00BD1A82"/>
    <w:rsid w:val="00BD42D7"/>
    <w:rsid w:val="00BD4ACC"/>
    <w:rsid w:val="00BD6E85"/>
    <w:rsid w:val="00BE0F8B"/>
    <w:rsid w:val="00BE1204"/>
    <w:rsid w:val="00BE1344"/>
    <w:rsid w:val="00BE39EE"/>
    <w:rsid w:val="00BE3DAD"/>
    <w:rsid w:val="00BE64F6"/>
    <w:rsid w:val="00BF02CF"/>
    <w:rsid w:val="00BF2788"/>
    <w:rsid w:val="00BF2814"/>
    <w:rsid w:val="00BF2EEF"/>
    <w:rsid w:val="00BF475A"/>
    <w:rsid w:val="00BF4F84"/>
    <w:rsid w:val="00BF4FFF"/>
    <w:rsid w:val="00BF6ED8"/>
    <w:rsid w:val="00BF7349"/>
    <w:rsid w:val="00C02C3A"/>
    <w:rsid w:val="00C05C47"/>
    <w:rsid w:val="00C1174F"/>
    <w:rsid w:val="00C126D0"/>
    <w:rsid w:val="00C12E62"/>
    <w:rsid w:val="00C12FE4"/>
    <w:rsid w:val="00C137F7"/>
    <w:rsid w:val="00C20058"/>
    <w:rsid w:val="00C209A9"/>
    <w:rsid w:val="00C21166"/>
    <w:rsid w:val="00C22012"/>
    <w:rsid w:val="00C22454"/>
    <w:rsid w:val="00C2355B"/>
    <w:rsid w:val="00C2564D"/>
    <w:rsid w:val="00C26F17"/>
    <w:rsid w:val="00C3152F"/>
    <w:rsid w:val="00C3177C"/>
    <w:rsid w:val="00C31E42"/>
    <w:rsid w:val="00C33CE3"/>
    <w:rsid w:val="00C35D74"/>
    <w:rsid w:val="00C36843"/>
    <w:rsid w:val="00C36B82"/>
    <w:rsid w:val="00C36C11"/>
    <w:rsid w:val="00C373AD"/>
    <w:rsid w:val="00C40D32"/>
    <w:rsid w:val="00C41402"/>
    <w:rsid w:val="00C42F03"/>
    <w:rsid w:val="00C512C6"/>
    <w:rsid w:val="00C51A53"/>
    <w:rsid w:val="00C51FF5"/>
    <w:rsid w:val="00C538F7"/>
    <w:rsid w:val="00C542D8"/>
    <w:rsid w:val="00C54FE3"/>
    <w:rsid w:val="00C5554A"/>
    <w:rsid w:val="00C555EE"/>
    <w:rsid w:val="00C55CB6"/>
    <w:rsid w:val="00C55D9F"/>
    <w:rsid w:val="00C603CF"/>
    <w:rsid w:val="00C60E97"/>
    <w:rsid w:val="00C61C86"/>
    <w:rsid w:val="00C62B31"/>
    <w:rsid w:val="00C63D37"/>
    <w:rsid w:val="00C649B0"/>
    <w:rsid w:val="00C65E95"/>
    <w:rsid w:val="00C6665C"/>
    <w:rsid w:val="00C66D08"/>
    <w:rsid w:val="00C674B1"/>
    <w:rsid w:val="00C72ED5"/>
    <w:rsid w:val="00C7697B"/>
    <w:rsid w:val="00C76AB7"/>
    <w:rsid w:val="00C773FD"/>
    <w:rsid w:val="00C77CBE"/>
    <w:rsid w:val="00C80093"/>
    <w:rsid w:val="00C80B87"/>
    <w:rsid w:val="00C8361E"/>
    <w:rsid w:val="00C83B14"/>
    <w:rsid w:val="00C849F9"/>
    <w:rsid w:val="00C852BF"/>
    <w:rsid w:val="00C85879"/>
    <w:rsid w:val="00C85E92"/>
    <w:rsid w:val="00C864C6"/>
    <w:rsid w:val="00C86610"/>
    <w:rsid w:val="00C86772"/>
    <w:rsid w:val="00C87B84"/>
    <w:rsid w:val="00C9054D"/>
    <w:rsid w:val="00C930F2"/>
    <w:rsid w:val="00C9469B"/>
    <w:rsid w:val="00C95ABE"/>
    <w:rsid w:val="00C96C0B"/>
    <w:rsid w:val="00CA0869"/>
    <w:rsid w:val="00CA0E4A"/>
    <w:rsid w:val="00CA0FF9"/>
    <w:rsid w:val="00CA1840"/>
    <w:rsid w:val="00CA1DFA"/>
    <w:rsid w:val="00CA5B54"/>
    <w:rsid w:val="00CA5FC5"/>
    <w:rsid w:val="00CA65E4"/>
    <w:rsid w:val="00CA7DF2"/>
    <w:rsid w:val="00CB0CC8"/>
    <w:rsid w:val="00CB0F40"/>
    <w:rsid w:val="00CB1AC6"/>
    <w:rsid w:val="00CB1FCD"/>
    <w:rsid w:val="00CB4C47"/>
    <w:rsid w:val="00CB6BB2"/>
    <w:rsid w:val="00CB7B86"/>
    <w:rsid w:val="00CB7FC4"/>
    <w:rsid w:val="00CC1807"/>
    <w:rsid w:val="00CC187C"/>
    <w:rsid w:val="00CC292C"/>
    <w:rsid w:val="00CC3738"/>
    <w:rsid w:val="00CC4901"/>
    <w:rsid w:val="00CC7213"/>
    <w:rsid w:val="00CC7319"/>
    <w:rsid w:val="00CD0911"/>
    <w:rsid w:val="00CD13C0"/>
    <w:rsid w:val="00CD2AE3"/>
    <w:rsid w:val="00CD2E56"/>
    <w:rsid w:val="00CD44F3"/>
    <w:rsid w:val="00CD4DFD"/>
    <w:rsid w:val="00CD51A5"/>
    <w:rsid w:val="00CD68C2"/>
    <w:rsid w:val="00CD7A9F"/>
    <w:rsid w:val="00CE3E13"/>
    <w:rsid w:val="00CE487F"/>
    <w:rsid w:val="00CE4B6F"/>
    <w:rsid w:val="00CE4BCD"/>
    <w:rsid w:val="00CF19DD"/>
    <w:rsid w:val="00CF23E7"/>
    <w:rsid w:val="00CF2F99"/>
    <w:rsid w:val="00CF3C55"/>
    <w:rsid w:val="00CF3D0C"/>
    <w:rsid w:val="00CF608C"/>
    <w:rsid w:val="00CF63DB"/>
    <w:rsid w:val="00CF6889"/>
    <w:rsid w:val="00CF6CA4"/>
    <w:rsid w:val="00D003AA"/>
    <w:rsid w:val="00D00609"/>
    <w:rsid w:val="00D02924"/>
    <w:rsid w:val="00D0456F"/>
    <w:rsid w:val="00D0496E"/>
    <w:rsid w:val="00D100B2"/>
    <w:rsid w:val="00D10BF2"/>
    <w:rsid w:val="00D10C49"/>
    <w:rsid w:val="00D111C6"/>
    <w:rsid w:val="00D1122A"/>
    <w:rsid w:val="00D1193E"/>
    <w:rsid w:val="00D134E2"/>
    <w:rsid w:val="00D13804"/>
    <w:rsid w:val="00D13AAD"/>
    <w:rsid w:val="00D1546A"/>
    <w:rsid w:val="00D16128"/>
    <w:rsid w:val="00D16978"/>
    <w:rsid w:val="00D17988"/>
    <w:rsid w:val="00D207B3"/>
    <w:rsid w:val="00D21536"/>
    <w:rsid w:val="00D2182E"/>
    <w:rsid w:val="00D22889"/>
    <w:rsid w:val="00D236DB"/>
    <w:rsid w:val="00D2400C"/>
    <w:rsid w:val="00D25B0F"/>
    <w:rsid w:val="00D25EE8"/>
    <w:rsid w:val="00D2695E"/>
    <w:rsid w:val="00D26F09"/>
    <w:rsid w:val="00D26F6D"/>
    <w:rsid w:val="00D27489"/>
    <w:rsid w:val="00D329B5"/>
    <w:rsid w:val="00D34078"/>
    <w:rsid w:val="00D34771"/>
    <w:rsid w:val="00D34D5C"/>
    <w:rsid w:val="00D35714"/>
    <w:rsid w:val="00D369C9"/>
    <w:rsid w:val="00D424DA"/>
    <w:rsid w:val="00D42558"/>
    <w:rsid w:val="00D431F9"/>
    <w:rsid w:val="00D444B4"/>
    <w:rsid w:val="00D4543F"/>
    <w:rsid w:val="00D467DC"/>
    <w:rsid w:val="00D47C6E"/>
    <w:rsid w:val="00D507AC"/>
    <w:rsid w:val="00D50A82"/>
    <w:rsid w:val="00D51D92"/>
    <w:rsid w:val="00D53B80"/>
    <w:rsid w:val="00D56B2A"/>
    <w:rsid w:val="00D56C69"/>
    <w:rsid w:val="00D56F6B"/>
    <w:rsid w:val="00D57BFC"/>
    <w:rsid w:val="00D57E84"/>
    <w:rsid w:val="00D60990"/>
    <w:rsid w:val="00D614CC"/>
    <w:rsid w:val="00D61C4D"/>
    <w:rsid w:val="00D62119"/>
    <w:rsid w:val="00D63834"/>
    <w:rsid w:val="00D63C16"/>
    <w:rsid w:val="00D6531A"/>
    <w:rsid w:val="00D6553E"/>
    <w:rsid w:val="00D65DE1"/>
    <w:rsid w:val="00D715C9"/>
    <w:rsid w:val="00D75281"/>
    <w:rsid w:val="00D80978"/>
    <w:rsid w:val="00D811FD"/>
    <w:rsid w:val="00D82112"/>
    <w:rsid w:val="00D82B17"/>
    <w:rsid w:val="00D82D14"/>
    <w:rsid w:val="00D83005"/>
    <w:rsid w:val="00D84D97"/>
    <w:rsid w:val="00D8578C"/>
    <w:rsid w:val="00D86310"/>
    <w:rsid w:val="00D87754"/>
    <w:rsid w:val="00D9024A"/>
    <w:rsid w:val="00D90B45"/>
    <w:rsid w:val="00D9171B"/>
    <w:rsid w:val="00D93385"/>
    <w:rsid w:val="00D93E16"/>
    <w:rsid w:val="00D94747"/>
    <w:rsid w:val="00D95438"/>
    <w:rsid w:val="00D967DF"/>
    <w:rsid w:val="00D97A85"/>
    <w:rsid w:val="00DA32A8"/>
    <w:rsid w:val="00DA42FA"/>
    <w:rsid w:val="00DA4495"/>
    <w:rsid w:val="00DA47A2"/>
    <w:rsid w:val="00DA5431"/>
    <w:rsid w:val="00DA602E"/>
    <w:rsid w:val="00DA625B"/>
    <w:rsid w:val="00DA7565"/>
    <w:rsid w:val="00DB0394"/>
    <w:rsid w:val="00DB0AE6"/>
    <w:rsid w:val="00DB169D"/>
    <w:rsid w:val="00DB36C1"/>
    <w:rsid w:val="00DB52E5"/>
    <w:rsid w:val="00DB5927"/>
    <w:rsid w:val="00DB5B7E"/>
    <w:rsid w:val="00DB5F3E"/>
    <w:rsid w:val="00DB61C4"/>
    <w:rsid w:val="00DB6309"/>
    <w:rsid w:val="00DB6917"/>
    <w:rsid w:val="00DB73EE"/>
    <w:rsid w:val="00DB75AC"/>
    <w:rsid w:val="00DB7A9B"/>
    <w:rsid w:val="00DC0250"/>
    <w:rsid w:val="00DC0FE4"/>
    <w:rsid w:val="00DC1308"/>
    <w:rsid w:val="00DC1461"/>
    <w:rsid w:val="00DC184A"/>
    <w:rsid w:val="00DC188A"/>
    <w:rsid w:val="00DC1C7E"/>
    <w:rsid w:val="00DC1FB8"/>
    <w:rsid w:val="00DC3988"/>
    <w:rsid w:val="00DC3B58"/>
    <w:rsid w:val="00DC44FA"/>
    <w:rsid w:val="00DC5098"/>
    <w:rsid w:val="00DC5503"/>
    <w:rsid w:val="00DC7AE4"/>
    <w:rsid w:val="00DD099F"/>
    <w:rsid w:val="00DD16D4"/>
    <w:rsid w:val="00DD2143"/>
    <w:rsid w:val="00DD4443"/>
    <w:rsid w:val="00DD4F0E"/>
    <w:rsid w:val="00DD5271"/>
    <w:rsid w:val="00DD57A7"/>
    <w:rsid w:val="00DD5A79"/>
    <w:rsid w:val="00DD607B"/>
    <w:rsid w:val="00DE1F6B"/>
    <w:rsid w:val="00DE322D"/>
    <w:rsid w:val="00DE3DA9"/>
    <w:rsid w:val="00DE3EE0"/>
    <w:rsid w:val="00DE48C4"/>
    <w:rsid w:val="00DE530C"/>
    <w:rsid w:val="00DE63CE"/>
    <w:rsid w:val="00DE7ACA"/>
    <w:rsid w:val="00DF149B"/>
    <w:rsid w:val="00DF16DC"/>
    <w:rsid w:val="00DF5A84"/>
    <w:rsid w:val="00DF5F3F"/>
    <w:rsid w:val="00DF6493"/>
    <w:rsid w:val="00DF6566"/>
    <w:rsid w:val="00DF6C48"/>
    <w:rsid w:val="00DF7DF7"/>
    <w:rsid w:val="00E02933"/>
    <w:rsid w:val="00E0318B"/>
    <w:rsid w:val="00E03748"/>
    <w:rsid w:val="00E03C6A"/>
    <w:rsid w:val="00E05B91"/>
    <w:rsid w:val="00E07801"/>
    <w:rsid w:val="00E07BC6"/>
    <w:rsid w:val="00E13448"/>
    <w:rsid w:val="00E13660"/>
    <w:rsid w:val="00E14647"/>
    <w:rsid w:val="00E16D49"/>
    <w:rsid w:val="00E17133"/>
    <w:rsid w:val="00E17A6A"/>
    <w:rsid w:val="00E20466"/>
    <w:rsid w:val="00E20694"/>
    <w:rsid w:val="00E2116F"/>
    <w:rsid w:val="00E21528"/>
    <w:rsid w:val="00E21C8A"/>
    <w:rsid w:val="00E221C6"/>
    <w:rsid w:val="00E23931"/>
    <w:rsid w:val="00E244A0"/>
    <w:rsid w:val="00E248D7"/>
    <w:rsid w:val="00E24A96"/>
    <w:rsid w:val="00E25636"/>
    <w:rsid w:val="00E25871"/>
    <w:rsid w:val="00E258A6"/>
    <w:rsid w:val="00E27225"/>
    <w:rsid w:val="00E304DE"/>
    <w:rsid w:val="00E30F5C"/>
    <w:rsid w:val="00E31D2D"/>
    <w:rsid w:val="00E33E52"/>
    <w:rsid w:val="00E366BF"/>
    <w:rsid w:val="00E36A7E"/>
    <w:rsid w:val="00E37EDA"/>
    <w:rsid w:val="00E40BFE"/>
    <w:rsid w:val="00E41868"/>
    <w:rsid w:val="00E4273C"/>
    <w:rsid w:val="00E45697"/>
    <w:rsid w:val="00E46146"/>
    <w:rsid w:val="00E46488"/>
    <w:rsid w:val="00E47907"/>
    <w:rsid w:val="00E47DA3"/>
    <w:rsid w:val="00E50555"/>
    <w:rsid w:val="00E536C6"/>
    <w:rsid w:val="00E54928"/>
    <w:rsid w:val="00E54E8D"/>
    <w:rsid w:val="00E54FF5"/>
    <w:rsid w:val="00E5511F"/>
    <w:rsid w:val="00E55346"/>
    <w:rsid w:val="00E570FE"/>
    <w:rsid w:val="00E6041F"/>
    <w:rsid w:val="00E66902"/>
    <w:rsid w:val="00E67F3B"/>
    <w:rsid w:val="00E7092B"/>
    <w:rsid w:val="00E71706"/>
    <w:rsid w:val="00E737EA"/>
    <w:rsid w:val="00E73F80"/>
    <w:rsid w:val="00E75185"/>
    <w:rsid w:val="00E763A2"/>
    <w:rsid w:val="00E77441"/>
    <w:rsid w:val="00E8426F"/>
    <w:rsid w:val="00E849B4"/>
    <w:rsid w:val="00E853F8"/>
    <w:rsid w:val="00E85857"/>
    <w:rsid w:val="00E86D4A"/>
    <w:rsid w:val="00E87238"/>
    <w:rsid w:val="00E87730"/>
    <w:rsid w:val="00E90315"/>
    <w:rsid w:val="00E905B4"/>
    <w:rsid w:val="00E9133E"/>
    <w:rsid w:val="00E93569"/>
    <w:rsid w:val="00E94605"/>
    <w:rsid w:val="00E962F0"/>
    <w:rsid w:val="00E97111"/>
    <w:rsid w:val="00E978BA"/>
    <w:rsid w:val="00EA10A6"/>
    <w:rsid w:val="00EA2070"/>
    <w:rsid w:val="00EA2945"/>
    <w:rsid w:val="00EA2AED"/>
    <w:rsid w:val="00EA44D2"/>
    <w:rsid w:val="00EA44F9"/>
    <w:rsid w:val="00EA4D01"/>
    <w:rsid w:val="00EA506E"/>
    <w:rsid w:val="00EA7205"/>
    <w:rsid w:val="00EB0451"/>
    <w:rsid w:val="00EB0FCD"/>
    <w:rsid w:val="00EB224F"/>
    <w:rsid w:val="00EB271D"/>
    <w:rsid w:val="00EB389C"/>
    <w:rsid w:val="00EB4555"/>
    <w:rsid w:val="00EB6D31"/>
    <w:rsid w:val="00EB7BF4"/>
    <w:rsid w:val="00EC108C"/>
    <w:rsid w:val="00EC1868"/>
    <w:rsid w:val="00EC1FC3"/>
    <w:rsid w:val="00EC3E27"/>
    <w:rsid w:val="00EC51A4"/>
    <w:rsid w:val="00EC7656"/>
    <w:rsid w:val="00EC7A74"/>
    <w:rsid w:val="00ED0126"/>
    <w:rsid w:val="00ED07F1"/>
    <w:rsid w:val="00ED39B8"/>
    <w:rsid w:val="00ED3C54"/>
    <w:rsid w:val="00ED5BD0"/>
    <w:rsid w:val="00ED6602"/>
    <w:rsid w:val="00ED7BF6"/>
    <w:rsid w:val="00EE0CDE"/>
    <w:rsid w:val="00EE1211"/>
    <w:rsid w:val="00EE1C42"/>
    <w:rsid w:val="00EE2782"/>
    <w:rsid w:val="00EE31B6"/>
    <w:rsid w:val="00EE3472"/>
    <w:rsid w:val="00EE36C7"/>
    <w:rsid w:val="00EE3F7E"/>
    <w:rsid w:val="00EE45A6"/>
    <w:rsid w:val="00EE5214"/>
    <w:rsid w:val="00EE52CF"/>
    <w:rsid w:val="00EE601E"/>
    <w:rsid w:val="00EF27C7"/>
    <w:rsid w:val="00EF4166"/>
    <w:rsid w:val="00EF418F"/>
    <w:rsid w:val="00EF47E7"/>
    <w:rsid w:val="00EF5386"/>
    <w:rsid w:val="00EF56BF"/>
    <w:rsid w:val="00EF60AE"/>
    <w:rsid w:val="00EF6DB2"/>
    <w:rsid w:val="00F0005F"/>
    <w:rsid w:val="00F005A0"/>
    <w:rsid w:val="00F006F7"/>
    <w:rsid w:val="00F00933"/>
    <w:rsid w:val="00F03204"/>
    <w:rsid w:val="00F039BF"/>
    <w:rsid w:val="00F03C1D"/>
    <w:rsid w:val="00F040A8"/>
    <w:rsid w:val="00F040DB"/>
    <w:rsid w:val="00F06CD6"/>
    <w:rsid w:val="00F07D90"/>
    <w:rsid w:val="00F10715"/>
    <w:rsid w:val="00F10CCA"/>
    <w:rsid w:val="00F13F05"/>
    <w:rsid w:val="00F14030"/>
    <w:rsid w:val="00F14893"/>
    <w:rsid w:val="00F159E8"/>
    <w:rsid w:val="00F16C7B"/>
    <w:rsid w:val="00F23ECE"/>
    <w:rsid w:val="00F25984"/>
    <w:rsid w:val="00F26636"/>
    <w:rsid w:val="00F26720"/>
    <w:rsid w:val="00F26EDB"/>
    <w:rsid w:val="00F30C04"/>
    <w:rsid w:val="00F30F22"/>
    <w:rsid w:val="00F31150"/>
    <w:rsid w:val="00F32EEC"/>
    <w:rsid w:val="00F3366B"/>
    <w:rsid w:val="00F36BF5"/>
    <w:rsid w:val="00F36CB8"/>
    <w:rsid w:val="00F36EA8"/>
    <w:rsid w:val="00F403DA"/>
    <w:rsid w:val="00F40E4F"/>
    <w:rsid w:val="00F40FFE"/>
    <w:rsid w:val="00F411CE"/>
    <w:rsid w:val="00F4227E"/>
    <w:rsid w:val="00F43D2C"/>
    <w:rsid w:val="00F47A6B"/>
    <w:rsid w:val="00F51BE0"/>
    <w:rsid w:val="00F52023"/>
    <w:rsid w:val="00F53502"/>
    <w:rsid w:val="00F53684"/>
    <w:rsid w:val="00F53AC8"/>
    <w:rsid w:val="00F54420"/>
    <w:rsid w:val="00F5495B"/>
    <w:rsid w:val="00F57418"/>
    <w:rsid w:val="00F6191D"/>
    <w:rsid w:val="00F6328C"/>
    <w:rsid w:val="00F651BF"/>
    <w:rsid w:val="00F66536"/>
    <w:rsid w:val="00F67916"/>
    <w:rsid w:val="00F71044"/>
    <w:rsid w:val="00F73E00"/>
    <w:rsid w:val="00F74282"/>
    <w:rsid w:val="00F7570C"/>
    <w:rsid w:val="00F77E22"/>
    <w:rsid w:val="00F816F4"/>
    <w:rsid w:val="00F841FF"/>
    <w:rsid w:val="00F851A7"/>
    <w:rsid w:val="00F868A1"/>
    <w:rsid w:val="00F86DD9"/>
    <w:rsid w:val="00F86F8B"/>
    <w:rsid w:val="00F87275"/>
    <w:rsid w:val="00F93225"/>
    <w:rsid w:val="00F9385A"/>
    <w:rsid w:val="00F93883"/>
    <w:rsid w:val="00F9664F"/>
    <w:rsid w:val="00F976AC"/>
    <w:rsid w:val="00F97D5C"/>
    <w:rsid w:val="00F97D8C"/>
    <w:rsid w:val="00FA1ACA"/>
    <w:rsid w:val="00FA4688"/>
    <w:rsid w:val="00FA4B9F"/>
    <w:rsid w:val="00FA58CD"/>
    <w:rsid w:val="00FA6364"/>
    <w:rsid w:val="00FA65AC"/>
    <w:rsid w:val="00FA798E"/>
    <w:rsid w:val="00FB28F8"/>
    <w:rsid w:val="00FB5A58"/>
    <w:rsid w:val="00FB6DC4"/>
    <w:rsid w:val="00FB713A"/>
    <w:rsid w:val="00FB7396"/>
    <w:rsid w:val="00FB79A4"/>
    <w:rsid w:val="00FC0C72"/>
    <w:rsid w:val="00FC1451"/>
    <w:rsid w:val="00FC2618"/>
    <w:rsid w:val="00FC410E"/>
    <w:rsid w:val="00FC43DA"/>
    <w:rsid w:val="00FC517B"/>
    <w:rsid w:val="00FC61F7"/>
    <w:rsid w:val="00FC7699"/>
    <w:rsid w:val="00FC7D99"/>
    <w:rsid w:val="00FD167F"/>
    <w:rsid w:val="00FD6E15"/>
    <w:rsid w:val="00FD71C9"/>
    <w:rsid w:val="00FD7327"/>
    <w:rsid w:val="00FE0D92"/>
    <w:rsid w:val="00FE2BE5"/>
    <w:rsid w:val="00FE3D3C"/>
    <w:rsid w:val="00FE3E0C"/>
    <w:rsid w:val="00FE45AD"/>
    <w:rsid w:val="00FE4F80"/>
    <w:rsid w:val="00FE613B"/>
    <w:rsid w:val="00FE75D3"/>
    <w:rsid w:val="00FF1C7D"/>
    <w:rsid w:val="00FF1F72"/>
    <w:rsid w:val="00FF246D"/>
    <w:rsid w:val="00FF27E8"/>
    <w:rsid w:val="00FF33FE"/>
    <w:rsid w:val="00FF3B9D"/>
    <w:rsid w:val="00FF5408"/>
    <w:rsid w:val="00FF57A6"/>
    <w:rsid w:val="00FF6C99"/>
    <w:rsid w:val="00FF6DFE"/>
    <w:rsid w:val="00FF77A1"/>
    <w:rsid w:val="00FF79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C6D8F"/>
  <w15:chartTrackingRefBased/>
  <w15:docId w15:val="{C98A05BF-8A66-4DC3-B62E-3D939E5F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50DF"/>
    <w:rPr>
      <w:lang w:eastAsia="ru-RU"/>
    </w:rPr>
  </w:style>
  <w:style w:type="paragraph" w:styleId="2">
    <w:name w:val="heading 2"/>
    <w:basedOn w:val="a"/>
    <w:next w:val="a"/>
    <w:qFormat/>
    <w:rsid w:val="00792BD9"/>
    <w:pPr>
      <w:keepNext/>
      <w:spacing w:before="240" w:after="60"/>
      <w:outlineLvl w:val="1"/>
    </w:pPr>
    <w:rPr>
      <w:rFonts w:ascii="Arial" w:hAnsi="Arial" w:cs="Arial"/>
      <w:b/>
      <w:bCs/>
      <w:i/>
      <w:iCs/>
      <w:sz w:val="28"/>
      <w:szCs w:val="28"/>
      <w:lang w:val="ru-RU"/>
    </w:rPr>
  </w:style>
  <w:style w:type="paragraph" w:styleId="3">
    <w:name w:val="heading 3"/>
    <w:basedOn w:val="a"/>
    <w:next w:val="a"/>
    <w:link w:val="30"/>
    <w:semiHidden/>
    <w:unhideWhenUsed/>
    <w:qFormat/>
    <w:rsid w:val="004873CB"/>
    <w:pPr>
      <w:keepNext/>
      <w:spacing w:before="240" w:after="60"/>
      <w:outlineLvl w:val="2"/>
    </w:pPr>
    <w:rPr>
      <w:rFonts w:ascii="Calibri Light" w:hAnsi="Calibri Light"/>
      <w:b/>
      <w:bCs/>
      <w:sz w:val="26"/>
      <w:szCs w:val="26"/>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pPr>
      <w:tabs>
        <w:tab w:val="center" w:pos="4536"/>
        <w:tab w:val="right" w:pos="9072"/>
      </w:tabs>
    </w:pPr>
  </w:style>
  <w:style w:type="table" w:styleId="a5">
    <w:name w:val="Table Grid"/>
    <w:basedOn w:val="a1"/>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C2EBD"/>
  </w:style>
  <w:style w:type="paragraph" w:styleId="a7">
    <w:name w:val="Balloon Text"/>
    <w:basedOn w:val="a"/>
    <w:semiHidden/>
    <w:rsid w:val="00D369C9"/>
    <w:rPr>
      <w:rFonts w:ascii="Tahoma" w:hAnsi="Tahoma" w:cs="Tahoma"/>
      <w:sz w:val="16"/>
      <w:szCs w:val="16"/>
    </w:rPr>
  </w:style>
  <w:style w:type="paragraph" w:styleId="20">
    <w:name w:val="Body Text 2"/>
    <w:basedOn w:val="a"/>
    <w:rsid w:val="008A13C4"/>
    <w:pPr>
      <w:jc w:val="both"/>
    </w:pPr>
    <w:rPr>
      <w:sz w:val="28"/>
    </w:rPr>
  </w:style>
  <w:style w:type="paragraph" w:customStyle="1" w:styleId="a8">
    <w:name w:val="Знак Знак Знак Знак"/>
    <w:basedOn w:val="a"/>
    <w:rsid w:val="00735DCE"/>
    <w:rPr>
      <w:rFonts w:ascii="Verdana" w:hAnsi="Verdana" w:cs="Verdana"/>
      <w:lang w:val="en-US" w:eastAsia="en-US"/>
    </w:rPr>
  </w:style>
  <w:style w:type="character" w:styleId="a9">
    <w:name w:val="Hyperlink"/>
    <w:rsid w:val="008C4BDD"/>
    <w:rPr>
      <w:color w:val="0000FF"/>
      <w:u w:val="single"/>
    </w:rPr>
  </w:style>
  <w:style w:type="paragraph" w:styleId="aa">
    <w:name w:val="Normal (Web)"/>
    <w:basedOn w:val="a"/>
    <w:rsid w:val="007D6613"/>
    <w:pPr>
      <w:spacing w:before="100" w:beforeAutospacing="1" w:after="100" w:afterAutospacing="1"/>
    </w:pPr>
    <w:rPr>
      <w:sz w:val="24"/>
      <w:szCs w:val="24"/>
      <w:lang w:eastAsia="uk-UA"/>
    </w:rPr>
  </w:style>
  <w:style w:type="character" w:customStyle="1" w:styleId="rvts0">
    <w:name w:val="rvts0"/>
    <w:basedOn w:val="a0"/>
    <w:rsid w:val="007D6613"/>
  </w:style>
  <w:style w:type="character" w:customStyle="1" w:styleId="30">
    <w:name w:val="Заголовок 3 Знак"/>
    <w:link w:val="3"/>
    <w:semiHidden/>
    <w:rsid w:val="004873CB"/>
    <w:rPr>
      <w:rFonts w:ascii="Calibri Light" w:eastAsia="Times New Roman" w:hAnsi="Calibri Light" w:cs="Times New Roman"/>
      <w:b/>
      <w:bCs/>
      <w:sz w:val="26"/>
      <w:szCs w:val="26"/>
      <w:lang w:val="uk-UA" w:eastAsia="ru-RU"/>
    </w:rPr>
  </w:style>
  <w:style w:type="paragraph" w:styleId="ab">
    <w:name w:val="List Paragraph"/>
    <w:basedOn w:val="a"/>
    <w:uiPriority w:val="34"/>
    <w:qFormat/>
    <w:rsid w:val="001F2FD6"/>
    <w:pPr>
      <w:spacing w:after="160" w:line="256" w:lineRule="auto"/>
      <w:ind w:left="720"/>
      <w:contextualSpacing/>
    </w:pPr>
    <w:rPr>
      <w:rFonts w:ascii="Calibri" w:eastAsia="Calibri" w:hAnsi="Calibri"/>
      <w:sz w:val="22"/>
      <w:szCs w:val="22"/>
      <w:lang w:eastAsia="en-US"/>
    </w:rPr>
  </w:style>
  <w:style w:type="paragraph" w:customStyle="1" w:styleId="rvps12">
    <w:name w:val="rvps12"/>
    <w:basedOn w:val="a"/>
    <w:rsid w:val="0044167C"/>
    <w:pPr>
      <w:spacing w:before="100" w:beforeAutospacing="1" w:after="100" w:afterAutospacing="1"/>
    </w:pPr>
    <w:rPr>
      <w:sz w:val="24"/>
      <w:szCs w:val="24"/>
      <w:lang w:eastAsia="uk-UA"/>
    </w:rPr>
  </w:style>
  <w:style w:type="paragraph" w:customStyle="1" w:styleId="rvps14">
    <w:name w:val="rvps14"/>
    <w:basedOn w:val="a"/>
    <w:rsid w:val="0044167C"/>
    <w:pPr>
      <w:spacing w:before="100" w:beforeAutospacing="1" w:after="100" w:afterAutospacing="1"/>
    </w:pPr>
    <w:rPr>
      <w:sz w:val="24"/>
      <w:szCs w:val="24"/>
      <w:lang w:eastAsia="uk-UA"/>
    </w:rPr>
  </w:style>
  <w:style w:type="paragraph" w:customStyle="1" w:styleId="rvps2">
    <w:name w:val="rvps2"/>
    <w:basedOn w:val="a"/>
    <w:rsid w:val="0037541C"/>
    <w:pPr>
      <w:spacing w:before="100" w:beforeAutospacing="1" w:after="100" w:afterAutospacing="1"/>
    </w:pPr>
    <w:rPr>
      <w:sz w:val="24"/>
      <w:szCs w:val="24"/>
      <w:lang w:val="ru-RU"/>
    </w:rPr>
  </w:style>
  <w:style w:type="character" w:styleId="ac">
    <w:name w:val="Unresolved Mention"/>
    <w:basedOn w:val="a0"/>
    <w:uiPriority w:val="99"/>
    <w:semiHidden/>
    <w:unhideWhenUsed/>
    <w:rsid w:val="00410E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8477">
      <w:bodyDiv w:val="1"/>
      <w:marLeft w:val="0"/>
      <w:marRight w:val="0"/>
      <w:marTop w:val="0"/>
      <w:marBottom w:val="0"/>
      <w:divBdr>
        <w:top w:val="none" w:sz="0" w:space="0" w:color="auto"/>
        <w:left w:val="none" w:sz="0" w:space="0" w:color="auto"/>
        <w:bottom w:val="none" w:sz="0" w:space="0" w:color="auto"/>
        <w:right w:val="none" w:sz="0" w:space="0" w:color="auto"/>
      </w:divBdr>
    </w:div>
    <w:div w:id="100875884">
      <w:bodyDiv w:val="1"/>
      <w:marLeft w:val="0"/>
      <w:marRight w:val="0"/>
      <w:marTop w:val="0"/>
      <w:marBottom w:val="0"/>
      <w:divBdr>
        <w:top w:val="none" w:sz="0" w:space="0" w:color="auto"/>
        <w:left w:val="none" w:sz="0" w:space="0" w:color="auto"/>
        <w:bottom w:val="none" w:sz="0" w:space="0" w:color="auto"/>
        <w:right w:val="none" w:sz="0" w:space="0" w:color="auto"/>
      </w:divBdr>
    </w:div>
    <w:div w:id="123813214">
      <w:bodyDiv w:val="1"/>
      <w:marLeft w:val="0"/>
      <w:marRight w:val="0"/>
      <w:marTop w:val="0"/>
      <w:marBottom w:val="0"/>
      <w:divBdr>
        <w:top w:val="none" w:sz="0" w:space="0" w:color="auto"/>
        <w:left w:val="none" w:sz="0" w:space="0" w:color="auto"/>
        <w:bottom w:val="none" w:sz="0" w:space="0" w:color="auto"/>
        <w:right w:val="none" w:sz="0" w:space="0" w:color="auto"/>
      </w:divBdr>
    </w:div>
    <w:div w:id="124783420">
      <w:bodyDiv w:val="1"/>
      <w:marLeft w:val="0"/>
      <w:marRight w:val="0"/>
      <w:marTop w:val="0"/>
      <w:marBottom w:val="0"/>
      <w:divBdr>
        <w:top w:val="none" w:sz="0" w:space="0" w:color="auto"/>
        <w:left w:val="none" w:sz="0" w:space="0" w:color="auto"/>
        <w:bottom w:val="none" w:sz="0" w:space="0" w:color="auto"/>
        <w:right w:val="none" w:sz="0" w:space="0" w:color="auto"/>
      </w:divBdr>
    </w:div>
    <w:div w:id="208340211">
      <w:bodyDiv w:val="1"/>
      <w:marLeft w:val="0"/>
      <w:marRight w:val="0"/>
      <w:marTop w:val="0"/>
      <w:marBottom w:val="0"/>
      <w:divBdr>
        <w:top w:val="none" w:sz="0" w:space="0" w:color="auto"/>
        <w:left w:val="none" w:sz="0" w:space="0" w:color="auto"/>
        <w:bottom w:val="none" w:sz="0" w:space="0" w:color="auto"/>
        <w:right w:val="none" w:sz="0" w:space="0" w:color="auto"/>
      </w:divBdr>
      <w:divsChild>
        <w:div w:id="299531438">
          <w:marLeft w:val="0"/>
          <w:marRight w:val="0"/>
          <w:marTop w:val="0"/>
          <w:marBottom w:val="150"/>
          <w:divBdr>
            <w:top w:val="none" w:sz="0" w:space="0" w:color="auto"/>
            <w:left w:val="none" w:sz="0" w:space="0" w:color="auto"/>
            <w:bottom w:val="none" w:sz="0" w:space="0" w:color="auto"/>
            <w:right w:val="none" w:sz="0" w:space="0" w:color="auto"/>
          </w:divBdr>
        </w:div>
        <w:div w:id="450319822">
          <w:marLeft w:val="0"/>
          <w:marRight w:val="0"/>
          <w:marTop w:val="0"/>
          <w:marBottom w:val="150"/>
          <w:divBdr>
            <w:top w:val="none" w:sz="0" w:space="0" w:color="auto"/>
            <w:left w:val="none" w:sz="0" w:space="0" w:color="auto"/>
            <w:bottom w:val="none" w:sz="0" w:space="0" w:color="auto"/>
            <w:right w:val="none" w:sz="0" w:space="0" w:color="auto"/>
          </w:divBdr>
        </w:div>
        <w:div w:id="541988035">
          <w:marLeft w:val="0"/>
          <w:marRight w:val="0"/>
          <w:marTop w:val="0"/>
          <w:marBottom w:val="150"/>
          <w:divBdr>
            <w:top w:val="none" w:sz="0" w:space="0" w:color="auto"/>
            <w:left w:val="none" w:sz="0" w:space="0" w:color="auto"/>
            <w:bottom w:val="none" w:sz="0" w:space="0" w:color="auto"/>
            <w:right w:val="none" w:sz="0" w:space="0" w:color="auto"/>
          </w:divBdr>
        </w:div>
        <w:div w:id="572083494">
          <w:marLeft w:val="0"/>
          <w:marRight w:val="0"/>
          <w:marTop w:val="0"/>
          <w:marBottom w:val="150"/>
          <w:divBdr>
            <w:top w:val="none" w:sz="0" w:space="0" w:color="auto"/>
            <w:left w:val="none" w:sz="0" w:space="0" w:color="auto"/>
            <w:bottom w:val="none" w:sz="0" w:space="0" w:color="auto"/>
            <w:right w:val="none" w:sz="0" w:space="0" w:color="auto"/>
          </w:divBdr>
        </w:div>
        <w:div w:id="744498287">
          <w:marLeft w:val="0"/>
          <w:marRight w:val="0"/>
          <w:marTop w:val="0"/>
          <w:marBottom w:val="150"/>
          <w:divBdr>
            <w:top w:val="none" w:sz="0" w:space="0" w:color="auto"/>
            <w:left w:val="none" w:sz="0" w:space="0" w:color="auto"/>
            <w:bottom w:val="none" w:sz="0" w:space="0" w:color="auto"/>
            <w:right w:val="none" w:sz="0" w:space="0" w:color="auto"/>
          </w:divBdr>
        </w:div>
        <w:div w:id="948587463">
          <w:marLeft w:val="0"/>
          <w:marRight w:val="0"/>
          <w:marTop w:val="0"/>
          <w:marBottom w:val="150"/>
          <w:divBdr>
            <w:top w:val="none" w:sz="0" w:space="0" w:color="auto"/>
            <w:left w:val="none" w:sz="0" w:space="0" w:color="auto"/>
            <w:bottom w:val="none" w:sz="0" w:space="0" w:color="auto"/>
            <w:right w:val="none" w:sz="0" w:space="0" w:color="auto"/>
          </w:divBdr>
        </w:div>
        <w:div w:id="1186094037">
          <w:marLeft w:val="0"/>
          <w:marRight w:val="0"/>
          <w:marTop w:val="150"/>
          <w:marBottom w:val="150"/>
          <w:divBdr>
            <w:top w:val="none" w:sz="0" w:space="0" w:color="auto"/>
            <w:left w:val="none" w:sz="0" w:space="0" w:color="auto"/>
            <w:bottom w:val="none" w:sz="0" w:space="0" w:color="auto"/>
            <w:right w:val="none" w:sz="0" w:space="0" w:color="auto"/>
          </w:divBdr>
        </w:div>
        <w:div w:id="1249651629">
          <w:marLeft w:val="0"/>
          <w:marRight w:val="0"/>
          <w:marTop w:val="0"/>
          <w:marBottom w:val="150"/>
          <w:divBdr>
            <w:top w:val="none" w:sz="0" w:space="0" w:color="auto"/>
            <w:left w:val="none" w:sz="0" w:space="0" w:color="auto"/>
            <w:bottom w:val="none" w:sz="0" w:space="0" w:color="auto"/>
            <w:right w:val="none" w:sz="0" w:space="0" w:color="auto"/>
          </w:divBdr>
        </w:div>
        <w:div w:id="1283726730">
          <w:marLeft w:val="0"/>
          <w:marRight w:val="0"/>
          <w:marTop w:val="0"/>
          <w:marBottom w:val="150"/>
          <w:divBdr>
            <w:top w:val="none" w:sz="0" w:space="0" w:color="auto"/>
            <w:left w:val="none" w:sz="0" w:space="0" w:color="auto"/>
            <w:bottom w:val="none" w:sz="0" w:space="0" w:color="auto"/>
            <w:right w:val="none" w:sz="0" w:space="0" w:color="auto"/>
          </w:divBdr>
        </w:div>
        <w:div w:id="1342702176">
          <w:marLeft w:val="0"/>
          <w:marRight w:val="0"/>
          <w:marTop w:val="0"/>
          <w:marBottom w:val="150"/>
          <w:divBdr>
            <w:top w:val="none" w:sz="0" w:space="0" w:color="auto"/>
            <w:left w:val="none" w:sz="0" w:space="0" w:color="auto"/>
            <w:bottom w:val="none" w:sz="0" w:space="0" w:color="auto"/>
            <w:right w:val="none" w:sz="0" w:space="0" w:color="auto"/>
          </w:divBdr>
        </w:div>
        <w:div w:id="1375151503">
          <w:marLeft w:val="0"/>
          <w:marRight w:val="0"/>
          <w:marTop w:val="0"/>
          <w:marBottom w:val="150"/>
          <w:divBdr>
            <w:top w:val="none" w:sz="0" w:space="0" w:color="auto"/>
            <w:left w:val="none" w:sz="0" w:space="0" w:color="auto"/>
            <w:bottom w:val="none" w:sz="0" w:space="0" w:color="auto"/>
            <w:right w:val="none" w:sz="0" w:space="0" w:color="auto"/>
          </w:divBdr>
        </w:div>
        <w:div w:id="1376465609">
          <w:marLeft w:val="0"/>
          <w:marRight w:val="0"/>
          <w:marTop w:val="150"/>
          <w:marBottom w:val="150"/>
          <w:divBdr>
            <w:top w:val="none" w:sz="0" w:space="0" w:color="auto"/>
            <w:left w:val="none" w:sz="0" w:space="0" w:color="auto"/>
            <w:bottom w:val="none" w:sz="0" w:space="0" w:color="auto"/>
            <w:right w:val="none" w:sz="0" w:space="0" w:color="auto"/>
          </w:divBdr>
        </w:div>
        <w:div w:id="1716198305">
          <w:marLeft w:val="0"/>
          <w:marRight w:val="0"/>
          <w:marTop w:val="0"/>
          <w:marBottom w:val="150"/>
          <w:divBdr>
            <w:top w:val="none" w:sz="0" w:space="0" w:color="auto"/>
            <w:left w:val="none" w:sz="0" w:space="0" w:color="auto"/>
            <w:bottom w:val="none" w:sz="0" w:space="0" w:color="auto"/>
            <w:right w:val="none" w:sz="0" w:space="0" w:color="auto"/>
          </w:divBdr>
        </w:div>
        <w:div w:id="1779446000">
          <w:marLeft w:val="0"/>
          <w:marRight w:val="0"/>
          <w:marTop w:val="0"/>
          <w:marBottom w:val="150"/>
          <w:divBdr>
            <w:top w:val="none" w:sz="0" w:space="0" w:color="auto"/>
            <w:left w:val="none" w:sz="0" w:space="0" w:color="auto"/>
            <w:bottom w:val="none" w:sz="0" w:space="0" w:color="auto"/>
            <w:right w:val="none" w:sz="0" w:space="0" w:color="auto"/>
          </w:divBdr>
        </w:div>
        <w:div w:id="1879320312">
          <w:marLeft w:val="0"/>
          <w:marRight w:val="0"/>
          <w:marTop w:val="0"/>
          <w:marBottom w:val="150"/>
          <w:divBdr>
            <w:top w:val="none" w:sz="0" w:space="0" w:color="auto"/>
            <w:left w:val="none" w:sz="0" w:space="0" w:color="auto"/>
            <w:bottom w:val="none" w:sz="0" w:space="0" w:color="auto"/>
            <w:right w:val="none" w:sz="0" w:space="0" w:color="auto"/>
          </w:divBdr>
        </w:div>
      </w:divsChild>
    </w:div>
    <w:div w:id="279653200">
      <w:bodyDiv w:val="1"/>
      <w:marLeft w:val="0"/>
      <w:marRight w:val="0"/>
      <w:marTop w:val="0"/>
      <w:marBottom w:val="0"/>
      <w:divBdr>
        <w:top w:val="none" w:sz="0" w:space="0" w:color="auto"/>
        <w:left w:val="none" w:sz="0" w:space="0" w:color="auto"/>
        <w:bottom w:val="none" w:sz="0" w:space="0" w:color="auto"/>
        <w:right w:val="none" w:sz="0" w:space="0" w:color="auto"/>
      </w:divBdr>
    </w:div>
    <w:div w:id="297733539">
      <w:bodyDiv w:val="1"/>
      <w:marLeft w:val="0"/>
      <w:marRight w:val="0"/>
      <w:marTop w:val="0"/>
      <w:marBottom w:val="0"/>
      <w:divBdr>
        <w:top w:val="none" w:sz="0" w:space="0" w:color="auto"/>
        <w:left w:val="none" w:sz="0" w:space="0" w:color="auto"/>
        <w:bottom w:val="none" w:sz="0" w:space="0" w:color="auto"/>
        <w:right w:val="none" w:sz="0" w:space="0" w:color="auto"/>
      </w:divBdr>
    </w:div>
    <w:div w:id="321203174">
      <w:bodyDiv w:val="1"/>
      <w:marLeft w:val="0"/>
      <w:marRight w:val="0"/>
      <w:marTop w:val="0"/>
      <w:marBottom w:val="0"/>
      <w:divBdr>
        <w:top w:val="none" w:sz="0" w:space="0" w:color="auto"/>
        <w:left w:val="none" w:sz="0" w:space="0" w:color="auto"/>
        <w:bottom w:val="none" w:sz="0" w:space="0" w:color="auto"/>
        <w:right w:val="none" w:sz="0" w:space="0" w:color="auto"/>
      </w:divBdr>
    </w:div>
    <w:div w:id="465587840">
      <w:bodyDiv w:val="1"/>
      <w:marLeft w:val="0"/>
      <w:marRight w:val="0"/>
      <w:marTop w:val="0"/>
      <w:marBottom w:val="0"/>
      <w:divBdr>
        <w:top w:val="none" w:sz="0" w:space="0" w:color="auto"/>
        <w:left w:val="none" w:sz="0" w:space="0" w:color="auto"/>
        <w:bottom w:val="none" w:sz="0" w:space="0" w:color="auto"/>
        <w:right w:val="none" w:sz="0" w:space="0" w:color="auto"/>
      </w:divBdr>
    </w:div>
    <w:div w:id="533812834">
      <w:bodyDiv w:val="1"/>
      <w:marLeft w:val="0"/>
      <w:marRight w:val="0"/>
      <w:marTop w:val="0"/>
      <w:marBottom w:val="0"/>
      <w:divBdr>
        <w:top w:val="none" w:sz="0" w:space="0" w:color="auto"/>
        <w:left w:val="none" w:sz="0" w:space="0" w:color="auto"/>
        <w:bottom w:val="none" w:sz="0" w:space="0" w:color="auto"/>
        <w:right w:val="none" w:sz="0" w:space="0" w:color="auto"/>
      </w:divBdr>
    </w:div>
    <w:div w:id="539971806">
      <w:bodyDiv w:val="1"/>
      <w:marLeft w:val="0"/>
      <w:marRight w:val="0"/>
      <w:marTop w:val="0"/>
      <w:marBottom w:val="0"/>
      <w:divBdr>
        <w:top w:val="none" w:sz="0" w:space="0" w:color="auto"/>
        <w:left w:val="none" w:sz="0" w:space="0" w:color="auto"/>
        <w:bottom w:val="none" w:sz="0" w:space="0" w:color="auto"/>
        <w:right w:val="none" w:sz="0" w:space="0" w:color="auto"/>
      </w:divBdr>
    </w:div>
    <w:div w:id="724183708">
      <w:bodyDiv w:val="1"/>
      <w:marLeft w:val="0"/>
      <w:marRight w:val="0"/>
      <w:marTop w:val="0"/>
      <w:marBottom w:val="0"/>
      <w:divBdr>
        <w:top w:val="none" w:sz="0" w:space="0" w:color="auto"/>
        <w:left w:val="none" w:sz="0" w:space="0" w:color="auto"/>
        <w:bottom w:val="none" w:sz="0" w:space="0" w:color="auto"/>
        <w:right w:val="none" w:sz="0" w:space="0" w:color="auto"/>
      </w:divBdr>
    </w:div>
    <w:div w:id="765199923">
      <w:bodyDiv w:val="1"/>
      <w:marLeft w:val="0"/>
      <w:marRight w:val="0"/>
      <w:marTop w:val="0"/>
      <w:marBottom w:val="0"/>
      <w:divBdr>
        <w:top w:val="none" w:sz="0" w:space="0" w:color="auto"/>
        <w:left w:val="none" w:sz="0" w:space="0" w:color="auto"/>
        <w:bottom w:val="none" w:sz="0" w:space="0" w:color="auto"/>
        <w:right w:val="none" w:sz="0" w:space="0" w:color="auto"/>
      </w:divBdr>
    </w:div>
    <w:div w:id="767504733">
      <w:bodyDiv w:val="1"/>
      <w:marLeft w:val="0"/>
      <w:marRight w:val="0"/>
      <w:marTop w:val="0"/>
      <w:marBottom w:val="0"/>
      <w:divBdr>
        <w:top w:val="none" w:sz="0" w:space="0" w:color="auto"/>
        <w:left w:val="none" w:sz="0" w:space="0" w:color="auto"/>
        <w:bottom w:val="none" w:sz="0" w:space="0" w:color="auto"/>
        <w:right w:val="none" w:sz="0" w:space="0" w:color="auto"/>
      </w:divBdr>
    </w:div>
    <w:div w:id="803349857">
      <w:bodyDiv w:val="1"/>
      <w:marLeft w:val="0"/>
      <w:marRight w:val="0"/>
      <w:marTop w:val="0"/>
      <w:marBottom w:val="0"/>
      <w:divBdr>
        <w:top w:val="none" w:sz="0" w:space="0" w:color="auto"/>
        <w:left w:val="none" w:sz="0" w:space="0" w:color="auto"/>
        <w:bottom w:val="none" w:sz="0" w:space="0" w:color="auto"/>
        <w:right w:val="none" w:sz="0" w:space="0" w:color="auto"/>
      </w:divBdr>
    </w:div>
    <w:div w:id="860583438">
      <w:bodyDiv w:val="1"/>
      <w:marLeft w:val="0"/>
      <w:marRight w:val="0"/>
      <w:marTop w:val="0"/>
      <w:marBottom w:val="0"/>
      <w:divBdr>
        <w:top w:val="none" w:sz="0" w:space="0" w:color="auto"/>
        <w:left w:val="none" w:sz="0" w:space="0" w:color="auto"/>
        <w:bottom w:val="none" w:sz="0" w:space="0" w:color="auto"/>
        <w:right w:val="none" w:sz="0" w:space="0" w:color="auto"/>
      </w:divBdr>
    </w:div>
    <w:div w:id="877089681">
      <w:bodyDiv w:val="1"/>
      <w:marLeft w:val="0"/>
      <w:marRight w:val="0"/>
      <w:marTop w:val="0"/>
      <w:marBottom w:val="0"/>
      <w:divBdr>
        <w:top w:val="none" w:sz="0" w:space="0" w:color="auto"/>
        <w:left w:val="none" w:sz="0" w:space="0" w:color="auto"/>
        <w:bottom w:val="none" w:sz="0" w:space="0" w:color="auto"/>
        <w:right w:val="none" w:sz="0" w:space="0" w:color="auto"/>
      </w:divBdr>
    </w:div>
    <w:div w:id="890535793">
      <w:bodyDiv w:val="1"/>
      <w:marLeft w:val="0"/>
      <w:marRight w:val="0"/>
      <w:marTop w:val="0"/>
      <w:marBottom w:val="0"/>
      <w:divBdr>
        <w:top w:val="none" w:sz="0" w:space="0" w:color="auto"/>
        <w:left w:val="none" w:sz="0" w:space="0" w:color="auto"/>
        <w:bottom w:val="none" w:sz="0" w:space="0" w:color="auto"/>
        <w:right w:val="none" w:sz="0" w:space="0" w:color="auto"/>
      </w:divBdr>
    </w:div>
    <w:div w:id="1012609065">
      <w:bodyDiv w:val="1"/>
      <w:marLeft w:val="0"/>
      <w:marRight w:val="0"/>
      <w:marTop w:val="0"/>
      <w:marBottom w:val="0"/>
      <w:divBdr>
        <w:top w:val="none" w:sz="0" w:space="0" w:color="auto"/>
        <w:left w:val="none" w:sz="0" w:space="0" w:color="auto"/>
        <w:bottom w:val="none" w:sz="0" w:space="0" w:color="auto"/>
        <w:right w:val="none" w:sz="0" w:space="0" w:color="auto"/>
      </w:divBdr>
    </w:div>
    <w:div w:id="1165972657">
      <w:bodyDiv w:val="1"/>
      <w:marLeft w:val="0"/>
      <w:marRight w:val="0"/>
      <w:marTop w:val="0"/>
      <w:marBottom w:val="0"/>
      <w:divBdr>
        <w:top w:val="none" w:sz="0" w:space="0" w:color="auto"/>
        <w:left w:val="none" w:sz="0" w:space="0" w:color="auto"/>
        <w:bottom w:val="none" w:sz="0" w:space="0" w:color="auto"/>
        <w:right w:val="none" w:sz="0" w:space="0" w:color="auto"/>
      </w:divBdr>
    </w:div>
    <w:div w:id="1181312282">
      <w:bodyDiv w:val="1"/>
      <w:marLeft w:val="0"/>
      <w:marRight w:val="0"/>
      <w:marTop w:val="0"/>
      <w:marBottom w:val="0"/>
      <w:divBdr>
        <w:top w:val="none" w:sz="0" w:space="0" w:color="auto"/>
        <w:left w:val="none" w:sz="0" w:space="0" w:color="auto"/>
        <w:bottom w:val="none" w:sz="0" w:space="0" w:color="auto"/>
        <w:right w:val="none" w:sz="0" w:space="0" w:color="auto"/>
      </w:divBdr>
    </w:div>
    <w:div w:id="1465001836">
      <w:bodyDiv w:val="1"/>
      <w:marLeft w:val="0"/>
      <w:marRight w:val="0"/>
      <w:marTop w:val="0"/>
      <w:marBottom w:val="0"/>
      <w:divBdr>
        <w:top w:val="none" w:sz="0" w:space="0" w:color="auto"/>
        <w:left w:val="none" w:sz="0" w:space="0" w:color="auto"/>
        <w:bottom w:val="none" w:sz="0" w:space="0" w:color="auto"/>
        <w:right w:val="none" w:sz="0" w:space="0" w:color="auto"/>
      </w:divBdr>
    </w:div>
    <w:div w:id="1484664638">
      <w:bodyDiv w:val="1"/>
      <w:marLeft w:val="0"/>
      <w:marRight w:val="0"/>
      <w:marTop w:val="0"/>
      <w:marBottom w:val="0"/>
      <w:divBdr>
        <w:top w:val="none" w:sz="0" w:space="0" w:color="auto"/>
        <w:left w:val="none" w:sz="0" w:space="0" w:color="auto"/>
        <w:bottom w:val="none" w:sz="0" w:space="0" w:color="auto"/>
        <w:right w:val="none" w:sz="0" w:space="0" w:color="auto"/>
      </w:divBdr>
    </w:div>
    <w:div w:id="1515998799">
      <w:bodyDiv w:val="1"/>
      <w:marLeft w:val="0"/>
      <w:marRight w:val="0"/>
      <w:marTop w:val="0"/>
      <w:marBottom w:val="0"/>
      <w:divBdr>
        <w:top w:val="none" w:sz="0" w:space="0" w:color="auto"/>
        <w:left w:val="none" w:sz="0" w:space="0" w:color="auto"/>
        <w:bottom w:val="none" w:sz="0" w:space="0" w:color="auto"/>
        <w:right w:val="none" w:sz="0" w:space="0" w:color="auto"/>
      </w:divBdr>
    </w:div>
    <w:div w:id="1609964208">
      <w:bodyDiv w:val="1"/>
      <w:marLeft w:val="0"/>
      <w:marRight w:val="0"/>
      <w:marTop w:val="0"/>
      <w:marBottom w:val="0"/>
      <w:divBdr>
        <w:top w:val="none" w:sz="0" w:space="0" w:color="auto"/>
        <w:left w:val="none" w:sz="0" w:space="0" w:color="auto"/>
        <w:bottom w:val="none" w:sz="0" w:space="0" w:color="auto"/>
        <w:right w:val="none" w:sz="0" w:space="0" w:color="auto"/>
      </w:divBdr>
    </w:div>
    <w:div w:id="1701471167">
      <w:bodyDiv w:val="1"/>
      <w:marLeft w:val="0"/>
      <w:marRight w:val="0"/>
      <w:marTop w:val="0"/>
      <w:marBottom w:val="0"/>
      <w:divBdr>
        <w:top w:val="none" w:sz="0" w:space="0" w:color="auto"/>
        <w:left w:val="none" w:sz="0" w:space="0" w:color="auto"/>
        <w:bottom w:val="none" w:sz="0" w:space="0" w:color="auto"/>
        <w:right w:val="none" w:sz="0" w:space="0" w:color="auto"/>
      </w:divBdr>
    </w:div>
    <w:div w:id="1761364514">
      <w:bodyDiv w:val="1"/>
      <w:marLeft w:val="0"/>
      <w:marRight w:val="0"/>
      <w:marTop w:val="0"/>
      <w:marBottom w:val="0"/>
      <w:divBdr>
        <w:top w:val="none" w:sz="0" w:space="0" w:color="auto"/>
        <w:left w:val="none" w:sz="0" w:space="0" w:color="auto"/>
        <w:bottom w:val="none" w:sz="0" w:space="0" w:color="auto"/>
        <w:right w:val="none" w:sz="0" w:space="0" w:color="auto"/>
      </w:divBdr>
      <w:divsChild>
        <w:div w:id="1078283173">
          <w:marLeft w:val="0"/>
          <w:marRight w:val="0"/>
          <w:marTop w:val="0"/>
          <w:marBottom w:val="150"/>
          <w:divBdr>
            <w:top w:val="none" w:sz="0" w:space="0" w:color="auto"/>
            <w:left w:val="none" w:sz="0" w:space="0" w:color="auto"/>
            <w:bottom w:val="none" w:sz="0" w:space="0" w:color="auto"/>
            <w:right w:val="none" w:sz="0" w:space="0" w:color="auto"/>
          </w:divBdr>
        </w:div>
      </w:divsChild>
    </w:div>
    <w:div w:id="1809588230">
      <w:bodyDiv w:val="1"/>
      <w:marLeft w:val="0"/>
      <w:marRight w:val="0"/>
      <w:marTop w:val="0"/>
      <w:marBottom w:val="0"/>
      <w:divBdr>
        <w:top w:val="none" w:sz="0" w:space="0" w:color="auto"/>
        <w:left w:val="none" w:sz="0" w:space="0" w:color="auto"/>
        <w:bottom w:val="none" w:sz="0" w:space="0" w:color="auto"/>
        <w:right w:val="none" w:sz="0" w:space="0" w:color="auto"/>
      </w:divBdr>
    </w:div>
    <w:div w:id="1832988337">
      <w:bodyDiv w:val="1"/>
      <w:marLeft w:val="0"/>
      <w:marRight w:val="0"/>
      <w:marTop w:val="0"/>
      <w:marBottom w:val="0"/>
      <w:divBdr>
        <w:top w:val="none" w:sz="0" w:space="0" w:color="auto"/>
        <w:left w:val="none" w:sz="0" w:space="0" w:color="auto"/>
        <w:bottom w:val="none" w:sz="0" w:space="0" w:color="auto"/>
        <w:right w:val="none" w:sz="0" w:space="0" w:color="auto"/>
      </w:divBdr>
      <w:divsChild>
        <w:div w:id="1520507424">
          <w:marLeft w:val="0"/>
          <w:marRight w:val="0"/>
          <w:marTop w:val="0"/>
          <w:marBottom w:val="150"/>
          <w:divBdr>
            <w:top w:val="none" w:sz="0" w:space="0" w:color="auto"/>
            <w:left w:val="none" w:sz="0" w:space="0" w:color="auto"/>
            <w:bottom w:val="none" w:sz="0" w:space="0" w:color="auto"/>
            <w:right w:val="none" w:sz="0" w:space="0" w:color="auto"/>
          </w:divBdr>
        </w:div>
      </w:divsChild>
    </w:div>
    <w:div w:id="1867983822">
      <w:bodyDiv w:val="1"/>
      <w:marLeft w:val="0"/>
      <w:marRight w:val="0"/>
      <w:marTop w:val="0"/>
      <w:marBottom w:val="0"/>
      <w:divBdr>
        <w:top w:val="none" w:sz="0" w:space="0" w:color="auto"/>
        <w:left w:val="none" w:sz="0" w:space="0" w:color="auto"/>
        <w:bottom w:val="none" w:sz="0" w:space="0" w:color="auto"/>
        <w:right w:val="none" w:sz="0" w:space="0" w:color="auto"/>
      </w:divBdr>
    </w:div>
    <w:div w:id="2090997216">
      <w:bodyDiv w:val="1"/>
      <w:marLeft w:val="0"/>
      <w:marRight w:val="0"/>
      <w:marTop w:val="0"/>
      <w:marBottom w:val="0"/>
      <w:divBdr>
        <w:top w:val="none" w:sz="0" w:space="0" w:color="auto"/>
        <w:left w:val="none" w:sz="0" w:space="0" w:color="auto"/>
        <w:bottom w:val="none" w:sz="0" w:space="0" w:color="auto"/>
        <w:right w:val="none" w:sz="0" w:space="0" w:color="auto"/>
      </w:divBdr>
    </w:div>
    <w:div w:id="212102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5D533-575E-4E06-91C0-3DA82DDA5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7865</Words>
  <Characters>4484</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dc:description/>
  <cp:lastModifiedBy>Ірина Кириленко</cp:lastModifiedBy>
  <cp:revision>4</cp:revision>
  <cp:lastPrinted>2026-02-20T07:32:00Z</cp:lastPrinted>
  <dcterms:created xsi:type="dcterms:W3CDTF">2026-02-23T07:51:00Z</dcterms:created>
  <dcterms:modified xsi:type="dcterms:W3CDTF">2026-02-23T09:45:00Z</dcterms:modified>
</cp:coreProperties>
</file>