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42D60" w:rsidRPr="007E7415" w:rsidRDefault="00442D60" w:rsidP="007E7415">
      <w:pPr>
        <w:jc w:val="center"/>
        <w:rPr>
          <w:b/>
          <w:bCs/>
          <w:sz w:val="24"/>
          <w:szCs w:val="24"/>
        </w:rPr>
      </w:pPr>
      <w:bookmarkStart w:id="0" w:name="_GoBack"/>
      <w:bookmarkEnd w:id="0"/>
    </w:p>
    <w:p w:rsidR="00442D60" w:rsidRPr="007E7415" w:rsidRDefault="00E73D88" w:rsidP="007E7415">
      <w:pPr>
        <w:jc w:val="center"/>
        <w:rPr>
          <w:b/>
          <w:bCs/>
          <w:color w:val="000000" w:themeColor="text1"/>
          <w:sz w:val="24"/>
          <w:szCs w:val="24"/>
        </w:rPr>
      </w:pPr>
      <w:r w:rsidRPr="007E7415">
        <w:rPr>
          <w:b/>
          <w:bCs/>
          <w:color w:val="000000" w:themeColor="text1"/>
          <w:sz w:val="24"/>
          <w:szCs w:val="24"/>
        </w:rPr>
        <w:t>УЗАГАЛЬНЕНІ ЗАУВАЖЕННЯ</w:t>
      </w:r>
    </w:p>
    <w:p w:rsidR="004A2B24" w:rsidRDefault="00EE3E2E" w:rsidP="007E7415">
      <w:pPr>
        <w:jc w:val="center"/>
        <w:rPr>
          <w:b/>
          <w:bCs/>
          <w:color w:val="000000" w:themeColor="text1"/>
          <w:sz w:val="24"/>
          <w:szCs w:val="24"/>
        </w:rPr>
      </w:pPr>
      <w:r w:rsidRPr="00EE3E2E">
        <w:rPr>
          <w:b/>
          <w:bCs/>
          <w:color w:val="000000" w:themeColor="text1"/>
          <w:sz w:val="24"/>
          <w:szCs w:val="24"/>
        </w:rPr>
        <w:t xml:space="preserve">та пропозиції до </w:t>
      </w:r>
      <w:proofErr w:type="spellStart"/>
      <w:r w:rsidRPr="00EE3E2E">
        <w:rPr>
          <w:b/>
          <w:bCs/>
          <w:color w:val="000000" w:themeColor="text1"/>
          <w:sz w:val="24"/>
          <w:szCs w:val="24"/>
        </w:rPr>
        <w:t>проєкту</w:t>
      </w:r>
      <w:proofErr w:type="spellEnd"/>
      <w:r w:rsidRPr="00EE3E2E">
        <w:rPr>
          <w:b/>
          <w:bCs/>
          <w:color w:val="000000" w:themeColor="text1"/>
          <w:sz w:val="24"/>
          <w:szCs w:val="24"/>
        </w:rPr>
        <w:t xml:space="preserve"> рішення НКРЕКП, що має ознаки регуляторного </w:t>
      </w:r>
      <w:proofErr w:type="spellStart"/>
      <w:r w:rsidRPr="00EE3E2E">
        <w:rPr>
          <w:b/>
          <w:bCs/>
          <w:color w:val="000000" w:themeColor="text1"/>
          <w:sz w:val="24"/>
          <w:szCs w:val="24"/>
        </w:rPr>
        <w:t>акта</w:t>
      </w:r>
      <w:proofErr w:type="spellEnd"/>
      <w:r w:rsidRPr="00EE3E2E">
        <w:rPr>
          <w:b/>
          <w:bCs/>
          <w:color w:val="000000" w:themeColor="text1"/>
          <w:sz w:val="24"/>
          <w:szCs w:val="24"/>
        </w:rPr>
        <w:t>, – постанови НКРЕКП «Про внесення змін до Порядку контролю за дотриманням ліцензіатами, що провадять діяльність у сферах енергетики та комунальних послуг, законодавства у відповідних сферах та ліцензійних умов»</w:t>
      </w:r>
    </w:p>
    <w:p w:rsidR="00EE3E2E" w:rsidRPr="007E7415" w:rsidRDefault="00EE3E2E" w:rsidP="007E7415">
      <w:pPr>
        <w:jc w:val="center"/>
        <w:rPr>
          <w:b/>
          <w:bCs/>
          <w:sz w:val="24"/>
          <w:szCs w:val="24"/>
        </w:rPr>
      </w:pPr>
    </w:p>
    <w:tbl>
      <w:tblPr>
        <w:tblW w:w="151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10"/>
        <w:gridCol w:w="5812"/>
        <w:gridCol w:w="3546"/>
      </w:tblGrid>
      <w:tr w:rsidR="00C27A60" w:rsidRPr="00EE3E2E" w:rsidTr="000D61FB">
        <w:trPr>
          <w:trHeight w:val="1060"/>
        </w:trPr>
        <w:tc>
          <w:tcPr>
            <w:tcW w:w="5810" w:type="dxa"/>
            <w:vAlign w:val="center"/>
          </w:tcPr>
          <w:p w:rsidR="0018455A" w:rsidRPr="00EE3E2E" w:rsidRDefault="0018455A" w:rsidP="007E7415">
            <w:pPr>
              <w:jc w:val="center"/>
              <w:rPr>
                <w:b/>
                <w:sz w:val="22"/>
                <w:szCs w:val="22"/>
              </w:rPr>
            </w:pPr>
            <w:r w:rsidRPr="00EE3E2E">
              <w:rPr>
                <w:b/>
                <w:sz w:val="22"/>
                <w:szCs w:val="22"/>
              </w:rPr>
              <w:t xml:space="preserve">Редакція </w:t>
            </w:r>
            <w:proofErr w:type="spellStart"/>
            <w:r w:rsidRPr="00EE3E2E">
              <w:rPr>
                <w:b/>
                <w:sz w:val="22"/>
                <w:szCs w:val="22"/>
              </w:rPr>
              <w:t>проєкту</w:t>
            </w:r>
            <w:proofErr w:type="spellEnd"/>
            <w:r w:rsidRPr="00EE3E2E">
              <w:rPr>
                <w:b/>
                <w:sz w:val="22"/>
                <w:szCs w:val="22"/>
              </w:rPr>
              <w:t xml:space="preserve"> рішення НКРЕКП</w:t>
            </w:r>
          </w:p>
        </w:tc>
        <w:tc>
          <w:tcPr>
            <w:tcW w:w="5812" w:type="dxa"/>
            <w:vAlign w:val="center"/>
          </w:tcPr>
          <w:p w:rsidR="0018455A" w:rsidRPr="00EE3E2E" w:rsidRDefault="0018455A" w:rsidP="007E7415">
            <w:pPr>
              <w:jc w:val="center"/>
              <w:rPr>
                <w:b/>
                <w:sz w:val="22"/>
                <w:szCs w:val="22"/>
              </w:rPr>
            </w:pPr>
            <w:r w:rsidRPr="00EE3E2E">
              <w:rPr>
                <w:b/>
                <w:sz w:val="22"/>
                <w:szCs w:val="22"/>
              </w:rPr>
              <w:t xml:space="preserve">Зауваження та пропозиції до </w:t>
            </w:r>
            <w:proofErr w:type="spellStart"/>
            <w:r w:rsidRPr="00EE3E2E">
              <w:rPr>
                <w:b/>
                <w:sz w:val="22"/>
                <w:szCs w:val="22"/>
              </w:rPr>
              <w:t>проєкту</w:t>
            </w:r>
            <w:proofErr w:type="spellEnd"/>
            <w:r w:rsidRPr="00EE3E2E">
              <w:rPr>
                <w:b/>
                <w:sz w:val="22"/>
                <w:szCs w:val="22"/>
              </w:rPr>
              <w:t xml:space="preserve"> рішення НКРЕКП</w:t>
            </w:r>
          </w:p>
        </w:tc>
        <w:tc>
          <w:tcPr>
            <w:tcW w:w="3546" w:type="dxa"/>
            <w:vAlign w:val="center"/>
          </w:tcPr>
          <w:p w:rsidR="0018455A" w:rsidRPr="00EE3E2E" w:rsidRDefault="0018455A" w:rsidP="007E7415">
            <w:pPr>
              <w:jc w:val="center"/>
              <w:rPr>
                <w:b/>
                <w:sz w:val="22"/>
                <w:szCs w:val="22"/>
              </w:rPr>
            </w:pPr>
            <w:r w:rsidRPr="00EE3E2E">
              <w:rPr>
                <w:b/>
                <w:sz w:val="22"/>
                <w:szCs w:val="22"/>
                <w:shd w:val="clear" w:color="auto" w:fill="FFFFFF"/>
              </w:rPr>
              <w:t>Попередня позиція НКРЕКП щодо наданих зауважень та пропозицій з обґрунтуваннями щодо прийняття або відхилення</w:t>
            </w:r>
          </w:p>
        </w:tc>
      </w:tr>
      <w:tr w:rsidR="00A90C56" w:rsidRPr="00EE3E2E" w:rsidTr="000D61FB">
        <w:trPr>
          <w:trHeight w:val="595"/>
        </w:trPr>
        <w:tc>
          <w:tcPr>
            <w:tcW w:w="15168" w:type="dxa"/>
            <w:gridSpan w:val="3"/>
            <w:shd w:val="clear" w:color="auto" w:fill="BDD6EE" w:themeFill="accent1" w:themeFillTint="66"/>
          </w:tcPr>
          <w:p w:rsidR="005F6C56" w:rsidRPr="00EE3E2E" w:rsidRDefault="005F6C56" w:rsidP="007E7415">
            <w:pPr>
              <w:jc w:val="center"/>
              <w:rPr>
                <w:b/>
                <w:sz w:val="22"/>
                <w:szCs w:val="22"/>
              </w:rPr>
            </w:pPr>
            <w:r w:rsidRPr="00EE3E2E">
              <w:rPr>
                <w:b/>
                <w:sz w:val="22"/>
                <w:szCs w:val="22"/>
              </w:rPr>
              <w:t>Додаток 24</w:t>
            </w:r>
          </w:p>
          <w:p w:rsidR="00A90C56" w:rsidRPr="00EE3E2E" w:rsidRDefault="005F6C56" w:rsidP="007E7415">
            <w:pPr>
              <w:jc w:val="center"/>
              <w:rPr>
                <w:b/>
                <w:i/>
                <w:sz w:val="22"/>
                <w:szCs w:val="22"/>
              </w:rPr>
            </w:pPr>
            <w:r w:rsidRPr="00EE3E2E">
              <w:rPr>
                <w:b/>
                <w:sz w:val="22"/>
                <w:szCs w:val="22"/>
              </w:rPr>
              <w:t>Методика визначення сум надлишково отриманого або недоотриманого доходу від здійснення ліцензованої діяльності з розподілу електричної енергії</w:t>
            </w:r>
          </w:p>
        </w:tc>
      </w:tr>
      <w:tr w:rsidR="00A90C56" w:rsidRPr="00EE3E2E" w:rsidTr="000D61FB">
        <w:trPr>
          <w:trHeight w:val="595"/>
        </w:trPr>
        <w:tc>
          <w:tcPr>
            <w:tcW w:w="5810" w:type="dxa"/>
            <w:shd w:val="clear" w:color="auto" w:fill="auto"/>
          </w:tcPr>
          <w:p w:rsidR="005A6C87" w:rsidRPr="00EE3E2E" w:rsidRDefault="00EE3E2E" w:rsidP="007E7415">
            <w:pPr>
              <w:ind w:firstLine="308"/>
              <w:jc w:val="both"/>
              <w:rPr>
                <w:rFonts w:eastAsia="Calibri"/>
                <w:bCs/>
                <w:sz w:val="22"/>
                <w:szCs w:val="22"/>
                <w:lang w:eastAsia="uk-UA"/>
              </w:rPr>
            </w:pPr>
            <w:r w:rsidRPr="00EE3E2E">
              <w:rPr>
                <w:rFonts w:eastAsia="Calibri"/>
                <w:sz w:val="22"/>
                <w:szCs w:val="22"/>
                <w:shd w:val="clear" w:color="auto" w:fill="FFFFFF"/>
                <w:lang w:eastAsia="en-US"/>
              </w:rPr>
              <w:t>ЗМІНИ НЕ ПРОПОНУВАЛИСЬ</w:t>
            </w:r>
          </w:p>
        </w:tc>
        <w:tc>
          <w:tcPr>
            <w:tcW w:w="5812" w:type="dxa"/>
            <w:shd w:val="clear" w:color="auto" w:fill="auto"/>
          </w:tcPr>
          <w:p w:rsidR="00A90C56" w:rsidRPr="00EE3E2E" w:rsidRDefault="005F6C56" w:rsidP="007E7415">
            <w:pPr>
              <w:rPr>
                <w:i/>
                <w:sz w:val="22"/>
                <w:szCs w:val="22"/>
              </w:rPr>
            </w:pPr>
            <w:r w:rsidRPr="00EE3E2E">
              <w:rPr>
                <w:i/>
                <w:sz w:val="22"/>
                <w:szCs w:val="22"/>
              </w:rPr>
              <w:t>ГС «Розумні електромережі України»</w:t>
            </w:r>
          </w:p>
          <w:p w:rsidR="007E7415" w:rsidRPr="00EE3E2E" w:rsidRDefault="007E7415" w:rsidP="007E7415">
            <w:pPr>
              <w:rPr>
                <w:i/>
                <w:sz w:val="22"/>
                <w:szCs w:val="22"/>
              </w:rPr>
            </w:pPr>
            <w:r w:rsidRPr="00EE3E2E">
              <w:rPr>
                <w:i/>
                <w:sz w:val="22"/>
                <w:szCs w:val="22"/>
              </w:rPr>
              <w:t>ДТЕК «Одеські електромережі»</w:t>
            </w:r>
          </w:p>
          <w:p w:rsidR="007E7415" w:rsidRPr="00EE3E2E" w:rsidRDefault="007E7415" w:rsidP="007E7415">
            <w:pPr>
              <w:rPr>
                <w:i/>
                <w:sz w:val="22"/>
                <w:szCs w:val="22"/>
              </w:rPr>
            </w:pPr>
            <w:r w:rsidRPr="00EE3E2E">
              <w:rPr>
                <w:i/>
                <w:sz w:val="22"/>
                <w:szCs w:val="22"/>
              </w:rPr>
              <w:t>ДТЕК «Дніпровські електромережі»</w:t>
            </w:r>
          </w:p>
          <w:p w:rsidR="0045753C" w:rsidRPr="00EE3E2E" w:rsidRDefault="0045753C" w:rsidP="007E7415">
            <w:pPr>
              <w:jc w:val="both"/>
              <w:rPr>
                <w:i/>
                <w:sz w:val="22"/>
                <w:szCs w:val="22"/>
              </w:rPr>
            </w:pPr>
          </w:p>
          <w:p w:rsidR="005F6C56" w:rsidRPr="00EE3E2E" w:rsidRDefault="005F6C56" w:rsidP="007E7415">
            <w:pPr>
              <w:ind w:firstLine="308"/>
              <w:jc w:val="both"/>
              <w:rPr>
                <w:rFonts w:eastAsia="Calibri"/>
                <w:sz w:val="22"/>
                <w:szCs w:val="22"/>
                <w:shd w:val="clear" w:color="auto" w:fill="FFFFFF"/>
                <w:lang w:eastAsia="en-US"/>
              </w:rPr>
            </w:pPr>
            <w:r w:rsidRPr="00EE3E2E">
              <w:rPr>
                <w:rFonts w:eastAsia="Calibri"/>
                <w:sz w:val="22"/>
                <w:szCs w:val="22"/>
                <w:shd w:val="clear" w:color="auto" w:fill="FFFFFF"/>
                <w:lang w:eastAsia="en-US"/>
              </w:rPr>
              <w:t xml:space="preserve">9. Від'ємна сума, визначена згідно з пунктом 7 цього додатка, коригується на індекс споживчих цін на товари та послуги з грудня звітного року до грудня попереднього року (використовується інформація, оприлюднена на офіційному </w:t>
            </w:r>
            <w:proofErr w:type="spellStart"/>
            <w:r w:rsidRPr="00EE3E2E">
              <w:rPr>
                <w:rFonts w:eastAsia="Calibri"/>
                <w:sz w:val="22"/>
                <w:szCs w:val="22"/>
                <w:shd w:val="clear" w:color="auto" w:fill="FFFFFF"/>
                <w:lang w:eastAsia="en-US"/>
              </w:rPr>
              <w:t>вебсайті</w:t>
            </w:r>
            <w:proofErr w:type="spellEnd"/>
            <w:r w:rsidRPr="00EE3E2E">
              <w:rPr>
                <w:rFonts w:eastAsia="Calibri"/>
                <w:sz w:val="22"/>
                <w:szCs w:val="22"/>
                <w:shd w:val="clear" w:color="auto" w:fill="FFFFFF"/>
                <w:lang w:eastAsia="en-US"/>
              </w:rPr>
              <w:t xml:space="preserve"> Державної служби статистики України) та підлягає включенню до структури тарифів ліцензіата.</w:t>
            </w:r>
          </w:p>
          <w:p w:rsidR="007E7415" w:rsidRPr="00EE3E2E" w:rsidRDefault="007E7415" w:rsidP="007E7415">
            <w:pPr>
              <w:ind w:firstLine="308"/>
              <w:jc w:val="both"/>
              <w:rPr>
                <w:rFonts w:eastAsia="Calibri"/>
                <w:sz w:val="22"/>
                <w:szCs w:val="22"/>
                <w:shd w:val="clear" w:color="auto" w:fill="FFFFFF"/>
                <w:lang w:eastAsia="en-US"/>
              </w:rPr>
            </w:pPr>
          </w:p>
          <w:p w:rsidR="00025645" w:rsidRPr="00EE3E2E" w:rsidRDefault="005F6C56" w:rsidP="007E7415">
            <w:pPr>
              <w:jc w:val="both"/>
              <w:rPr>
                <w:i/>
                <w:sz w:val="22"/>
                <w:szCs w:val="22"/>
              </w:rPr>
            </w:pPr>
            <w:r w:rsidRPr="00EE3E2E">
              <w:rPr>
                <w:i/>
                <w:sz w:val="22"/>
                <w:szCs w:val="22"/>
              </w:rPr>
              <w:t>ОБГРУНТУВАННЯ:</w:t>
            </w:r>
          </w:p>
          <w:p w:rsidR="005F6C56" w:rsidRPr="00EE3E2E" w:rsidRDefault="005F6C56" w:rsidP="007E7415">
            <w:pPr>
              <w:jc w:val="both"/>
              <w:rPr>
                <w:sz w:val="22"/>
                <w:szCs w:val="22"/>
              </w:rPr>
            </w:pPr>
          </w:p>
          <w:p w:rsidR="00EE3E2E" w:rsidRPr="00EE3E2E" w:rsidRDefault="00EE3E2E" w:rsidP="00EE3E2E">
            <w:pPr>
              <w:ind w:firstLine="308"/>
              <w:jc w:val="both"/>
              <w:rPr>
                <w:rFonts w:eastAsia="Calibri"/>
                <w:sz w:val="22"/>
                <w:szCs w:val="22"/>
                <w:shd w:val="clear" w:color="auto" w:fill="FFFFFF"/>
                <w:lang w:eastAsia="en-US"/>
              </w:rPr>
            </w:pPr>
            <w:r w:rsidRPr="00EE3E2E">
              <w:rPr>
                <w:rFonts w:eastAsia="Calibri"/>
                <w:sz w:val="22"/>
                <w:szCs w:val="22"/>
                <w:shd w:val="clear" w:color="auto" w:fill="FFFFFF"/>
                <w:lang w:eastAsia="en-US"/>
              </w:rPr>
              <w:t>Пропонується доповнення.</w:t>
            </w:r>
          </w:p>
          <w:p w:rsidR="00A41296" w:rsidRPr="00EE3E2E" w:rsidRDefault="00EE3E2E" w:rsidP="00EE3E2E">
            <w:pPr>
              <w:jc w:val="both"/>
              <w:rPr>
                <w:rFonts w:eastAsia="Calibri"/>
                <w:sz w:val="22"/>
                <w:szCs w:val="22"/>
                <w:shd w:val="clear" w:color="auto" w:fill="FFFFFF"/>
                <w:lang w:eastAsia="en-US"/>
              </w:rPr>
            </w:pPr>
            <w:r w:rsidRPr="00EE3E2E">
              <w:rPr>
                <w:rFonts w:eastAsia="Calibri"/>
                <w:sz w:val="22"/>
                <w:szCs w:val="22"/>
                <w:shd w:val="clear" w:color="auto" w:fill="FFFFFF"/>
                <w:lang w:eastAsia="en-US"/>
              </w:rPr>
              <w:t>У зв’язку з пропозицією НКРЕКП застосувати до визначених за результатами перевірки  додаткових джерел фінансування ІП коригування на індекс споживчих цін, пропонується врахувати рівнозначний підхід до визначення сум надлишково отриманого або недоотриманого доходу (починаючи з перевірок за 2026 рік), а саме, враховувати їх коригування на індекс споживчих цін.</w:t>
            </w:r>
          </w:p>
          <w:p w:rsidR="001F4949" w:rsidRPr="00EE3E2E" w:rsidRDefault="001F4949" w:rsidP="007E7415">
            <w:pPr>
              <w:jc w:val="both"/>
              <w:rPr>
                <w:sz w:val="22"/>
                <w:szCs w:val="22"/>
              </w:rPr>
            </w:pPr>
          </w:p>
        </w:tc>
        <w:tc>
          <w:tcPr>
            <w:tcW w:w="3546" w:type="dxa"/>
            <w:shd w:val="clear" w:color="auto" w:fill="auto"/>
          </w:tcPr>
          <w:p w:rsidR="00A90C56" w:rsidRPr="00EE3E2E" w:rsidRDefault="000927F5" w:rsidP="007E7415">
            <w:pPr>
              <w:rPr>
                <w:b/>
                <w:i/>
                <w:sz w:val="22"/>
                <w:szCs w:val="22"/>
              </w:rPr>
            </w:pPr>
            <w:r w:rsidRPr="00EE3E2E">
              <w:rPr>
                <w:b/>
                <w:sz w:val="22"/>
                <w:szCs w:val="22"/>
              </w:rPr>
              <w:t>Для обговорення разом з пропозиціями до пункту 13</w:t>
            </w:r>
          </w:p>
        </w:tc>
      </w:tr>
      <w:tr w:rsidR="00EE3E2E" w:rsidRPr="00EE3E2E" w:rsidTr="000D61FB">
        <w:trPr>
          <w:trHeight w:val="595"/>
        </w:trPr>
        <w:tc>
          <w:tcPr>
            <w:tcW w:w="5810" w:type="dxa"/>
            <w:shd w:val="clear" w:color="auto" w:fill="auto"/>
          </w:tcPr>
          <w:p w:rsidR="00EE3E2E" w:rsidRPr="00EE3E2E" w:rsidRDefault="00EE3E2E" w:rsidP="00EE3E2E">
            <w:pPr>
              <w:ind w:firstLine="308"/>
              <w:jc w:val="both"/>
              <w:rPr>
                <w:rFonts w:eastAsia="Calibri"/>
                <w:bCs/>
                <w:sz w:val="22"/>
                <w:szCs w:val="22"/>
                <w:lang w:eastAsia="uk-UA"/>
              </w:rPr>
            </w:pPr>
            <w:r w:rsidRPr="00EE3E2E">
              <w:rPr>
                <w:rFonts w:eastAsia="Calibri"/>
                <w:sz w:val="22"/>
                <w:szCs w:val="22"/>
                <w:shd w:val="clear" w:color="auto" w:fill="FFFFFF"/>
                <w:lang w:eastAsia="en-US"/>
              </w:rPr>
              <w:t>ЗМІНИ НЕ ПРОПОНУВАЛИСЬ</w:t>
            </w:r>
          </w:p>
        </w:tc>
        <w:tc>
          <w:tcPr>
            <w:tcW w:w="5812" w:type="dxa"/>
            <w:shd w:val="clear" w:color="auto" w:fill="auto"/>
          </w:tcPr>
          <w:p w:rsidR="00EE3E2E" w:rsidRPr="00EE3E2E" w:rsidRDefault="00EE3E2E" w:rsidP="00EE3E2E">
            <w:pPr>
              <w:jc w:val="both"/>
              <w:rPr>
                <w:i/>
                <w:sz w:val="22"/>
                <w:szCs w:val="22"/>
              </w:rPr>
            </w:pPr>
            <w:r w:rsidRPr="00EE3E2E">
              <w:rPr>
                <w:i/>
                <w:sz w:val="22"/>
                <w:szCs w:val="22"/>
              </w:rPr>
              <w:t>ГС «Розумні електромережі України»</w:t>
            </w:r>
          </w:p>
          <w:p w:rsidR="00EE3E2E" w:rsidRPr="00EE3E2E" w:rsidRDefault="00EE3E2E" w:rsidP="00EE3E2E">
            <w:pPr>
              <w:jc w:val="both"/>
              <w:rPr>
                <w:i/>
                <w:sz w:val="22"/>
                <w:szCs w:val="22"/>
              </w:rPr>
            </w:pPr>
            <w:r w:rsidRPr="00EE3E2E">
              <w:rPr>
                <w:i/>
                <w:sz w:val="22"/>
                <w:szCs w:val="22"/>
              </w:rPr>
              <w:t>ДТЕК «Одеські електромережі»</w:t>
            </w:r>
          </w:p>
          <w:p w:rsidR="00EE3E2E" w:rsidRPr="00EE3E2E" w:rsidRDefault="00EE3E2E" w:rsidP="00EE3E2E">
            <w:pPr>
              <w:jc w:val="both"/>
              <w:rPr>
                <w:i/>
                <w:sz w:val="22"/>
                <w:szCs w:val="22"/>
              </w:rPr>
            </w:pPr>
            <w:r w:rsidRPr="00EE3E2E">
              <w:rPr>
                <w:i/>
                <w:sz w:val="22"/>
                <w:szCs w:val="22"/>
              </w:rPr>
              <w:t>ДТЕК «Дніпровські електромережі»</w:t>
            </w:r>
          </w:p>
          <w:p w:rsidR="00EE3E2E" w:rsidRPr="00EE3E2E" w:rsidRDefault="00EE3E2E" w:rsidP="00EE3E2E">
            <w:pPr>
              <w:jc w:val="both"/>
              <w:rPr>
                <w:i/>
                <w:sz w:val="22"/>
                <w:szCs w:val="22"/>
              </w:rPr>
            </w:pPr>
          </w:p>
          <w:p w:rsidR="00EE3E2E" w:rsidRPr="00EE3E2E" w:rsidRDefault="00EE3E2E" w:rsidP="00EE3E2E">
            <w:pPr>
              <w:ind w:firstLine="308"/>
              <w:jc w:val="both"/>
              <w:rPr>
                <w:rFonts w:eastAsia="Calibri"/>
                <w:sz w:val="22"/>
                <w:szCs w:val="22"/>
                <w:shd w:val="clear" w:color="auto" w:fill="FFFFFF"/>
                <w:lang w:eastAsia="en-US"/>
              </w:rPr>
            </w:pPr>
            <w:r w:rsidRPr="00EE3E2E">
              <w:rPr>
                <w:rFonts w:eastAsia="Calibri"/>
                <w:sz w:val="22"/>
                <w:szCs w:val="22"/>
                <w:shd w:val="clear" w:color="auto" w:fill="FFFFFF"/>
                <w:lang w:eastAsia="en-US"/>
              </w:rPr>
              <w:lastRenderedPageBreak/>
              <w:t>10. При здійсненні заходів контролю за результатами діяльності з розподілу електричної енергії у </w:t>
            </w:r>
            <w:hyperlink r:id="rId8" w:tgtFrame="_blank" w:history="1">
              <w:r w:rsidRPr="00EE3E2E">
                <w:rPr>
                  <w:rFonts w:eastAsia="Calibri"/>
                  <w:sz w:val="22"/>
                  <w:szCs w:val="22"/>
                  <w:shd w:val="clear" w:color="auto" w:fill="FFFFFF"/>
                  <w:lang w:eastAsia="en-US"/>
                </w:rPr>
                <w:t>2022 -</w:t>
              </w:r>
            </w:hyperlink>
            <w:r w:rsidRPr="00EE3E2E">
              <w:rPr>
                <w:rFonts w:eastAsia="Calibri"/>
                <w:sz w:val="22"/>
                <w:szCs w:val="22"/>
                <w:shd w:val="clear" w:color="auto" w:fill="FFFFFF"/>
                <w:lang w:eastAsia="en-US"/>
              </w:rPr>
              <w:t> </w:t>
            </w:r>
            <w:hyperlink r:id="rId9" w:tgtFrame="_blank" w:history="1">
              <w:r w:rsidRPr="00EE3E2E">
                <w:rPr>
                  <w:rFonts w:eastAsia="Calibri"/>
                  <w:sz w:val="22"/>
                  <w:szCs w:val="22"/>
                  <w:shd w:val="clear" w:color="auto" w:fill="FFFFFF"/>
                  <w:lang w:eastAsia="en-US"/>
                </w:rPr>
                <w:t>2025</w:t>
              </w:r>
            </w:hyperlink>
            <w:r w:rsidRPr="00EE3E2E">
              <w:rPr>
                <w:rFonts w:eastAsia="Calibri"/>
                <w:sz w:val="22"/>
                <w:szCs w:val="22"/>
                <w:shd w:val="clear" w:color="auto" w:fill="FFFFFF"/>
                <w:lang w:eastAsia="en-US"/>
              </w:rPr>
              <w:t> </w:t>
            </w:r>
            <w:hyperlink r:id="rId10" w:tgtFrame="_blank" w:history="1">
              <w:r w:rsidRPr="00EE3E2E">
                <w:rPr>
                  <w:rFonts w:eastAsia="Calibri"/>
                  <w:sz w:val="22"/>
                  <w:szCs w:val="22"/>
                  <w:shd w:val="clear" w:color="auto" w:fill="FFFFFF"/>
                  <w:lang w:eastAsia="en-US"/>
                </w:rPr>
                <w:t>роках</w:t>
              </w:r>
            </w:hyperlink>
            <w:r w:rsidRPr="00EE3E2E">
              <w:rPr>
                <w:rFonts w:eastAsia="Calibri"/>
                <w:sz w:val="22"/>
                <w:szCs w:val="22"/>
                <w:shd w:val="clear" w:color="auto" w:fill="FFFFFF"/>
                <w:lang w:eastAsia="en-US"/>
              </w:rPr>
              <w:t> </w:t>
            </w:r>
            <w:hyperlink r:id="rId11" w:tgtFrame="_blank" w:history="1">
              <w:r w:rsidRPr="00EE3E2E">
                <w:rPr>
                  <w:rFonts w:eastAsia="Calibri"/>
                  <w:sz w:val="22"/>
                  <w:szCs w:val="22"/>
                  <w:shd w:val="clear" w:color="auto" w:fill="FFFFFF"/>
                  <w:lang w:eastAsia="en-US"/>
                </w:rPr>
                <w:t>підсумкова сума надлишково отриманого або недоотриманого доходу від здійснення ліцензованої діяльності у звітному році, визначена згідно з пунктом 7 цього додатка, не коригується на індекс споживчих цін на товари та послуги</w:t>
              </w:r>
            </w:hyperlink>
            <w:r w:rsidRPr="00EE3E2E">
              <w:rPr>
                <w:rFonts w:eastAsia="Calibri"/>
                <w:sz w:val="22"/>
                <w:szCs w:val="22"/>
                <w:shd w:val="clear" w:color="auto" w:fill="FFFFFF"/>
                <w:lang w:eastAsia="en-US"/>
              </w:rPr>
              <w:t>.</w:t>
            </w:r>
          </w:p>
          <w:p w:rsidR="00EE3E2E" w:rsidRPr="00EE3E2E" w:rsidRDefault="00EE3E2E" w:rsidP="00EE3E2E">
            <w:pPr>
              <w:jc w:val="both"/>
              <w:rPr>
                <w:rFonts w:eastAsia="Calibri"/>
                <w:b/>
                <w:bCs/>
                <w:sz w:val="22"/>
                <w:szCs w:val="22"/>
                <w:shd w:val="clear" w:color="auto" w:fill="FFFFFF"/>
                <w:lang w:eastAsia="en-US"/>
              </w:rPr>
            </w:pPr>
            <w:r w:rsidRPr="00EE3E2E">
              <w:rPr>
                <w:rFonts w:eastAsia="Calibri"/>
                <w:b/>
                <w:bCs/>
                <w:sz w:val="22"/>
                <w:szCs w:val="22"/>
                <w:shd w:val="clear" w:color="auto" w:fill="FFFFFF"/>
                <w:lang w:eastAsia="en-US"/>
              </w:rPr>
              <w:t>Дія положення, визначеного п.10 цієї Методики,  не подовжується на заходи контролю за результатами діяльності з розподілу електричної енергії починаючи з 2026 року.</w:t>
            </w:r>
          </w:p>
          <w:p w:rsidR="00EE3E2E" w:rsidRPr="00EE3E2E" w:rsidRDefault="00EE3E2E" w:rsidP="00EE3E2E">
            <w:pPr>
              <w:jc w:val="both"/>
              <w:rPr>
                <w:sz w:val="22"/>
                <w:szCs w:val="22"/>
              </w:rPr>
            </w:pPr>
          </w:p>
          <w:p w:rsidR="00EE3E2E" w:rsidRPr="00EE3E2E" w:rsidRDefault="00EE3E2E" w:rsidP="00EE3E2E">
            <w:pPr>
              <w:jc w:val="both"/>
              <w:rPr>
                <w:i/>
                <w:sz w:val="22"/>
                <w:szCs w:val="22"/>
              </w:rPr>
            </w:pPr>
            <w:r w:rsidRPr="00EE3E2E">
              <w:rPr>
                <w:i/>
                <w:sz w:val="22"/>
                <w:szCs w:val="22"/>
              </w:rPr>
              <w:t>ОБГРУНТУВАННЯ:</w:t>
            </w:r>
          </w:p>
          <w:p w:rsidR="00EE3E2E" w:rsidRPr="00EE3E2E" w:rsidRDefault="00EE3E2E" w:rsidP="00EE3E2E">
            <w:pPr>
              <w:jc w:val="both"/>
              <w:rPr>
                <w:sz w:val="22"/>
                <w:szCs w:val="22"/>
              </w:rPr>
            </w:pPr>
          </w:p>
          <w:p w:rsidR="00EE3E2E" w:rsidRPr="00EE3E2E" w:rsidRDefault="00EE3E2E" w:rsidP="00EE3E2E">
            <w:pPr>
              <w:jc w:val="both"/>
              <w:rPr>
                <w:sz w:val="22"/>
                <w:szCs w:val="22"/>
              </w:rPr>
            </w:pPr>
            <w:r w:rsidRPr="00EE3E2E">
              <w:rPr>
                <w:sz w:val="22"/>
                <w:szCs w:val="22"/>
              </w:rPr>
              <w:t>Аналогічно пункту 9</w:t>
            </w:r>
          </w:p>
          <w:p w:rsidR="00EE3E2E" w:rsidRPr="00EE3E2E" w:rsidRDefault="00EE3E2E" w:rsidP="00EE3E2E">
            <w:pPr>
              <w:jc w:val="both"/>
              <w:rPr>
                <w:i/>
                <w:sz w:val="22"/>
                <w:szCs w:val="22"/>
              </w:rPr>
            </w:pPr>
          </w:p>
        </w:tc>
        <w:tc>
          <w:tcPr>
            <w:tcW w:w="3546" w:type="dxa"/>
            <w:shd w:val="clear" w:color="auto" w:fill="auto"/>
          </w:tcPr>
          <w:p w:rsidR="00EE3E2E" w:rsidRPr="00EE3E2E" w:rsidRDefault="00EE3E2E" w:rsidP="00EE3E2E">
            <w:pPr>
              <w:rPr>
                <w:b/>
                <w:i/>
                <w:sz w:val="22"/>
                <w:szCs w:val="22"/>
              </w:rPr>
            </w:pPr>
            <w:r w:rsidRPr="00EE3E2E">
              <w:rPr>
                <w:b/>
                <w:sz w:val="22"/>
                <w:szCs w:val="22"/>
              </w:rPr>
              <w:lastRenderedPageBreak/>
              <w:t>Для обговорення разом з пропозиціями до пункту 13</w:t>
            </w:r>
          </w:p>
        </w:tc>
      </w:tr>
      <w:tr w:rsidR="007E7415" w:rsidRPr="00EE3E2E" w:rsidTr="000D61FB">
        <w:trPr>
          <w:trHeight w:val="595"/>
        </w:trPr>
        <w:tc>
          <w:tcPr>
            <w:tcW w:w="5810" w:type="dxa"/>
            <w:shd w:val="clear" w:color="auto" w:fill="auto"/>
          </w:tcPr>
          <w:p w:rsidR="00EE3E2E" w:rsidRPr="00EE3E2E" w:rsidRDefault="00EE3E2E" w:rsidP="00EE3E2E">
            <w:pPr>
              <w:ind w:firstLine="306"/>
              <w:jc w:val="both"/>
              <w:rPr>
                <w:sz w:val="22"/>
                <w:szCs w:val="22"/>
              </w:rPr>
            </w:pPr>
          </w:p>
          <w:p w:rsidR="00EE3E2E" w:rsidRPr="00EE3E2E" w:rsidRDefault="00EE3E2E" w:rsidP="00EE3E2E">
            <w:pPr>
              <w:ind w:firstLine="306"/>
              <w:jc w:val="both"/>
              <w:rPr>
                <w:sz w:val="22"/>
                <w:szCs w:val="22"/>
              </w:rPr>
            </w:pPr>
          </w:p>
          <w:p w:rsidR="00EE3E2E" w:rsidRPr="00EE3E2E" w:rsidRDefault="00EE3E2E" w:rsidP="00EE3E2E">
            <w:pPr>
              <w:ind w:firstLine="306"/>
              <w:jc w:val="both"/>
              <w:rPr>
                <w:sz w:val="22"/>
                <w:szCs w:val="22"/>
              </w:rPr>
            </w:pPr>
          </w:p>
          <w:p w:rsidR="00EE3E2E" w:rsidRPr="00EE3E2E" w:rsidRDefault="00EE3E2E" w:rsidP="00EE3E2E">
            <w:pPr>
              <w:ind w:firstLine="306"/>
              <w:jc w:val="both"/>
              <w:rPr>
                <w:sz w:val="22"/>
                <w:szCs w:val="22"/>
              </w:rPr>
            </w:pPr>
          </w:p>
          <w:p w:rsidR="00EE3E2E" w:rsidRPr="00EE3E2E" w:rsidRDefault="00EE3E2E" w:rsidP="00EE3E2E">
            <w:pPr>
              <w:ind w:firstLine="306"/>
              <w:jc w:val="both"/>
              <w:rPr>
                <w:sz w:val="22"/>
                <w:szCs w:val="22"/>
              </w:rPr>
            </w:pPr>
            <w:r w:rsidRPr="00EE3E2E">
              <w:rPr>
                <w:sz w:val="22"/>
                <w:szCs w:val="22"/>
              </w:rPr>
              <w:t>13. Обсяг фінансування інвестиційної програми на рік, що є наступним за звітним роком, збільшується в такому порядку:</w:t>
            </w:r>
          </w:p>
          <w:p w:rsidR="00EE3E2E" w:rsidRPr="00EE3E2E" w:rsidRDefault="00EE3E2E" w:rsidP="00EE3E2E">
            <w:pPr>
              <w:ind w:firstLine="306"/>
              <w:jc w:val="both"/>
              <w:rPr>
                <w:sz w:val="22"/>
                <w:szCs w:val="22"/>
              </w:rPr>
            </w:pPr>
            <w:r w:rsidRPr="00EE3E2E">
              <w:rPr>
                <w:sz w:val="22"/>
                <w:szCs w:val="22"/>
              </w:rPr>
              <w:t>на 50 % суми додатково отриманого доходу, отриманого у звітному році від надання в оренду/суборенду основних засобів (активів), які належать до основної діяльної ліцензіата, зменшеного на суму фактичних витрат, понесених ліцензіатом у звітному році за рахунок цього доходу, які відповідно до постанови N 386 визнано обґрунтованими;</w:t>
            </w:r>
          </w:p>
          <w:p w:rsidR="00EE3E2E" w:rsidRPr="00EE3E2E" w:rsidRDefault="00EE3E2E" w:rsidP="00EE3E2E">
            <w:pPr>
              <w:ind w:firstLine="306"/>
              <w:jc w:val="both"/>
              <w:rPr>
                <w:sz w:val="22"/>
                <w:szCs w:val="22"/>
              </w:rPr>
            </w:pPr>
            <w:r w:rsidRPr="00EE3E2E">
              <w:rPr>
                <w:sz w:val="22"/>
                <w:szCs w:val="22"/>
              </w:rPr>
              <w:t>на 50 % суми додатково отриманого доходу, отриманого у звітному році від плати за доступ до елементів інфраструктури об'єктів електроенергетики, зменшеного на суму фактичних витрат, понесених ліцензіатом у звітному році за рахунок цього доходу, які відповідно до постанови N 386 визнано обґрунтованими;</w:t>
            </w:r>
          </w:p>
          <w:p w:rsidR="00EE3E2E" w:rsidRPr="00EE3E2E" w:rsidRDefault="00EE3E2E" w:rsidP="00EE3E2E">
            <w:pPr>
              <w:ind w:firstLine="306"/>
              <w:jc w:val="both"/>
              <w:rPr>
                <w:sz w:val="22"/>
                <w:szCs w:val="22"/>
              </w:rPr>
            </w:pPr>
            <w:r w:rsidRPr="00EE3E2E">
              <w:rPr>
                <w:sz w:val="22"/>
                <w:szCs w:val="22"/>
              </w:rPr>
              <w:t xml:space="preserve">на 100 % доходу, отриманого від реалізації товарно-матеріальних цінностей, що були у використанні, у тому числі металобрухту, від діяльності з розподілу електричної </w:t>
            </w:r>
            <w:r w:rsidRPr="00EE3E2E">
              <w:rPr>
                <w:sz w:val="22"/>
                <w:szCs w:val="22"/>
              </w:rPr>
              <w:lastRenderedPageBreak/>
              <w:t>енергії, зменшеного на суму фактичних витрат, понесених ліцензіатом у звітному році за рахунок цього доходу, які відповідно до постанови N 386 визнано обґрунтованими;</w:t>
            </w:r>
          </w:p>
          <w:p w:rsidR="00EE3E2E" w:rsidRPr="00EE3E2E" w:rsidRDefault="00EE3E2E" w:rsidP="00EE3E2E">
            <w:pPr>
              <w:ind w:firstLine="306"/>
              <w:jc w:val="both"/>
              <w:rPr>
                <w:sz w:val="22"/>
                <w:szCs w:val="22"/>
              </w:rPr>
            </w:pPr>
            <w:r w:rsidRPr="00EE3E2E">
              <w:rPr>
                <w:sz w:val="22"/>
                <w:szCs w:val="22"/>
              </w:rPr>
              <w:t>на 100 % прибутку від надання послуг комерційного обліку електричної енергії, зменшеного на суму виконання заходів інвестиційної програми на звітній період за рахунок відповідного джерела фінансування та на суму фактичних витрат, понесених ліцензіатом у звітному році за рахунок цього прибутку, які відповідно до постанови N 386 визнано обґрунтованими.</w:t>
            </w:r>
          </w:p>
          <w:p w:rsidR="00EE3E2E" w:rsidRPr="00EE3E2E" w:rsidRDefault="00EE3E2E" w:rsidP="00EE3E2E">
            <w:pPr>
              <w:ind w:firstLine="306"/>
              <w:jc w:val="both"/>
              <w:rPr>
                <w:b/>
                <w:sz w:val="22"/>
                <w:szCs w:val="22"/>
              </w:rPr>
            </w:pPr>
            <w:r w:rsidRPr="00EE3E2E">
              <w:rPr>
                <w:b/>
                <w:sz w:val="22"/>
                <w:szCs w:val="22"/>
              </w:rPr>
              <w:t>У разі обґрунтованого звернення ліцензіата обсяг коштів, визначений відповідно до абзаців другого – п’ятого цього пункту, може бути направлений:</w:t>
            </w:r>
          </w:p>
          <w:p w:rsidR="00EE3E2E" w:rsidRPr="00EE3E2E" w:rsidRDefault="00EE3E2E" w:rsidP="00EE3E2E">
            <w:pPr>
              <w:ind w:firstLine="306"/>
              <w:jc w:val="both"/>
              <w:rPr>
                <w:b/>
                <w:sz w:val="22"/>
                <w:szCs w:val="22"/>
              </w:rPr>
            </w:pPr>
            <w:r w:rsidRPr="00EE3E2E">
              <w:rPr>
                <w:b/>
                <w:sz w:val="22"/>
                <w:szCs w:val="22"/>
              </w:rPr>
              <w:t>на виконання заходів з відновлення об’єктів електричних мереж або їх складових та заходів із улаштування інженерного захисту критичних об’єктів/елементів систем розподілу відповідно до постанови № 386 у році, що є наступним за звітним роком;</w:t>
            </w:r>
          </w:p>
          <w:p w:rsidR="00EE3E2E" w:rsidRPr="00EE3E2E" w:rsidRDefault="00EE3E2E" w:rsidP="00EE3E2E">
            <w:pPr>
              <w:ind w:firstLine="306"/>
              <w:jc w:val="both"/>
              <w:rPr>
                <w:b/>
                <w:sz w:val="22"/>
                <w:szCs w:val="22"/>
              </w:rPr>
            </w:pPr>
            <w:r w:rsidRPr="00EE3E2E">
              <w:rPr>
                <w:b/>
                <w:sz w:val="22"/>
                <w:szCs w:val="22"/>
              </w:rPr>
              <w:t xml:space="preserve">на збільшення обсягу фінансування інвестиційної програми на другий рік, що є наступним за звітним роком, з урахуванням коригування на індекс споживчих цін на товари та послуги з грудня звітного року до грудня попереднього року (використовується інформація, оприлюднена на офіційному </w:t>
            </w:r>
            <w:proofErr w:type="spellStart"/>
            <w:r w:rsidRPr="00EE3E2E">
              <w:rPr>
                <w:b/>
                <w:sz w:val="22"/>
                <w:szCs w:val="22"/>
              </w:rPr>
              <w:t>вебсайті</w:t>
            </w:r>
            <w:proofErr w:type="spellEnd"/>
            <w:r w:rsidRPr="00EE3E2E">
              <w:rPr>
                <w:b/>
                <w:sz w:val="22"/>
                <w:szCs w:val="22"/>
              </w:rPr>
              <w:t xml:space="preserve"> Державної служби статистики України).</w:t>
            </w:r>
          </w:p>
          <w:p w:rsidR="007E7415" w:rsidRPr="00EE3E2E" w:rsidRDefault="00EE3E2E" w:rsidP="00EE3E2E">
            <w:pPr>
              <w:ind w:firstLine="306"/>
              <w:jc w:val="both"/>
              <w:rPr>
                <w:rFonts w:eastAsia="Calibri"/>
                <w:sz w:val="22"/>
                <w:szCs w:val="22"/>
                <w:shd w:val="clear" w:color="auto" w:fill="FFFFFF"/>
                <w:lang w:eastAsia="en-US"/>
              </w:rPr>
            </w:pPr>
            <w:r w:rsidRPr="00EE3E2E">
              <w:rPr>
                <w:b/>
                <w:sz w:val="22"/>
                <w:szCs w:val="22"/>
              </w:rPr>
              <w:t>В іншому випадку така сума підлягає вилученню зі структури тарифів ліцензіата.</w:t>
            </w:r>
          </w:p>
          <w:p w:rsidR="007E7415" w:rsidRPr="00EE3E2E" w:rsidRDefault="007E7415" w:rsidP="007E7415">
            <w:pPr>
              <w:jc w:val="both"/>
              <w:rPr>
                <w:sz w:val="22"/>
                <w:szCs w:val="22"/>
                <w:shd w:val="clear" w:color="auto" w:fill="FFFFFF"/>
              </w:rPr>
            </w:pPr>
          </w:p>
        </w:tc>
        <w:tc>
          <w:tcPr>
            <w:tcW w:w="5812" w:type="dxa"/>
            <w:shd w:val="clear" w:color="auto" w:fill="auto"/>
          </w:tcPr>
          <w:p w:rsidR="007E7415" w:rsidRPr="00EE3E2E" w:rsidRDefault="007E7415" w:rsidP="007E7415">
            <w:pPr>
              <w:jc w:val="both"/>
              <w:rPr>
                <w:i/>
                <w:sz w:val="22"/>
                <w:szCs w:val="22"/>
              </w:rPr>
            </w:pPr>
            <w:r w:rsidRPr="00EE3E2E">
              <w:rPr>
                <w:i/>
                <w:sz w:val="22"/>
                <w:szCs w:val="22"/>
              </w:rPr>
              <w:lastRenderedPageBreak/>
              <w:t>ГС «Розумні електромережі України»</w:t>
            </w:r>
          </w:p>
          <w:p w:rsidR="007E7415" w:rsidRPr="00EE3E2E" w:rsidRDefault="007E7415" w:rsidP="007E7415">
            <w:pPr>
              <w:jc w:val="both"/>
              <w:rPr>
                <w:i/>
                <w:sz w:val="22"/>
                <w:szCs w:val="22"/>
              </w:rPr>
            </w:pPr>
            <w:r w:rsidRPr="00EE3E2E">
              <w:rPr>
                <w:i/>
                <w:sz w:val="22"/>
                <w:szCs w:val="22"/>
              </w:rPr>
              <w:t>ДТЕК «Одеські електромережі»</w:t>
            </w:r>
          </w:p>
          <w:p w:rsidR="007E7415" w:rsidRPr="00EE3E2E" w:rsidRDefault="007E7415" w:rsidP="007E7415">
            <w:pPr>
              <w:jc w:val="both"/>
              <w:rPr>
                <w:i/>
                <w:sz w:val="22"/>
                <w:szCs w:val="22"/>
              </w:rPr>
            </w:pPr>
            <w:r w:rsidRPr="00EE3E2E">
              <w:rPr>
                <w:i/>
                <w:sz w:val="22"/>
                <w:szCs w:val="22"/>
              </w:rPr>
              <w:t>ДТЕК «Дніпровські електромережі»</w:t>
            </w:r>
          </w:p>
          <w:p w:rsidR="007E7415" w:rsidRPr="00EE3E2E" w:rsidRDefault="007E7415" w:rsidP="007E7415">
            <w:pPr>
              <w:jc w:val="both"/>
              <w:rPr>
                <w:i/>
                <w:sz w:val="22"/>
                <w:szCs w:val="22"/>
              </w:rPr>
            </w:pPr>
          </w:p>
          <w:p w:rsidR="007E7415" w:rsidRPr="00EE3E2E" w:rsidRDefault="007E7415" w:rsidP="007E7415">
            <w:pPr>
              <w:jc w:val="both"/>
              <w:rPr>
                <w:sz w:val="22"/>
                <w:szCs w:val="22"/>
              </w:rPr>
            </w:pPr>
            <w:r w:rsidRPr="00EE3E2E">
              <w:rPr>
                <w:sz w:val="22"/>
                <w:szCs w:val="22"/>
              </w:rPr>
              <w:t>Потребує обговорення.</w:t>
            </w:r>
          </w:p>
          <w:p w:rsidR="007E7415" w:rsidRPr="00EE3E2E" w:rsidRDefault="007E7415" w:rsidP="007E7415">
            <w:pPr>
              <w:jc w:val="both"/>
              <w:rPr>
                <w:sz w:val="22"/>
                <w:szCs w:val="22"/>
              </w:rPr>
            </w:pPr>
          </w:p>
          <w:p w:rsidR="007E7415" w:rsidRPr="00EE3E2E" w:rsidRDefault="007E7415" w:rsidP="007E7415">
            <w:pPr>
              <w:jc w:val="both"/>
              <w:rPr>
                <w:i/>
                <w:sz w:val="22"/>
                <w:szCs w:val="22"/>
              </w:rPr>
            </w:pPr>
            <w:r w:rsidRPr="00EE3E2E">
              <w:rPr>
                <w:i/>
                <w:sz w:val="22"/>
                <w:szCs w:val="22"/>
              </w:rPr>
              <w:t>ОБГРУНТУВАННЯ:</w:t>
            </w:r>
          </w:p>
          <w:p w:rsidR="007E7415" w:rsidRPr="00EE3E2E" w:rsidRDefault="007E7415" w:rsidP="007E7415">
            <w:pPr>
              <w:jc w:val="both"/>
              <w:rPr>
                <w:sz w:val="22"/>
                <w:szCs w:val="22"/>
              </w:rPr>
            </w:pPr>
          </w:p>
          <w:p w:rsidR="007E7415" w:rsidRPr="00EE3E2E" w:rsidRDefault="007E7415" w:rsidP="007E7415">
            <w:pPr>
              <w:ind w:firstLine="308"/>
              <w:jc w:val="both"/>
              <w:rPr>
                <w:rFonts w:eastAsia="Calibri"/>
                <w:sz w:val="22"/>
                <w:szCs w:val="22"/>
                <w:shd w:val="clear" w:color="auto" w:fill="FFFFFF"/>
                <w:lang w:eastAsia="en-US"/>
              </w:rPr>
            </w:pPr>
            <w:r w:rsidRPr="00EE3E2E">
              <w:rPr>
                <w:rFonts w:eastAsia="Calibri"/>
                <w:sz w:val="22"/>
                <w:szCs w:val="22"/>
                <w:shd w:val="clear" w:color="auto" w:fill="FFFFFF"/>
                <w:lang w:eastAsia="en-US"/>
              </w:rPr>
              <w:t xml:space="preserve">Наразі, під час дії воєнного стану, пунктом 10 Методики зупинена дії норми стосовно необхідності коригування визначеної за результатами перевірки підсумкової суми надлишково отриманого або недоотриманого доходу на індекс споживчих цін. </w:t>
            </w:r>
          </w:p>
          <w:p w:rsidR="007E7415" w:rsidRPr="00EE3E2E" w:rsidRDefault="007E7415" w:rsidP="007E7415">
            <w:pPr>
              <w:jc w:val="both"/>
              <w:rPr>
                <w:sz w:val="22"/>
                <w:szCs w:val="22"/>
              </w:rPr>
            </w:pPr>
            <w:r w:rsidRPr="00EE3E2E">
              <w:rPr>
                <w:rFonts w:eastAsia="Calibri"/>
                <w:sz w:val="22"/>
                <w:szCs w:val="22"/>
                <w:shd w:val="clear" w:color="auto" w:fill="FFFFFF"/>
                <w:lang w:eastAsia="en-US"/>
              </w:rPr>
              <w:t>Враховуючи пропозицію НКРЕКП, пропонуємо запровадити рівнозначний підхід та не подовжувати дію норми, визначеної пунктом 10 на результати перевірки, починаючи з 2026 року.</w:t>
            </w:r>
          </w:p>
          <w:p w:rsidR="007E7415" w:rsidRPr="00EE3E2E" w:rsidRDefault="007E7415" w:rsidP="007E7415">
            <w:pPr>
              <w:jc w:val="both"/>
              <w:rPr>
                <w:i/>
                <w:sz w:val="22"/>
                <w:szCs w:val="22"/>
              </w:rPr>
            </w:pPr>
          </w:p>
          <w:p w:rsidR="00D46A1F" w:rsidRPr="00EE3E2E" w:rsidRDefault="00D46A1F" w:rsidP="007E7415">
            <w:pPr>
              <w:jc w:val="both"/>
              <w:rPr>
                <w:i/>
                <w:sz w:val="22"/>
                <w:szCs w:val="22"/>
              </w:rPr>
            </w:pPr>
          </w:p>
          <w:p w:rsidR="00CA165F" w:rsidRPr="00EE3E2E" w:rsidRDefault="00CA165F" w:rsidP="006E199A">
            <w:pPr>
              <w:jc w:val="both"/>
              <w:rPr>
                <w:i/>
                <w:sz w:val="22"/>
                <w:szCs w:val="22"/>
              </w:rPr>
            </w:pPr>
          </w:p>
        </w:tc>
        <w:tc>
          <w:tcPr>
            <w:tcW w:w="3546" w:type="dxa"/>
            <w:shd w:val="clear" w:color="auto" w:fill="auto"/>
          </w:tcPr>
          <w:p w:rsidR="00242882" w:rsidRPr="00EE3E2E" w:rsidRDefault="00242882" w:rsidP="00EE3E2E">
            <w:pPr>
              <w:rPr>
                <w:b/>
                <w:i/>
                <w:sz w:val="22"/>
                <w:szCs w:val="22"/>
                <w:lang w:eastAsia="uk-UA"/>
              </w:rPr>
            </w:pPr>
            <w:r w:rsidRPr="00EE3E2E">
              <w:rPr>
                <w:b/>
                <w:i/>
                <w:sz w:val="22"/>
                <w:szCs w:val="22"/>
              </w:rPr>
              <w:t xml:space="preserve">Пропонується </w:t>
            </w:r>
            <w:r w:rsidR="00EE3E2E" w:rsidRPr="00EE3E2E">
              <w:rPr>
                <w:b/>
                <w:i/>
                <w:sz w:val="22"/>
                <w:szCs w:val="22"/>
              </w:rPr>
              <w:t>д</w:t>
            </w:r>
            <w:r w:rsidRPr="00EE3E2E">
              <w:rPr>
                <w:b/>
                <w:i/>
                <w:sz w:val="22"/>
                <w:szCs w:val="22"/>
                <w:lang w:eastAsia="uk-UA"/>
              </w:rPr>
              <w:t>оповнити цей Додаток новим пунктом 15 такого змісту:</w:t>
            </w:r>
          </w:p>
          <w:p w:rsidR="00242882" w:rsidRPr="00EE3E2E" w:rsidRDefault="00242882" w:rsidP="00242882">
            <w:pPr>
              <w:shd w:val="clear" w:color="auto" w:fill="FFFFFF"/>
              <w:jc w:val="both"/>
              <w:rPr>
                <w:b/>
                <w:sz w:val="22"/>
                <w:szCs w:val="22"/>
                <w:lang w:eastAsia="uk-UA"/>
              </w:rPr>
            </w:pPr>
          </w:p>
          <w:p w:rsidR="00242882" w:rsidRPr="00EE3E2E" w:rsidRDefault="00242882" w:rsidP="00242882">
            <w:pPr>
              <w:shd w:val="clear" w:color="auto" w:fill="FFFFFF"/>
              <w:jc w:val="both"/>
              <w:rPr>
                <w:sz w:val="22"/>
                <w:szCs w:val="22"/>
                <w:lang w:eastAsia="uk-UA"/>
              </w:rPr>
            </w:pPr>
            <w:r w:rsidRPr="00EE3E2E">
              <w:rPr>
                <w:sz w:val="22"/>
                <w:szCs w:val="22"/>
                <w:lang w:eastAsia="uk-UA"/>
              </w:rPr>
              <w:t>«</w:t>
            </w:r>
            <w:r w:rsidR="00EE3E2E" w:rsidRPr="00EE3E2E">
              <w:rPr>
                <w:sz w:val="22"/>
                <w:szCs w:val="22"/>
                <w:lang w:eastAsia="uk-UA"/>
              </w:rPr>
              <w:t xml:space="preserve">15. </w:t>
            </w:r>
            <w:r w:rsidRPr="00EE3E2E">
              <w:rPr>
                <w:sz w:val="22"/>
                <w:szCs w:val="22"/>
                <w:lang w:eastAsia="uk-UA"/>
              </w:rPr>
              <w:t>У разі обґрунтованого звернення ліцензіата обсяг коштів, визначений відповідно до пунктів 12-14 цієї Методики, може бути направлений:</w:t>
            </w:r>
          </w:p>
          <w:p w:rsidR="00242882" w:rsidRPr="00EE3E2E" w:rsidRDefault="00242882" w:rsidP="00242882">
            <w:pPr>
              <w:shd w:val="clear" w:color="auto" w:fill="FFFFFF"/>
              <w:jc w:val="both"/>
              <w:rPr>
                <w:sz w:val="22"/>
                <w:szCs w:val="22"/>
                <w:lang w:eastAsia="uk-UA"/>
              </w:rPr>
            </w:pPr>
          </w:p>
          <w:p w:rsidR="00242882" w:rsidRPr="00EE3E2E" w:rsidRDefault="00242882" w:rsidP="00242882">
            <w:pPr>
              <w:shd w:val="clear" w:color="auto" w:fill="FFFFFF"/>
              <w:jc w:val="both"/>
              <w:rPr>
                <w:sz w:val="22"/>
                <w:szCs w:val="22"/>
                <w:lang w:eastAsia="uk-UA"/>
              </w:rPr>
            </w:pPr>
            <w:r w:rsidRPr="00EE3E2E">
              <w:rPr>
                <w:sz w:val="22"/>
                <w:szCs w:val="22"/>
                <w:lang w:eastAsia="uk-UA"/>
              </w:rPr>
              <w:t>на виконання заходів з відновлення об’єктів електричних мереж або їх складових та заходів із улаштування інженерного захисту критичних об’єктів/елементів систем розподілу відповідно до постанови № 386 у році, що є наступним за звітним роком;</w:t>
            </w:r>
          </w:p>
          <w:p w:rsidR="00242882" w:rsidRPr="00EE3E2E" w:rsidRDefault="00242882" w:rsidP="00242882">
            <w:pPr>
              <w:shd w:val="clear" w:color="auto" w:fill="FFFFFF"/>
              <w:jc w:val="both"/>
              <w:rPr>
                <w:sz w:val="22"/>
                <w:szCs w:val="22"/>
                <w:lang w:eastAsia="uk-UA"/>
              </w:rPr>
            </w:pPr>
          </w:p>
          <w:p w:rsidR="00242882" w:rsidRPr="00EE3E2E" w:rsidRDefault="00242882" w:rsidP="00242882">
            <w:pPr>
              <w:shd w:val="clear" w:color="auto" w:fill="FFFFFF"/>
              <w:jc w:val="both"/>
              <w:rPr>
                <w:color w:val="FF0000"/>
                <w:sz w:val="22"/>
                <w:szCs w:val="22"/>
                <w:lang w:eastAsia="uk-UA"/>
              </w:rPr>
            </w:pPr>
            <w:r w:rsidRPr="00EE3E2E">
              <w:rPr>
                <w:sz w:val="22"/>
                <w:szCs w:val="22"/>
                <w:lang w:eastAsia="uk-UA"/>
              </w:rPr>
              <w:t xml:space="preserve">на збільшення обсягу фінансування інвестиційної програми на другий рік, що є наступним за звітним роком, з урахуванням коригування </w:t>
            </w:r>
            <w:r w:rsidRPr="00EE3E2E">
              <w:rPr>
                <w:sz w:val="22"/>
                <w:szCs w:val="22"/>
                <w:lang w:eastAsia="uk-UA"/>
              </w:rPr>
              <w:lastRenderedPageBreak/>
              <w:t xml:space="preserve">на індекс споживчих цін на товари та послуги з грудня звітного року до грудня попереднього року (використовується інформація, оприлюднена на офіційному </w:t>
            </w:r>
            <w:proofErr w:type="spellStart"/>
            <w:r w:rsidRPr="00EE3E2E">
              <w:rPr>
                <w:sz w:val="22"/>
                <w:szCs w:val="22"/>
                <w:lang w:eastAsia="uk-UA"/>
              </w:rPr>
              <w:t>вебсайті</w:t>
            </w:r>
            <w:proofErr w:type="spellEnd"/>
            <w:r w:rsidRPr="00EE3E2E">
              <w:rPr>
                <w:sz w:val="22"/>
                <w:szCs w:val="22"/>
                <w:lang w:eastAsia="uk-UA"/>
              </w:rPr>
              <w:t xml:space="preserve"> Державної служби статистики України); </w:t>
            </w:r>
          </w:p>
          <w:p w:rsidR="00242882" w:rsidRPr="00EE3E2E" w:rsidRDefault="00242882" w:rsidP="00242882">
            <w:pPr>
              <w:shd w:val="clear" w:color="auto" w:fill="FFFFFF"/>
              <w:jc w:val="both"/>
              <w:rPr>
                <w:sz w:val="22"/>
                <w:szCs w:val="22"/>
                <w:lang w:eastAsia="uk-UA"/>
              </w:rPr>
            </w:pPr>
          </w:p>
          <w:p w:rsidR="00242882" w:rsidRPr="00EE3E2E" w:rsidRDefault="00242882" w:rsidP="00242882">
            <w:pPr>
              <w:jc w:val="both"/>
              <w:rPr>
                <w:sz w:val="22"/>
                <w:szCs w:val="22"/>
                <w:lang w:eastAsia="uk-UA"/>
              </w:rPr>
            </w:pPr>
            <w:r w:rsidRPr="00EE3E2E">
              <w:rPr>
                <w:sz w:val="22"/>
                <w:szCs w:val="22"/>
                <w:lang w:eastAsia="uk-UA"/>
              </w:rPr>
              <w:t xml:space="preserve">на збільшення обсягу фінансування інвестиційної програми на звітний рік на очікувану суму. </w:t>
            </w:r>
          </w:p>
          <w:p w:rsidR="00242882" w:rsidRPr="00EE3E2E" w:rsidRDefault="00242882" w:rsidP="00242882">
            <w:pPr>
              <w:shd w:val="clear" w:color="auto" w:fill="FFFFFF"/>
              <w:jc w:val="both"/>
              <w:rPr>
                <w:sz w:val="22"/>
                <w:szCs w:val="22"/>
                <w:lang w:eastAsia="uk-UA"/>
              </w:rPr>
            </w:pPr>
          </w:p>
          <w:p w:rsidR="007E7415" w:rsidRPr="00EE3E2E" w:rsidRDefault="00242882" w:rsidP="00242882">
            <w:pPr>
              <w:rPr>
                <w:b/>
                <w:i/>
                <w:sz w:val="22"/>
                <w:szCs w:val="22"/>
              </w:rPr>
            </w:pPr>
            <w:r w:rsidRPr="00EE3E2E">
              <w:rPr>
                <w:sz w:val="22"/>
                <w:szCs w:val="22"/>
                <w:lang w:eastAsia="uk-UA"/>
              </w:rPr>
              <w:t>В іншому випадку така сума підлягає вилученню зі структури тарифів ліцензіата.»</w:t>
            </w:r>
          </w:p>
        </w:tc>
      </w:tr>
      <w:tr w:rsidR="00A90C56" w:rsidRPr="00EE3E2E" w:rsidTr="000D61FB">
        <w:trPr>
          <w:trHeight w:val="595"/>
        </w:trPr>
        <w:tc>
          <w:tcPr>
            <w:tcW w:w="15168" w:type="dxa"/>
            <w:gridSpan w:val="3"/>
            <w:shd w:val="clear" w:color="auto" w:fill="BDD6EE" w:themeFill="accent1" w:themeFillTint="66"/>
          </w:tcPr>
          <w:p w:rsidR="00A90C56" w:rsidRPr="00EE3E2E" w:rsidRDefault="00A90C56" w:rsidP="007E7415">
            <w:pPr>
              <w:jc w:val="center"/>
              <w:rPr>
                <w:b/>
                <w:sz w:val="22"/>
                <w:szCs w:val="22"/>
              </w:rPr>
            </w:pPr>
            <w:r w:rsidRPr="00EE3E2E">
              <w:rPr>
                <w:b/>
                <w:sz w:val="22"/>
                <w:szCs w:val="22"/>
              </w:rPr>
              <w:lastRenderedPageBreak/>
              <w:t xml:space="preserve">Додаток </w:t>
            </w:r>
            <w:r w:rsidR="00DC4321" w:rsidRPr="00EE3E2E">
              <w:rPr>
                <w:b/>
                <w:sz w:val="22"/>
                <w:szCs w:val="22"/>
              </w:rPr>
              <w:t>29</w:t>
            </w:r>
          </w:p>
          <w:p w:rsidR="00A90C56" w:rsidRPr="00EE3E2E" w:rsidRDefault="00DC4321" w:rsidP="007E7415">
            <w:pPr>
              <w:jc w:val="center"/>
              <w:rPr>
                <w:b/>
                <w:sz w:val="22"/>
                <w:szCs w:val="22"/>
              </w:rPr>
            </w:pPr>
            <w:r w:rsidRPr="00EE3E2E">
              <w:rPr>
                <w:b/>
                <w:sz w:val="22"/>
                <w:szCs w:val="22"/>
              </w:rPr>
              <w:t>Методика визначення сум надлишково отриманого або недоотриманого доходу від здійснення ліцензованої діяльності з розподілу електричної енергії для операторів систем розподілу, які перейшли на стимулююче регулювання</w:t>
            </w:r>
          </w:p>
        </w:tc>
      </w:tr>
      <w:tr w:rsidR="00EE3E2E" w:rsidRPr="00EE3E2E" w:rsidTr="000D61FB">
        <w:trPr>
          <w:trHeight w:val="595"/>
        </w:trPr>
        <w:tc>
          <w:tcPr>
            <w:tcW w:w="5810" w:type="dxa"/>
            <w:shd w:val="clear" w:color="auto" w:fill="auto"/>
          </w:tcPr>
          <w:p w:rsidR="00EE3E2E" w:rsidRPr="00EE3E2E" w:rsidRDefault="00EE3E2E" w:rsidP="00EE3E2E">
            <w:pPr>
              <w:ind w:firstLine="308"/>
              <w:jc w:val="both"/>
              <w:rPr>
                <w:rFonts w:eastAsia="Calibri"/>
                <w:bCs/>
                <w:sz w:val="22"/>
                <w:szCs w:val="22"/>
                <w:lang w:eastAsia="uk-UA"/>
              </w:rPr>
            </w:pPr>
            <w:r w:rsidRPr="00EE3E2E">
              <w:rPr>
                <w:rFonts w:eastAsia="Calibri"/>
                <w:sz w:val="22"/>
                <w:szCs w:val="22"/>
                <w:shd w:val="clear" w:color="auto" w:fill="FFFFFF"/>
                <w:lang w:eastAsia="en-US"/>
              </w:rPr>
              <w:t>ЗМІНИ НЕ ПРОПОНУВАЛИСЬ</w:t>
            </w:r>
          </w:p>
        </w:tc>
        <w:tc>
          <w:tcPr>
            <w:tcW w:w="5812" w:type="dxa"/>
            <w:shd w:val="clear" w:color="auto" w:fill="auto"/>
          </w:tcPr>
          <w:p w:rsidR="00EE3E2E" w:rsidRPr="00EE3E2E" w:rsidRDefault="00EE3E2E" w:rsidP="00EE3E2E">
            <w:pPr>
              <w:jc w:val="both"/>
              <w:rPr>
                <w:i/>
                <w:sz w:val="22"/>
                <w:szCs w:val="22"/>
              </w:rPr>
            </w:pPr>
            <w:r w:rsidRPr="00EE3E2E">
              <w:rPr>
                <w:i/>
                <w:sz w:val="22"/>
                <w:szCs w:val="22"/>
              </w:rPr>
              <w:t>ГС «Розумні електромережі України»</w:t>
            </w:r>
          </w:p>
          <w:p w:rsidR="00EE3E2E" w:rsidRPr="00EE3E2E" w:rsidRDefault="00EE3E2E" w:rsidP="00EE3E2E">
            <w:pPr>
              <w:jc w:val="both"/>
              <w:rPr>
                <w:i/>
                <w:sz w:val="22"/>
                <w:szCs w:val="22"/>
              </w:rPr>
            </w:pPr>
            <w:r w:rsidRPr="00EE3E2E">
              <w:rPr>
                <w:i/>
                <w:sz w:val="22"/>
                <w:szCs w:val="22"/>
              </w:rPr>
              <w:t>ДТЕК «Одеські електромережі»</w:t>
            </w:r>
          </w:p>
          <w:p w:rsidR="00EE3E2E" w:rsidRPr="00EE3E2E" w:rsidRDefault="00EE3E2E" w:rsidP="00EE3E2E">
            <w:pPr>
              <w:jc w:val="both"/>
              <w:rPr>
                <w:i/>
                <w:sz w:val="22"/>
                <w:szCs w:val="22"/>
              </w:rPr>
            </w:pPr>
            <w:r w:rsidRPr="00EE3E2E">
              <w:rPr>
                <w:i/>
                <w:sz w:val="22"/>
                <w:szCs w:val="22"/>
              </w:rPr>
              <w:t>ДТЕК «Дніпровські електромережі»</w:t>
            </w:r>
          </w:p>
          <w:p w:rsidR="00EE3E2E" w:rsidRPr="00EE3E2E" w:rsidRDefault="00EE3E2E" w:rsidP="00EE3E2E">
            <w:pPr>
              <w:jc w:val="both"/>
              <w:rPr>
                <w:sz w:val="22"/>
                <w:szCs w:val="22"/>
              </w:rPr>
            </w:pPr>
          </w:p>
          <w:p w:rsidR="00EE3E2E" w:rsidRPr="00EE3E2E" w:rsidRDefault="00EE3E2E" w:rsidP="00EE3E2E">
            <w:pPr>
              <w:ind w:firstLine="308"/>
              <w:jc w:val="both"/>
              <w:rPr>
                <w:rFonts w:eastAsia="Calibri"/>
                <w:sz w:val="22"/>
                <w:szCs w:val="22"/>
                <w:shd w:val="clear" w:color="auto" w:fill="FFFFFF"/>
                <w:lang w:eastAsia="en-US"/>
              </w:rPr>
            </w:pPr>
            <w:r w:rsidRPr="00EE3E2E">
              <w:rPr>
                <w:rFonts w:eastAsia="Calibri"/>
                <w:sz w:val="22"/>
                <w:szCs w:val="22"/>
                <w:shd w:val="clear" w:color="auto" w:fill="FFFFFF"/>
                <w:lang w:eastAsia="en-US"/>
              </w:rPr>
              <w:t xml:space="preserve">9. Від'ємна сума, визначена згідно з пунктом 7 цієї Методики, коригується на індекс споживчих цін на товари та послуги з грудня звітного року до грудня попереднього </w:t>
            </w:r>
            <w:r w:rsidRPr="00EE3E2E">
              <w:rPr>
                <w:rFonts w:eastAsia="Calibri"/>
                <w:sz w:val="22"/>
                <w:szCs w:val="22"/>
                <w:shd w:val="clear" w:color="auto" w:fill="FFFFFF"/>
                <w:lang w:eastAsia="en-US"/>
              </w:rPr>
              <w:lastRenderedPageBreak/>
              <w:t xml:space="preserve">року (використовується інформація, оприлюднена на офіційному </w:t>
            </w:r>
            <w:proofErr w:type="spellStart"/>
            <w:r w:rsidRPr="00EE3E2E">
              <w:rPr>
                <w:rFonts w:eastAsia="Calibri"/>
                <w:sz w:val="22"/>
                <w:szCs w:val="22"/>
                <w:shd w:val="clear" w:color="auto" w:fill="FFFFFF"/>
                <w:lang w:eastAsia="en-US"/>
              </w:rPr>
              <w:t>вебсайті</w:t>
            </w:r>
            <w:proofErr w:type="spellEnd"/>
            <w:r w:rsidRPr="00EE3E2E">
              <w:rPr>
                <w:rFonts w:eastAsia="Calibri"/>
                <w:sz w:val="22"/>
                <w:szCs w:val="22"/>
                <w:shd w:val="clear" w:color="auto" w:fill="FFFFFF"/>
                <w:lang w:eastAsia="en-US"/>
              </w:rPr>
              <w:t xml:space="preserve"> Державної служби статистики України) та підлягає включенню до структури тарифів ліцензіата.</w:t>
            </w:r>
          </w:p>
          <w:p w:rsidR="00EE3E2E" w:rsidRPr="00EE3E2E" w:rsidRDefault="00EE3E2E" w:rsidP="00EE3E2E">
            <w:pPr>
              <w:jc w:val="both"/>
              <w:rPr>
                <w:i/>
                <w:sz w:val="22"/>
                <w:szCs w:val="22"/>
              </w:rPr>
            </w:pPr>
            <w:r w:rsidRPr="00EE3E2E">
              <w:rPr>
                <w:i/>
                <w:sz w:val="22"/>
                <w:szCs w:val="22"/>
              </w:rPr>
              <w:t>ОБГРУНТУВАННЯ:</w:t>
            </w:r>
          </w:p>
          <w:p w:rsidR="00EE3E2E" w:rsidRPr="00EE3E2E" w:rsidRDefault="00EE3E2E" w:rsidP="00EE3E2E">
            <w:pPr>
              <w:jc w:val="both"/>
              <w:rPr>
                <w:sz w:val="22"/>
                <w:szCs w:val="22"/>
              </w:rPr>
            </w:pPr>
          </w:p>
          <w:p w:rsidR="00EE3E2E" w:rsidRPr="00EE3E2E" w:rsidRDefault="00EE3E2E" w:rsidP="00EE3E2E">
            <w:pPr>
              <w:ind w:firstLine="308"/>
              <w:jc w:val="both"/>
              <w:rPr>
                <w:rFonts w:eastAsia="Calibri"/>
                <w:sz w:val="22"/>
                <w:szCs w:val="22"/>
                <w:shd w:val="clear" w:color="auto" w:fill="FFFFFF"/>
                <w:lang w:eastAsia="en-US"/>
              </w:rPr>
            </w:pPr>
            <w:r w:rsidRPr="00EE3E2E">
              <w:rPr>
                <w:rFonts w:eastAsia="Calibri"/>
                <w:sz w:val="22"/>
                <w:szCs w:val="22"/>
                <w:shd w:val="clear" w:color="auto" w:fill="FFFFFF"/>
                <w:lang w:eastAsia="en-US"/>
              </w:rPr>
              <w:t>Пропонується доповнення.</w:t>
            </w:r>
          </w:p>
          <w:p w:rsidR="00EE3E2E" w:rsidRPr="00EE3E2E" w:rsidRDefault="00EE3E2E" w:rsidP="00EE3E2E">
            <w:pPr>
              <w:jc w:val="both"/>
              <w:rPr>
                <w:rFonts w:eastAsia="Calibri"/>
                <w:sz w:val="22"/>
                <w:szCs w:val="22"/>
                <w:shd w:val="clear" w:color="auto" w:fill="FFFFFF"/>
                <w:lang w:eastAsia="en-US"/>
              </w:rPr>
            </w:pPr>
            <w:r w:rsidRPr="00EE3E2E">
              <w:rPr>
                <w:rFonts w:eastAsia="Calibri"/>
                <w:sz w:val="22"/>
                <w:szCs w:val="22"/>
                <w:shd w:val="clear" w:color="auto" w:fill="FFFFFF"/>
                <w:lang w:eastAsia="en-US"/>
              </w:rPr>
              <w:t>У зв’язку з пропозицією НКРЕКП застосувати до визначених за результатами перевірки  додаткових джерел фінансування ІП коригування на індекс споживчих цін, пропонується врахувати рівнозначний підхід до визначення сум надлишково отриманого або недоотриманого доходу (починаючи з перевірок за 2026 рік), а саме, враховувати їх коригування на індекс споживчих цін.</w:t>
            </w:r>
          </w:p>
          <w:p w:rsidR="00EE3E2E" w:rsidRPr="00EE3E2E" w:rsidRDefault="00EE3E2E" w:rsidP="00EE3E2E">
            <w:pPr>
              <w:jc w:val="both"/>
              <w:rPr>
                <w:sz w:val="22"/>
                <w:szCs w:val="22"/>
              </w:rPr>
            </w:pPr>
          </w:p>
        </w:tc>
        <w:tc>
          <w:tcPr>
            <w:tcW w:w="3546" w:type="dxa"/>
            <w:shd w:val="clear" w:color="auto" w:fill="auto"/>
          </w:tcPr>
          <w:p w:rsidR="00EE3E2E" w:rsidRPr="00EE3E2E" w:rsidRDefault="00EE3E2E" w:rsidP="00EE3E2E">
            <w:pPr>
              <w:rPr>
                <w:b/>
                <w:sz w:val="22"/>
                <w:szCs w:val="22"/>
              </w:rPr>
            </w:pPr>
            <w:r w:rsidRPr="00EE3E2E">
              <w:rPr>
                <w:b/>
                <w:sz w:val="22"/>
                <w:szCs w:val="22"/>
              </w:rPr>
              <w:lastRenderedPageBreak/>
              <w:t>Для обговорення разом з пропозиціями до пункту 13</w:t>
            </w:r>
          </w:p>
        </w:tc>
      </w:tr>
      <w:tr w:rsidR="00EE3E2E" w:rsidRPr="00EE3E2E" w:rsidTr="000D61FB">
        <w:trPr>
          <w:trHeight w:val="595"/>
        </w:trPr>
        <w:tc>
          <w:tcPr>
            <w:tcW w:w="5810" w:type="dxa"/>
            <w:shd w:val="clear" w:color="auto" w:fill="auto"/>
          </w:tcPr>
          <w:p w:rsidR="00EE3E2E" w:rsidRPr="00EE3E2E" w:rsidRDefault="00EE3E2E" w:rsidP="00EE3E2E">
            <w:pPr>
              <w:ind w:firstLine="308"/>
              <w:jc w:val="both"/>
              <w:rPr>
                <w:rFonts w:eastAsia="Calibri"/>
                <w:bCs/>
                <w:sz w:val="22"/>
                <w:szCs w:val="22"/>
                <w:lang w:eastAsia="uk-UA"/>
              </w:rPr>
            </w:pPr>
            <w:r w:rsidRPr="00EE3E2E">
              <w:rPr>
                <w:rFonts w:eastAsia="Calibri"/>
                <w:sz w:val="22"/>
                <w:szCs w:val="22"/>
                <w:shd w:val="clear" w:color="auto" w:fill="FFFFFF"/>
                <w:lang w:eastAsia="en-US"/>
              </w:rPr>
              <w:t>ЗМІНИ НЕ ПРОПОНУВАЛИСЬ</w:t>
            </w:r>
          </w:p>
        </w:tc>
        <w:tc>
          <w:tcPr>
            <w:tcW w:w="5812" w:type="dxa"/>
            <w:shd w:val="clear" w:color="auto" w:fill="auto"/>
          </w:tcPr>
          <w:p w:rsidR="00EE3E2E" w:rsidRPr="00EE3E2E" w:rsidRDefault="00EE3E2E" w:rsidP="00EE3E2E">
            <w:pPr>
              <w:jc w:val="both"/>
              <w:rPr>
                <w:i/>
                <w:sz w:val="22"/>
                <w:szCs w:val="22"/>
              </w:rPr>
            </w:pPr>
            <w:r w:rsidRPr="00EE3E2E">
              <w:rPr>
                <w:i/>
                <w:sz w:val="22"/>
                <w:szCs w:val="22"/>
              </w:rPr>
              <w:t>ГС «Розумні електромережі України»</w:t>
            </w:r>
          </w:p>
          <w:p w:rsidR="00EE3E2E" w:rsidRPr="00EE3E2E" w:rsidRDefault="00EE3E2E" w:rsidP="00EE3E2E">
            <w:pPr>
              <w:jc w:val="both"/>
              <w:rPr>
                <w:i/>
                <w:sz w:val="22"/>
                <w:szCs w:val="22"/>
              </w:rPr>
            </w:pPr>
            <w:r w:rsidRPr="00EE3E2E">
              <w:rPr>
                <w:i/>
                <w:sz w:val="22"/>
                <w:szCs w:val="22"/>
              </w:rPr>
              <w:t>ДТЕК «Одеські електромережі»</w:t>
            </w:r>
          </w:p>
          <w:p w:rsidR="00EE3E2E" w:rsidRPr="00EE3E2E" w:rsidRDefault="00EE3E2E" w:rsidP="00EE3E2E">
            <w:pPr>
              <w:jc w:val="both"/>
              <w:rPr>
                <w:i/>
                <w:sz w:val="22"/>
                <w:szCs w:val="22"/>
              </w:rPr>
            </w:pPr>
            <w:r w:rsidRPr="00EE3E2E">
              <w:rPr>
                <w:i/>
                <w:sz w:val="22"/>
                <w:szCs w:val="22"/>
              </w:rPr>
              <w:t>ДТЕК «Дніпровські електромережі»</w:t>
            </w:r>
          </w:p>
          <w:p w:rsidR="00EE3E2E" w:rsidRPr="00EE3E2E" w:rsidRDefault="00EE3E2E" w:rsidP="00EE3E2E">
            <w:pPr>
              <w:jc w:val="both"/>
              <w:rPr>
                <w:i/>
                <w:sz w:val="22"/>
                <w:szCs w:val="22"/>
              </w:rPr>
            </w:pPr>
          </w:p>
          <w:p w:rsidR="00EE3E2E" w:rsidRPr="00EE3E2E" w:rsidRDefault="00EE3E2E" w:rsidP="00EE3E2E">
            <w:pPr>
              <w:ind w:firstLine="308"/>
              <w:jc w:val="both"/>
              <w:rPr>
                <w:rFonts w:eastAsia="Calibri"/>
                <w:b/>
                <w:bCs/>
                <w:sz w:val="22"/>
                <w:szCs w:val="22"/>
                <w:shd w:val="clear" w:color="auto" w:fill="FFFFFF"/>
                <w:lang w:eastAsia="en-US"/>
              </w:rPr>
            </w:pPr>
            <w:r w:rsidRPr="00EE3E2E">
              <w:rPr>
                <w:rFonts w:eastAsia="Calibri"/>
                <w:sz w:val="22"/>
                <w:szCs w:val="22"/>
                <w:shd w:val="clear" w:color="auto" w:fill="FFFFFF"/>
                <w:lang w:eastAsia="en-US"/>
              </w:rPr>
              <w:t>10. При здійсненні заходів контролю за результатами діяльності з розподілу електричної енергії у 2022 - 2025 роках підсумкова сума надлишково отриманого або недоотриманого доходу від здійснення ліцензованої діяльності у звітному році, визначена згідно з пунктом 7 цього додатка, не коригується на індекс споживчих цін на товари та послуги.</w:t>
            </w:r>
          </w:p>
          <w:p w:rsidR="00EE3E2E" w:rsidRPr="00EE3E2E" w:rsidRDefault="00EE3E2E" w:rsidP="00EE3E2E">
            <w:pPr>
              <w:jc w:val="both"/>
              <w:rPr>
                <w:rFonts w:eastAsia="Calibri"/>
                <w:b/>
                <w:bCs/>
                <w:sz w:val="22"/>
                <w:szCs w:val="22"/>
                <w:shd w:val="clear" w:color="auto" w:fill="FFFFFF"/>
                <w:lang w:eastAsia="en-US"/>
              </w:rPr>
            </w:pPr>
            <w:r w:rsidRPr="00EE3E2E">
              <w:rPr>
                <w:rFonts w:eastAsia="Calibri"/>
                <w:b/>
                <w:bCs/>
                <w:sz w:val="22"/>
                <w:szCs w:val="22"/>
                <w:shd w:val="clear" w:color="auto" w:fill="FFFFFF"/>
                <w:lang w:eastAsia="en-US"/>
              </w:rPr>
              <w:t>Дія положення, визначеного п.10 цієї Методики,  не подовжується на заходи контролю за результатами діяльності з розподілу електричної енергії починаючи з 2026 року.</w:t>
            </w:r>
          </w:p>
          <w:p w:rsidR="00EE3E2E" w:rsidRPr="00EE3E2E" w:rsidRDefault="00EE3E2E" w:rsidP="00EE3E2E">
            <w:pPr>
              <w:jc w:val="both"/>
              <w:rPr>
                <w:sz w:val="22"/>
                <w:szCs w:val="22"/>
              </w:rPr>
            </w:pPr>
          </w:p>
          <w:p w:rsidR="00EE3E2E" w:rsidRPr="00EE3E2E" w:rsidRDefault="00EE3E2E" w:rsidP="00EE3E2E">
            <w:pPr>
              <w:jc w:val="both"/>
              <w:rPr>
                <w:i/>
                <w:sz w:val="22"/>
                <w:szCs w:val="22"/>
              </w:rPr>
            </w:pPr>
            <w:r w:rsidRPr="00EE3E2E">
              <w:rPr>
                <w:i/>
                <w:sz w:val="22"/>
                <w:szCs w:val="22"/>
              </w:rPr>
              <w:t>ОБГРУНТУВАННЯ:</w:t>
            </w:r>
          </w:p>
          <w:p w:rsidR="00EE3E2E" w:rsidRPr="00EE3E2E" w:rsidRDefault="00EE3E2E" w:rsidP="00EE3E2E">
            <w:pPr>
              <w:jc w:val="both"/>
              <w:rPr>
                <w:sz w:val="22"/>
                <w:szCs w:val="22"/>
              </w:rPr>
            </w:pPr>
          </w:p>
          <w:p w:rsidR="00EE3E2E" w:rsidRPr="00EE3E2E" w:rsidRDefault="00EE3E2E" w:rsidP="00EE3E2E">
            <w:pPr>
              <w:jc w:val="both"/>
              <w:rPr>
                <w:sz w:val="22"/>
                <w:szCs w:val="22"/>
              </w:rPr>
            </w:pPr>
            <w:r w:rsidRPr="00EE3E2E">
              <w:rPr>
                <w:sz w:val="22"/>
                <w:szCs w:val="22"/>
              </w:rPr>
              <w:t>Аналогічно пункту 9.</w:t>
            </w:r>
          </w:p>
          <w:p w:rsidR="00EE3E2E" w:rsidRPr="00EE3E2E" w:rsidRDefault="00EE3E2E" w:rsidP="00EE3E2E">
            <w:pPr>
              <w:jc w:val="both"/>
              <w:rPr>
                <w:i/>
                <w:sz w:val="22"/>
                <w:szCs w:val="22"/>
              </w:rPr>
            </w:pPr>
          </w:p>
        </w:tc>
        <w:tc>
          <w:tcPr>
            <w:tcW w:w="3546" w:type="dxa"/>
            <w:shd w:val="clear" w:color="auto" w:fill="auto"/>
          </w:tcPr>
          <w:p w:rsidR="00EE3E2E" w:rsidRPr="00EE3E2E" w:rsidRDefault="00EE3E2E" w:rsidP="00EE3E2E">
            <w:pPr>
              <w:rPr>
                <w:b/>
                <w:i/>
                <w:sz w:val="22"/>
                <w:szCs w:val="22"/>
              </w:rPr>
            </w:pPr>
            <w:r w:rsidRPr="00EE3E2E">
              <w:rPr>
                <w:b/>
                <w:sz w:val="22"/>
                <w:szCs w:val="22"/>
              </w:rPr>
              <w:t>Для обговорення разом з пропозиціями до пункту 13</w:t>
            </w:r>
          </w:p>
        </w:tc>
      </w:tr>
      <w:tr w:rsidR="00EE3E2E" w:rsidRPr="00EE3E2E" w:rsidTr="000D61FB">
        <w:trPr>
          <w:trHeight w:val="595"/>
        </w:trPr>
        <w:tc>
          <w:tcPr>
            <w:tcW w:w="5810" w:type="dxa"/>
            <w:shd w:val="clear" w:color="auto" w:fill="auto"/>
          </w:tcPr>
          <w:p w:rsidR="00EE3E2E" w:rsidRPr="00EE3E2E" w:rsidRDefault="00EE3E2E" w:rsidP="00EE3E2E">
            <w:pPr>
              <w:ind w:firstLine="306"/>
              <w:jc w:val="both"/>
              <w:rPr>
                <w:sz w:val="22"/>
                <w:szCs w:val="22"/>
              </w:rPr>
            </w:pPr>
          </w:p>
          <w:p w:rsidR="00EE3E2E" w:rsidRPr="00EE3E2E" w:rsidRDefault="00EE3E2E" w:rsidP="00EE3E2E">
            <w:pPr>
              <w:ind w:firstLine="306"/>
              <w:jc w:val="both"/>
              <w:rPr>
                <w:sz w:val="22"/>
                <w:szCs w:val="22"/>
              </w:rPr>
            </w:pPr>
          </w:p>
          <w:p w:rsidR="00EE3E2E" w:rsidRPr="00EE3E2E" w:rsidRDefault="00EE3E2E" w:rsidP="00EE3E2E">
            <w:pPr>
              <w:ind w:firstLine="306"/>
              <w:jc w:val="both"/>
              <w:rPr>
                <w:sz w:val="22"/>
                <w:szCs w:val="22"/>
              </w:rPr>
            </w:pPr>
          </w:p>
          <w:p w:rsidR="00EE3E2E" w:rsidRPr="00EE3E2E" w:rsidRDefault="00EE3E2E" w:rsidP="00EE3E2E">
            <w:pPr>
              <w:ind w:firstLine="306"/>
              <w:jc w:val="both"/>
              <w:rPr>
                <w:sz w:val="22"/>
                <w:szCs w:val="22"/>
              </w:rPr>
            </w:pPr>
            <w:r w:rsidRPr="00EE3E2E">
              <w:rPr>
                <w:sz w:val="22"/>
                <w:szCs w:val="22"/>
              </w:rPr>
              <w:lastRenderedPageBreak/>
              <w:t>13. Обсяг фінансування інвестиційної програми на рік, що є наступним за звітним роком, збільшується в такому порядку:</w:t>
            </w:r>
          </w:p>
          <w:p w:rsidR="00EE3E2E" w:rsidRPr="00EE3E2E" w:rsidRDefault="00EE3E2E" w:rsidP="00EE3E2E">
            <w:pPr>
              <w:ind w:firstLine="306"/>
              <w:jc w:val="both"/>
              <w:rPr>
                <w:sz w:val="22"/>
                <w:szCs w:val="22"/>
              </w:rPr>
            </w:pPr>
            <w:r w:rsidRPr="00EE3E2E">
              <w:rPr>
                <w:sz w:val="22"/>
                <w:szCs w:val="22"/>
              </w:rPr>
              <w:t>на 50 % суми додатково отриманого доходу, отриманого у звітному році від надання в оренду/суборенду основних засобів (активів), які належать до основної діяльності ліцензіата, зменшеного на суму фактичних витрат, понесених ліцензіатом у звітному році за рахунок цього доходу, які відповідно до постанови N 386 визнано обґрунтованими;</w:t>
            </w:r>
          </w:p>
          <w:p w:rsidR="00EE3E2E" w:rsidRPr="00EE3E2E" w:rsidRDefault="00EE3E2E" w:rsidP="00EE3E2E">
            <w:pPr>
              <w:ind w:firstLine="306"/>
              <w:jc w:val="both"/>
              <w:rPr>
                <w:sz w:val="22"/>
                <w:szCs w:val="22"/>
              </w:rPr>
            </w:pPr>
            <w:r w:rsidRPr="00EE3E2E">
              <w:rPr>
                <w:sz w:val="22"/>
                <w:szCs w:val="22"/>
              </w:rPr>
              <w:t>на 50 % суми додатково отриманого доходу, отриманого у звітному році від плати за доступ до елементів інфраструктури об'єктів електроенергетики, зменшеного на суму фактичних витрат, понесених ліцензіатом у звітному році за рахунок цього доходу, які відповідно до постанови N 386 визнано обґрунтованими;</w:t>
            </w:r>
          </w:p>
          <w:p w:rsidR="00EE3E2E" w:rsidRPr="00EE3E2E" w:rsidRDefault="00EE3E2E" w:rsidP="00EE3E2E">
            <w:pPr>
              <w:ind w:firstLine="306"/>
              <w:jc w:val="both"/>
              <w:rPr>
                <w:sz w:val="22"/>
                <w:szCs w:val="22"/>
              </w:rPr>
            </w:pPr>
            <w:r w:rsidRPr="00EE3E2E">
              <w:rPr>
                <w:sz w:val="22"/>
                <w:szCs w:val="22"/>
              </w:rPr>
              <w:t>на 100 % доходу, отриманого від реалізації товарно-матеріальних цінностей, що були у використанні, у тому числі металобрухту, від діяльності з розподілу електричної енергії, зменшеного на суму фактичних витрат, понесених ліцензіатом у звітному році за рахунок цього доходу, які відповідно до постанови N 386 визнано обґрунтованими;</w:t>
            </w:r>
          </w:p>
          <w:p w:rsidR="00EE3E2E" w:rsidRPr="00EE3E2E" w:rsidRDefault="00EE3E2E" w:rsidP="00EE3E2E">
            <w:pPr>
              <w:ind w:firstLine="306"/>
              <w:jc w:val="both"/>
              <w:rPr>
                <w:sz w:val="22"/>
                <w:szCs w:val="22"/>
              </w:rPr>
            </w:pPr>
            <w:r w:rsidRPr="00EE3E2E">
              <w:rPr>
                <w:sz w:val="22"/>
                <w:szCs w:val="22"/>
              </w:rPr>
              <w:t>на 50 % від негативної (від'ємної) суми дельти за статтею "прибуток на регуляторну базу активів, яка створена на дату переходу до стимулюючого регулювання" (</w:t>
            </w:r>
            <w:proofErr w:type="spellStart"/>
            <w:r w:rsidRPr="00EE3E2E">
              <w:rPr>
                <w:sz w:val="22"/>
                <w:szCs w:val="22"/>
              </w:rPr>
              <w:t>DПст</w:t>
            </w:r>
            <w:proofErr w:type="spellEnd"/>
            <w:r w:rsidRPr="00EE3E2E">
              <w:rPr>
                <w:sz w:val="22"/>
                <w:szCs w:val="22"/>
              </w:rPr>
              <w:t>);</w:t>
            </w:r>
          </w:p>
          <w:p w:rsidR="00EE3E2E" w:rsidRPr="00EE3E2E" w:rsidRDefault="00EE3E2E" w:rsidP="00EE3E2E">
            <w:pPr>
              <w:ind w:firstLine="306"/>
              <w:jc w:val="both"/>
              <w:rPr>
                <w:sz w:val="22"/>
                <w:szCs w:val="22"/>
              </w:rPr>
            </w:pPr>
            <w:r w:rsidRPr="00EE3E2E">
              <w:rPr>
                <w:sz w:val="22"/>
                <w:szCs w:val="22"/>
              </w:rPr>
              <w:t>на 100 % прибутку від надання послуг комерційного обліку електричної енергії, зменшеного на суму податку на прибуток від надання послуг комерційного обліку електричної енергії та на суму виконання заходів інвестиційної програми на звітній період за рахунок відповідного джерела фінансування та на суму фактичних витрат, понесених ліцензіатом у звітному році за рахунок цього прибутку, які відповідно до постанови N 386 визнано обґрунтованими.</w:t>
            </w:r>
          </w:p>
          <w:p w:rsidR="00EE3E2E" w:rsidRPr="00EE3E2E" w:rsidRDefault="00EE3E2E" w:rsidP="00EE3E2E">
            <w:pPr>
              <w:ind w:firstLine="306"/>
              <w:jc w:val="both"/>
              <w:rPr>
                <w:b/>
                <w:sz w:val="22"/>
                <w:szCs w:val="22"/>
              </w:rPr>
            </w:pPr>
            <w:r w:rsidRPr="00EE3E2E">
              <w:rPr>
                <w:b/>
                <w:sz w:val="22"/>
                <w:szCs w:val="22"/>
              </w:rPr>
              <w:t>У разі обґрунтованого звернення ліцензіата обсяг коштів, визначений відповідно до абзаців другого – п’ятого цього пункту, може бути направлений:</w:t>
            </w:r>
          </w:p>
          <w:p w:rsidR="00EE3E2E" w:rsidRPr="00EE3E2E" w:rsidRDefault="00EE3E2E" w:rsidP="00EE3E2E">
            <w:pPr>
              <w:ind w:firstLine="306"/>
              <w:jc w:val="both"/>
              <w:rPr>
                <w:b/>
                <w:sz w:val="22"/>
                <w:szCs w:val="22"/>
              </w:rPr>
            </w:pPr>
            <w:r w:rsidRPr="00EE3E2E">
              <w:rPr>
                <w:b/>
                <w:sz w:val="22"/>
                <w:szCs w:val="22"/>
              </w:rPr>
              <w:lastRenderedPageBreak/>
              <w:t>на виконання заходів з відновлення об’єктів електричних мереж або їх складових та заходів із улаштування інженерного захисту критичних об’єктів/елементів систем розподілу відповідно до постанови № 386 у році, що є наступним за звітним роком;</w:t>
            </w:r>
          </w:p>
          <w:p w:rsidR="00EE3E2E" w:rsidRPr="00EE3E2E" w:rsidRDefault="00EE3E2E" w:rsidP="00EE3E2E">
            <w:pPr>
              <w:ind w:firstLine="306"/>
              <w:jc w:val="both"/>
              <w:rPr>
                <w:b/>
                <w:sz w:val="22"/>
                <w:szCs w:val="22"/>
              </w:rPr>
            </w:pPr>
            <w:r w:rsidRPr="00EE3E2E">
              <w:rPr>
                <w:b/>
                <w:sz w:val="22"/>
                <w:szCs w:val="22"/>
              </w:rPr>
              <w:t xml:space="preserve">на збільшення обсягу фінансування інвестиційної програми на другий рік, що є наступним за звітним роком, з урахуванням коригування на індекс споживчих цін на товари та послуги з грудня звітного року до грудня попереднього року (використовується інформація, оприлюднена на офіційному </w:t>
            </w:r>
            <w:proofErr w:type="spellStart"/>
            <w:r w:rsidRPr="00EE3E2E">
              <w:rPr>
                <w:b/>
                <w:sz w:val="22"/>
                <w:szCs w:val="22"/>
              </w:rPr>
              <w:t>вебсайті</w:t>
            </w:r>
            <w:proofErr w:type="spellEnd"/>
            <w:r w:rsidRPr="00EE3E2E">
              <w:rPr>
                <w:b/>
                <w:sz w:val="22"/>
                <w:szCs w:val="22"/>
              </w:rPr>
              <w:t xml:space="preserve"> Державної служби статистики України).</w:t>
            </w:r>
          </w:p>
          <w:p w:rsidR="00EE3E2E" w:rsidRPr="00EE3E2E" w:rsidRDefault="00EE3E2E" w:rsidP="00EE3E2E">
            <w:pPr>
              <w:ind w:firstLine="306"/>
              <w:jc w:val="both"/>
              <w:rPr>
                <w:sz w:val="22"/>
                <w:szCs w:val="22"/>
              </w:rPr>
            </w:pPr>
            <w:r w:rsidRPr="00EE3E2E">
              <w:rPr>
                <w:b/>
                <w:sz w:val="22"/>
                <w:szCs w:val="22"/>
              </w:rPr>
              <w:t>В іншому випадку така сума підлягає вилученню зі структури тарифів ліцензіата.</w:t>
            </w:r>
          </w:p>
        </w:tc>
        <w:tc>
          <w:tcPr>
            <w:tcW w:w="5812" w:type="dxa"/>
            <w:shd w:val="clear" w:color="auto" w:fill="auto"/>
          </w:tcPr>
          <w:p w:rsidR="00EE3E2E" w:rsidRPr="00EE3E2E" w:rsidRDefault="00EE3E2E" w:rsidP="00EE3E2E">
            <w:pPr>
              <w:jc w:val="both"/>
              <w:rPr>
                <w:i/>
                <w:sz w:val="22"/>
                <w:szCs w:val="22"/>
              </w:rPr>
            </w:pPr>
            <w:r w:rsidRPr="00EE3E2E">
              <w:rPr>
                <w:i/>
                <w:sz w:val="22"/>
                <w:szCs w:val="22"/>
              </w:rPr>
              <w:lastRenderedPageBreak/>
              <w:t>ГС «Розумні електромережі України»</w:t>
            </w:r>
          </w:p>
          <w:p w:rsidR="00EE3E2E" w:rsidRPr="00EE3E2E" w:rsidRDefault="00EE3E2E" w:rsidP="00EE3E2E">
            <w:pPr>
              <w:jc w:val="both"/>
              <w:rPr>
                <w:i/>
                <w:sz w:val="22"/>
                <w:szCs w:val="22"/>
              </w:rPr>
            </w:pPr>
            <w:r w:rsidRPr="00EE3E2E">
              <w:rPr>
                <w:i/>
                <w:sz w:val="22"/>
                <w:szCs w:val="22"/>
              </w:rPr>
              <w:t>ДТЕК «Одеські електромережі»</w:t>
            </w:r>
          </w:p>
          <w:p w:rsidR="00EE3E2E" w:rsidRPr="00EE3E2E" w:rsidRDefault="00EE3E2E" w:rsidP="00EE3E2E">
            <w:pPr>
              <w:jc w:val="both"/>
              <w:rPr>
                <w:i/>
                <w:sz w:val="22"/>
                <w:szCs w:val="22"/>
              </w:rPr>
            </w:pPr>
            <w:r w:rsidRPr="00EE3E2E">
              <w:rPr>
                <w:i/>
                <w:sz w:val="22"/>
                <w:szCs w:val="22"/>
              </w:rPr>
              <w:t>ДТЕК «Дніпровські електромережі»</w:t>
            </w:r>
          </w:p>
          <w:p w:rsidR="00EE3E2E" w:rsidRPr="00EE3E2E" w:rsidRDefault="00EE3E2E" w:rsidP="00EE3E2E">
            <w:pPr>
              <w:jc w:val="both"/>
              <w:rPr>
                <w:i/>
                <w:sz w:val="22"/>
                <w:szCs w:val="22"/>
              </w:rPr>
            </w:pPr>
          </w:p>
          <w:p w:rsidR="00EE3E2E" w:rsidRPr="00EE3E2E" w:rsidRDefault="00EE3E2E" w:rsidP="00EE3E2E">
            <w:pPr>
              <w:jc w:val="both"/>
              <w:rPr>
                <w:sz w:val="22"/>
                <w:szCs w:val="22"/>
              </w:rPr>
            </w:pPr>
            <w:r w:rsidRPr="00EE3E2E">
              <w:rPr>
                <w:sz w:val="22"/>
                <w:szCs w:val="22"/>
              </w:rPr>
              <w:lastRenderedPageBreak/>
              <w:t>Потребує обговорення.</w:t>
            </w:r>
          </w:p>
          <w:p w:rsidR="00EE3E2E" w:rsidRPr="00EE3E2E" w:rsidRDefault="00EE3E2E" w:rsidP="00EE3E2E">
            <w:pPr>
              <w:jc w:val="both"/>
              <w:rPr>
                <w:i/>
                <w:sz w:val="22"/>
                <w:szCs w:val="22"/>
              </w:rPr>
            </w:pPr>
          </w:p>
          <w:p w:rsidR="00EE3E2E" w:rsidRPr="00EE3E2E" w:rsidRDefault="00EE3E2E" w:rsidP="00EE3E2E">
            <w:pPr>
              <w:jc w:val="both"/>
              <w:rPr>
                <w:i/>
                <w:sz w:val="22"/>
                <w:szCs w:val="22"/>
              </w:rPr>
            </w:pPr>
            <w:r w:rsidRPr="00EE3E2E">
              <w:rPr>
                <w:i/>
                <w:sz w:val="22"/>
                <w:szCs w:val="22"/>
              </w:rPr>
              <w:t>ОБГРУНТУВАННЯ:</w:t>
            </w:r>
          </w:p>
          <w:p w:rsidR="00EE3E2E" w:rsidRPr="00EE3E2E" w:rsidRDefault="00EE3E2E" w:rsidP="00EE3E2E">
            <w:pPr>
              <w:jc w:val="both"/>
              <w:rPr>
                <w:i/>
                <w:sz w:val="22"/>
                <w:szCs w:val="22"/>
              </w:rPr>
            </w:pPr>
          </w:p>
          <w:p w:rsidR="00EE3E2E" w:rsidRPr="00EE3E2E" w:rsidRDefault="00EE3E2E" w:rsidP="00EE3E2E">
            <w:pPr>
              <w:jc w:val="both"/>
              <w:rPr>
                <w:sz w:val="22"/>
                <w:szCs w:val="22"/>
              </w:rPr>
            </w:pPr>
            <w:r w:rsidRPr="00EE3E2E">
              <w:rPr>
                <w:sz w:val="22"/>
                <w:szCs w:val="22"/>
              </w:rPr>
              <w:t xml:space="preserve">Наразі, під час дії воєнного стану, пунктом 10 Методики зупинена дії норми стосовно необхідності коригування визначеної за результатами перевірки підсумкової суми надлишково отриманого або недоотриманого доходу на індекс споживчих цін. </w:t>
            </w:r>
          </w:p>
          <w:p w:rsidR="00EE3E2E" w:rsidRPr="00EE3E2E" w:rsidRDefault="00EE3E2E" w:rsidP="00EE3E2E">
            <w:pPr>
              <w:jc w:val="both"/>
              <w:rPr>
                <w:sz w:val="22"/>
                <w:szCs w:val="22"/>
              </w:rPr>
            </w:pPr>
            <w:r w:rsidRPr="00EE3E2E">
              <w:rPr>
                <w:sz w:val="22"/>
                <w:szCs w:val="22"/>
              </w:rPr>
              <w:t xml:space="preserve">Враховуючи пропозицію НКРЕКП, пропонуємо запровадити рівнозначний підхід та не подовжувати дію норми, визначеної пунктом 10 на результати перевірки, починаючи з 2026 року. </w:t>
            </w:r>
          </w:p>
          <w:p w:rsidR="00EE3E2E" w:rsidRPr="00EE3E2E" w:rsidRDefault="00EE3E2E" w:rsidP="00EE3E2E">
            <w:pPr>
              <w:jc w:val="both"/>
              <w:rPr>
                <w:sz w:val="22"/>
                <w:szCs w:val="22"/>
              </w:rPr>
            </w:pPr>
          </w:p>
          <w:p w:rsidR="00EE3E2E" w:rsidRPr="00EE3E2E" w:rsidRDefault="00EE3E2E" w:rsidP="00EE3E2E">
            <w:pPr>
              <w:jc w:val="both"/>
              <w:rPr>
                <w:i/>
                <w:sz w:val="22"/>
                <w:szCs w:val="22"/>
              </w:rPr>
            </w:pPr>
            <w:r w:rsidRPr="00EE3E2E">
              <w:rPr>
                <w:i/>
                <w:sz w:val="22"/>
                <w:szCs w:val="22"/>
              </w:rPr>
              <w:t>ПРАТ «</w:t>
            </w:r>
            <w:proofErr w:type="spellStart"/>
            <w:r w:rsidRPr="00EE3E2E">
              <w:rPr>
                <w:i/>
                <w:sz w:val="22"/>
                <w:szCs w:val="22"/>
              </w:rPr>
              <w:t>Львівобленерго</w:t>
            </w:r>
            <w:proofErr w:type="spellEnd"/>
            <w:r w:rsidRPr="00EE3E2E">
              <w:rPr>
                <w:i/>
                <w:sz w:val="22"/>
                <w:szCs w:val="22"/>
              </w:rPr>
              <w:t>»</w:t>
            </w:r>
          </w:p>
          <w:p w:rsidR="00EE3E2E" w:rsidRPr="00EE3E2E" w:rsidRDefault="00EE3E2E" w:rsidP="00EE3E2E">
            <w:pPr>
              <w:jc w:val="both"/>
              <w:rPr>
                <w:i/>
                <w:sz w:val="22"/>
                <w:szCs w:val="22"/>
              </w:rPr>
            </w:pPr>
          </w:p>
          <w:p w:rsidR="00EE3E2E" w:rsidRPr="00EE3E2E" w:rsidRDefault="00EE3E2E" w:rsidP="00EE3E2E">
            <w:pPr>
              <w:ind w:firstLine="306"/>
              <w:rPr>
                <w:sz w:val="22"/>
                <w:szCs w:val="22"/>
              </w:rPr>
            </w:pPr>
            <w:r w:rsidRPr="00EE3E2E">
              <w:rPr>
                <w:sz w:val="22"/>
                <w:szCs w:val="22"/>
              </w:rPr>
              <w:t>13. Обсяг фінансування інвестиційної програми на рік, що є наступним за звітним роком, збільшується в такому порядку:</w:t>
            </w:r>
          </w:p>
          <w:p w:rsidR="00EE3E2E" w:rsidRPr="00EE3E2E" w:rsidRDefault="00EE3E2E" w:rsidP="00EE3E2E">
            <w:pPr>
              <w:ind w:firstLine="306"/>
              <w:rPr>
                <w:sz w:val="22"/>
                <w:szCs w:val="22"/>
              </w:rPr>
            </w:pPr>
            <w:r w:rsidRPr="00EE3E2E">
              <w:rPr>
                <w:sz w:val="22"/>
                <w:szCs w:val="22"/>
              </w:rPr>
              <w:t>на 50 % суми додатково отриманого доходу, отриманого у звітному році від надання в оренду/суборенду основних засобів (активів), які належать до основної діяльності ліцензіата, зменшеного на суму фактичних витрат, понесених ліцензіатом у звітному році за рахунок цього доходу, які відповідно до постанови N 386 визнано обґрунтованими;</w:t>
            </w:r>
          </w:p>
          <w:p w:rsidR="00EE3E2E" w:rsidRPr="00EE3E2E" w:rsidRDefault="00EE3E2E" w:rsidP="00EE3E2E">
            <w:pPr>
              <w:ind w:firstLine="306"/>
              <w:rPr>
                <w:sz w:val="22"/>
                <w:szCs w:val="22"/>
              </w:rPr>
            </w:pPr>
            <w:r w:rsidRPr="00EE3E2E">
              <w:rPr>
                <w:sz w:val="22"/>
                <w:szCs w:val="22"/>
              </w:rPr>
              <w:t>на 50 % суми додатково отриманого доходу, отриманого у звітному році від плати за доступ до елементів інфраструктури об'єктів електроенергетики, зменшеного на суму фактичних витрат, понесених ліцензіатом у звітному році за рахунок цього доходу, які відповідно до постанови N 386 визнано обґрунтованими;</w:t>
            </w:r>
          </w:p>
          <w:p w:rsidR="00EE3E2E" w:rsidRPr="00EE3E2E" w:rsidRDefault="00EE3E2E" w:rsidP="00EE3E2E">
            <w:pPr>
              <w:ind w:firstLine="306"/>
              <w:rPr>
                <w:sz w:val="22"/>
                <w:szCs w:val="22"/>
              </w:rPr>
            </w:pPr>
            <w:r w:rsidRPr="00EE3E2E">
              <w:rPr>
                <w:sz w:val="22"/>
                <w:szCs w:val="22"/>
              </w:rPr>
              <w:t>на 100 % доходу, отриманого від реалізації товарно-матеріальних цінностей, що були у використанні, у тому числі металобрухту, від діяльності з розподілу електричної енергії, зменшеного на суму фактичних витрат, понесених ліцензіатом у звітному році за рахунок цього доходу, які відповідно до постанови N 386 визнано обґрунтованими;</w:t>
            </w:r>
          </w:p>
          <w:p w:rsidR="00EE3E2E" w:rsidRPr="00EE3E2E" w:rsidRDefault="00EE3E2E" w:rsidP="00EE3E2E">
            <w:pPr>
              <w:ind w:firstLine="306"/>
              <w:rPr>
                <w:sz w:val="22"/>
                <w:szCs w:val="22"/>
              </w:rPr>
            </w:pPr>
            <w:r w:rsidRPr="00EE3E2E">
              <w:rPr>
                <w:sz w:val="22"/>
                <w:szCs w:val="22"/>
              </w:rPr>
              <w:lastRenderedPageBreak/>
              <w:t>на 50 % від негативної (від'ємної) суми дельти за статтею "прибуток на регуляторну базу активів, яка створена на дату переходу до стимулюючого регулювання" (</w:t>
            </w:r>
            <w:proofErr w:type="spellStart"/>
            <w:r w:rsidRPr="00EE3E2E">
              <w:rPr>
                <w:sz w:val="22"/>
                <w:szCs w:val="22"/>
              </w:rPr>
              <w:t>DПст</w:t>
            </w:r>
            <w:proofErr w:type="spellEnd"/>
            <w:r w:rsidRPr="00EE3E2E">
              <w:rPr>
                <w:sz w:val="22"/>
                <w:szCs w:val="22"/>
              </w:rPr>
              <w:t>);</w:t>
            </w:r>
          </w:p>
          <w:p w:rsidR="00EE3E2E" w:rsidRPr="00EE3E2E" w:rsidRDefault="00EE3E2E" w:rsidP="00EE3E2E">
            <w:pPr>
              <w:ind w:firstLine="306"/>
              <w:rPr>
                <w:sz w:val="22"/>
                <w:szCs w:val="22"/>
              </w:rPr>
            </w:pPr>
            <w:r w:rsidRPr="00EE3E2E">
              <w:rPr>
                <w:sz w:val="22"/>
                <w:szCs w:val="22"/>
              </w:rPr>
              <w:t>на 100 % прибутку від надання послуг комерційного обліку електричної енергії, зменшеного на суму податку на прибуток від надання послуг комерційного обліку електричної енергії та на суму виконання заходів інвестиційної програми на звітній період за рахунок відповідного джерела фінансування та на суму фактичних витрат, понесених ліцензіатом у звітному році за рахунок цього прибутку, які відповідно до постанови N 386 визнано обґрунтованими.</w:t>
            </w:r>
          </w:p>
          <w:p w:rsidR="00EE3E2E" w:rsidRPr="00EE3E2E" w:rsidRDefault="00EE3E2E" w:rsidP="00EE3E2E">
            <w:pPr>
              <w:ind w:firstLine="306"/>
              <w:rPr>
                <w:sz w:val="22"/>
                <w:szCs w:val="22"/>
              </w:rPr>
            </w:pPr>
            <w:r w:rsidRPr="00EE3E2E">
              <w:rPr>
                <w:sz w:val="22"/>
                <w:szCs w:val="22"/>
              </w:rPr>
              <w:t>У разі обґрунтованого звернення ліцензіата обсяг коштів, визначений відповідно до абзаців другого – п’ятого цього пункту, може бути направлений:</w:t>
            </w:r>
          </w:p>
          <w:p w:rsidR="00EE3E2E" w:rsidRPr="00EE3E2E" w:rsidRDefault="00EE3E2E" w:rsidP="00EE3E2E">
            <w:pPr>
              <w:ind w:firstLine="306"/>
              <w:rPr>
                <w:sz w:val="22"/>
                <w:szCs w:val="22"/>
              </w:rPr>
            </w:pPr>
            <w:r w:rsidRPr="00EE3E2E">
              <w:rPr>
                <w:sz w:val="22"/>
                <w:szCs w:val="22"/>
              </w:rPr>
              <w:t>на виконання заходів з відновлення об’єктів електричних мереж або їх складових та заходів із улаштування інженерного захисту критичних об’єктів/елементів систем розподілу відповідно до постанови № 386 у році, що є наступним за звітним роком;</w:t>
            </w:r>
          </w:p>
          <w:p w:rsidR="00EE3E2E" w:rsidRPr="00EE3E2E" w:rsidRDefault="00EE3E2E" w:rsidP="00EE3E2E">
            <w:pPr>
              <w:ind w:firstLine="306"/>
              <w:rPr>
                <w:b/>
                <w:strike/>
                <w:sz w:val="22"/>
                <w:szCs w:val="22"/>
              </w:rPr>
            </w:pPr>
            <w:r w:rsidRPr="00EE3E2E">
              <w:rPr>
                <w:b/>
                <w:sz w:val="22"/>
                <w:szCs w:val="22"/>
              </w:rPr>
              <w:t xml:space="preserve">на збільшення обсягу фінансування інвестиційної програми на другий рік, що є наступним за звітним роком, </w:t>
            </w:r>
            <w:r w:rsidRPr="00EE3E2E">
              <w:rPr>
                <w:b/>
                <w:strike/>
                <w:sz w:val="22"/>
                <w:szCs w:val="22"/>
              </w:rPr>
              <w:t xml:space="preserve">з урахуванням коригування на індекс споживчих цін на товари та послуги з грудня звітного року до грудня попереднього року (використовується інформація, оприлюднена на офіційному </w:t>
            </w:r>
            <w:proofErr w:type="spellStart"/>
            <w:r w:rsidRPr="00EE3E2E">
              <w:rPr>
                <w:b/>
                <w:strike/>
                <w:sz w:val="22"/>
                <w:szCs w:val="22"/>
              </w:rPr>
              <w:t>вебсайті</w:t>
            </w:r>
            <w:proofErr w:type="spellEnd"/>
            <w:r w:rsidRPr="00EE3E2E">
              <w:rPr>
                <w:b/>
                <w:strike/>
                <w:sz w:val="22"/>
                <w:szCs w:val="22"/>
              </w:rPr>
              <w:t xml:space="preserve"> Державної служби статистики України).</w:t>
            </w:r>
          </w:p>
          <w:p w:rsidR="00EE3E2E" w:rsidRPr="00EE3E2E" w:rsidRDefault="00EE3E2E" w:rsidP="00EE3E2E">
            <w:pPr>
              <w:ind w:firstLine="325"/>
              <w:rPr>
                <w:b/>
                <w:sz w:val="22"/>
                <w:szCs w:val="22"/>
              </w:rPr>
            </w:pPr>
            <w:r w:rsidRPr="00EE3E2E">
              <w:rPr>
                <w:b/>
                <w:sz w:val="22"/>
                <w:szCs w:val="22"/>
              </w:rPr>
              <w:t>на збільшення обсягу фінансування інвестиційної програми на поточний (звітний) рік на очікувану суму. Зазначена сума підлягає уточненню за результатами планового заходу контролю.</w:t>
            </w:r>
          </w:p>
          <w:p w:rsidR="00EE3E2E" w:rsidRPr="00EE3E2E" w:rsidRDefault="00EE3E2E" w:rsidP="00EE3E2E">
            <w:pPr>
              <w:jc w:val="both"/>
              <w:rPr>
                <w:rFonts w:eastAsia="Calibri"/>
                <w:i/>
                <w:sz w:val="22"/>
                <w:szCs w:val="22"/>
                <w:lang w:eastAsia="en-US"/>
              </w:rPr>
            </w:pPr>
            <w:r w:rsidRPr="00EE3E2E">
              <w:rPr>
                <w:sz w:val="22"/>
                <w:szCs w:val="22"/>
              </w:rPr>
              <w:t>В іншому випадку така сума підлягає вилученню зі структури тарифів ліцензіата.</w:t>
            </w:r>
          </w:p>
          <w:p w:rsidR="00EE3E2E" w:rsidRPr="00EE3E2E" w:rsidRDefault="00EE3E2E" w:rsidP="00EE3E2E">
            <w:pPr>
              <w:jc w:val="both"/>
              <w:rPr>
                <w:i/>
                <w:sz w:val="22"/>
                <w:szCs w:val="22"/>
              </w:rPr>
            </w:pPr>
          </w:p>
          <w:p w:rsidR="00EE3E2E" w:rsidRPr="00EE3E2E" w:rsidRDefault="00EE3E2E" w:rsidP="00EE3E2E">
            <w:pPr>
              <w:jc w:val="both"/>
              <w:rPr>
                <w:i/>
                <w:sz w:val="22"/>
                <w:szCs w:val="22"/>
              </w:rPr>
            </w:pPr>
            <w:r w:rsidRPr="00EE3E2E">
              <w:rPr>
                <w:i/>
                <w:sz w:val="22"/>
                <w:szCs w:val="22"/>
              </w:rPr>
              <w:t>ОБГРУНТУВАННЯ:</w:t>
            </w:r>
          </w:p>
          <w:p w:rsidR="00EE3E2E" w:rsidRPr="00EE3E2E" w:rsidRDefault="00EE3E2E" w:rsidP="00EE3E2E">
            <w:pPr>
              <w:jc w:val="both"/>
              <w:rPr>
                <w:i/>
                <w:sz w:val="22"/>
                <w:szCs w:val="22"/>
              </w:rPr>
            </w:pPr>
          </w:p>
          <w:p w:rsidR="00EE3E2E" w:rsidRPr="00EE3E2E" w:rsidRDefault="00EE3E2E" w:rsidP="00EE3E2E">
            <w:pPr>
              <w:jc w:val="both"/>
              <w:rPr>
                <w:sz w:val="22"/>
                <w:szCs w:val="22"/>
              </w:rPr>
            </w:pPr>
            <w:r w:rsidRPr="00EE3E2E">
              <w:rPr>
                <w:sz w:val="22"/>
                <w:szCs w:val="22"/>
              </w:rPr>
              <w:lastRenderedPageBreak/>
              <w:t>Пропонуємо не використовувати індекс споживчих цін звітного року, оскільки і інші витрати ОСР не індексуються на індекс цін за звітний період</w:t>
            </w:r>
          </w:p>
          <w:p w:rsidR="00EE3E2E" w:rsidRPr="00EE3E2E" w:rsidRDefault="00EE3E2E" w:rsidP="00EE3E2E">
            <w:pPr>
              <w:jc w:val="both"/>
              <w:rPr>
                <w:sz w:val="22"/>
                <w:szCs w:val="22"/>
              </w:rPr>
            </w:pPr>
            <w:r w:rsidRPr="00EE3E2E">
              <w:rPr>
                <w:sz w:val="22"/>
                <w:szCs w:val="22"/>
              </w:rPr>
              <w:t>Ліцензіат повинен мати можливість збільшити діючу інвестиційну програму на обсяг прогнозних коштів, що очікує отримати в поточному році. Ця сума підлягає уточненню за результатами планового заходу контролю. У разі, якщо уточнена сума перевищує включену до джерел фінансування інвестиційної програми, сума перевищення спрямовується на збільшення обсягу фінансування інвестиційної програми на другий рік, що є наступним за звітним роком.</w:t>
            </w:r>
          </w:p>
          <w:p w:rsidR="00EE3E2E" w:rsidRPr="00EE3E2E" w:rsidRDefault="00EE3E2E" w:rsidP="00EE3E2E">
            <w:pPr>
              <w:jc w:val="both"/>
              <w:rPr>
                <w:sz w:val="22"/>
                <w:szCs w:val="22"/>
              </w:rPr>
            </w:pPr>
            <w:r w:rsidRPr="00EE3E2E">
              <w:rPr>
                <w:sz w:val="22"/>
                <w:szCs w:val="22"/>
              </w:rPr>
              <w:t>Цей механізм пропонуємо передбачити також для пунктів 12 і 14 Методики визначення сум надлишково отриманого або недоотриманого доходу від здійснення ліцензованої діяльності з розподілу електричної енергії для операторів систем розподілу, які перейшли на стимулююче регулювання.</w:t>
            </w:r>
          </w:p>
          <w:p w:rsidR="00EE3E2E" w:rsidRPr="00EE3E2E" w:rsidRDefault="00EE3E2E" w:rsidP="00EE3E2E">
            <w:pPr>
              <w:rPr>
                <w:sz w:val="22"/>
                <w:szCs w:val="22"/>
              </w:rPr>
            </w:pPr>
          </w:p>
        </w:tc>
        <w:tc>
          <w:tcPr>
            <w:tcW w:w="3546" w:type="dxa"/>
            <w:shd w:val="clear" w:color="auto" w:fill="auto"/>
          </w:tcPr>
          <w:p w:rsidR="00EE3E2E" w:rsidRPr="00EE3E2E" w:rsidRDefault="00EE3E2E" w:rsidP="00EE3E2E">
            <w:pPr>
              <w:rPr>
                <w:b/>
                <w:i/>
                <w:sz w:val="22"/>
                <w:szCs w:val="22"/>
                <w:lang w:eastAsia="uk-UA"/>
              </w:rPr>
            </w:pPr>
            <w:r w:rsidRPr="00EE3E2E">
              <w:rPr>
                <w:b/>
                <w:i/>
                <w:sz w:val="22"/>
                <w:szCs w:val="22"/>
              </w:rPr>
              <w:lastRenderedPageBreak/>
              <w:t>Пропонується д</w:t>
            </w:r>
            <w:r w:rsidRPr="00EE3E2E">
              <w:rPr>
                <w:b/>
                <w:i/>
                <w:sz w:val="22"/>
                <w:szCs w:val="22"/>
                <w:lang w:eastAsia="uk-UA"/>
              </w:rPr>
              <w:t>оповнити цей Додаток новим пунктом 15 такого змісту:</w:t>
            </w:r>
          </w:p>
          <w:p w:rsidR="00EE3E2E" w:rsidRPr="00EE3E2E" w:rsidRDefault="00EE3E2E" w:rsidP="00EE3E2E">
            <w:pPr>
              <w:shd w:val="clear" w:color="auto" w:fill="FFFFFF"/>
              <w:jc w:val="both"/>
              <w:rPr>
                <w:b/>
                <w:sz w:val="22"/>
                <w:szCs w:val="22"/>
                <w:lang w:eastAsia="uk-UA"/>
              </w:rPr>
            </w:pPr>
          </w:p>
          <w:p w:rsidR="00EE3E2E" w:rsidRPr="00EE3E2E" w:rsidRDefault="00EE3E2E" w:rsidP="00EE3E2E">
            <w:pPr>
              <w:shd w:val="clear" w:color="auto" w:fill="FFFFFF"/>
              <w:jc w:val="both"/>
              <w:rPr>
                <w:sz w:val="22"/>
                <w:szCs w:val="22"/>
                <w:lang w:eastAsia="uk-UA"/>
              </w:rPr>
            </w:pPr>
            <w:r w:rsidRPr="00EE3E2E">
              <w:rPr>
                <w:sz w:val="22"/>
                <w:szCs w:val="22"/>
                <w:lang w:eastAsia="uk-UA"/>
              </w:rPr>
              <w:lastRenderedPageBreak/>
              <w:t>«15. У разі обґрунтованого звернення ліцензіата обсяг коштів, визначений відповідно до пунктів 12-14 цієї Методики, може бути направлений:</w:t>
            </w:r>
          </w:p>
          <w:p w:rsidR="00EE3E2E" w:rsidRPr="00EE3E2E" w:rsidRDefault="00EE3E2E" w:rsidP="00EE3E2E">
            <w:pPr>
              <w:shd w:val="clear" w:color="auto" w:fill="FFFFFF"/>
              <w:jc w:val="both"/>
              <w:rPr>
                <w:sz w:val="22"/>
                <w:szCs w:val="22"/>
                <w:lang w:eastAsia="uk-UA"/>
              </w:rPr>
            </w:pPr>
          </w:p>
          <w:p w:rsidR="00EE3E2E" w:rsidRPr="00EE3E2E" w:rsidRDefault="00EE3E2E" w:rsidP="00EE3E2E">
            <w:pPr>
              <w:shd w:val="clear" w:color="auto" w:fill="FFFFFF"/>
              <w:jc w:val="both"/>
              <w:rPr>
                <w:sz w:val="22"/>
                <w:szCs w:val="22"/>
                <w:lang w:eastAsia="uk-UA"/>
              </w:rPr>
            </w:pPr>
            <w:r w:rsidRPr="00EE3E2E">
              <w:rPr>
                <w:sz w:val="22"/>
                <w:szCs w:val="22"/>
                <w:lang w:eastAsia="uk-UA"/>
              </w:rPr>
              <w:t>на виконання заходів з відновлення об’єктів електричних мереж або їх складових та заходів із улаштування інженерного захисту критичних об’єктів/елементів систем розподілу відповідно до постанови № 386 у році, що є наступним за звітним роком;</w:t>
            </w:r>
          </w:p>
          <w:p w:rsidR="00EE3E2E" w:rsidRPr="00EE3E2E" w:rsidRDefault="00EE3E2E" w:rsidP="00EE3E2E">
            <w:pPr>
              <w:shd w:val="clear" w:color="auto" w:fill="FFFFFF"/>
              <w:jc w:val="both"/>
              <w:rPr>
                <w:sz w:val="22"/>
                <w:szCs w:val="22"/>
                <w:lang w:eastAsia="uk-UA"/>
              </w:rPr>
            </w:pPr>
          </w:p>
          <w:p w:rsidR="00EE3E2E" w:rsidRPr="00EE3E2E" w:rsidRDefault="00EE3E2E" w:rsidP="00EE3E2E">
            <w:pPr>
              <w:shd w:val="clear" w:color="auto" w:fill="FFFFFF"/>
              <w:jc w:val="both"/>
              <w:rPr>
                <w:color w:val="FF0000"/>
                <w:sz w:val="22"/>
                <w:szCs w:val="22"/>
                <w:lang w:eastAsia="uk-UA"/>
              </w:rPr>
            </w:pPr>
            <w:r w:rsidRPr="00EE3E2E">
              <w:rPr>
                <w:sz w:val="22"/>
                <w:szCs w:val="22"/>
                <w:lang w:eastAsia="uk-UA"/>
              </w:rPr>
              <w:t xml:space="preserve">на збільшення обсягу фінансування інвестиційної програми на другий рік, що є наступним за звітним роком, з урахуванням коригування на індекс споживчих цін на товари та послуги з грудня звітного року до грудня попереднього року (використовується інформація, оприлюднена на офіційному </w:t>
            </w:r>
            <w:proofErr w:type="spellStart"/>
            <w:r w:rsidRPr="00EE3E2E">
              <w:rPr>
                <w:sz w:val="22"/>
                <w:szCs w:val="22"/>
                <w:lang w:eastAsia="uk-UA"/>
              </w:rPr>
              <w:t>вебсайті</w:t>
            </w:r>
            <w:proofErr w:type="spellEnd"/>
            <w:r w:rsidRPr="00EE3E2E">
              <w:rPr>
                <w:sz w:val="22"/>
                <w:szCs w:val="22"/>
                <w:lang w:eastAsia="uk-UA"/>
              </w:rPr>
              <w:t xml:space="preserve"> Державної служби статистики України); </w:t>
            </w:r>
          </w:p>
          <w:p w:rsidR="00EE3E2E" w:rsidRPr="00EE3E2E" w:rsidRDefault="00EE3E2E" w:rsidP="00EE3E2E">
            <w:pPr>
              <w:shd w:val="clear" w:color="auto" w:fill="FFFFFF"/>
              <w:jc w:val="both"/>
              <w:rPr>
                <w:sz w:val="22"/>
                <w:szCs w:val="22"/>
                <w:lang w:eastAsia="uk-UA"/>
              </w:rPr>
            </w:pPr>
          </w:p>
          <w:p w:rsidR="00EE3E2E" w:rsidRPr="00EE3E2E" w:rsidRDefault="00EE3E2E" w:rsidP="00EE3E2E">
            <w:pPr>
              <w:jc w:val="both"/>
              <w:rPr>
                <w:sz w:val="22"/>
                <w:szCs w:val="22"/>
                <w:lang w:eastAsia="uk-UA"/>
              </w:rPr>
            </w:pPr>
            <w:r w:rsidRPr="00EE3E2E">
              <w:rPr>
                <w:sz w:val="22"/>
                <w:szCs w:val="22"/>
                <w:lang w:eastAsia="uk-UA"/>
              </w:rPr>
              <w:t xml:space="preserve">на збільшення обсягу фінансування інвестиційної програми на звітний рік на очікувану суму. </w:t>
            </w:r>
          </w:p>
          <w:p w:rsidR="00EE3E2E" w:rsidRPr="00EE3E2E" w:rsidRDefault="00EE3E2E" w:rsidP="00EE3E2E">
            <w:pPr>
              <w:shd w:val="clear" w:color="auto" w:fill="FFFFFF"/>
              <w:jc w:val="both"/>
              <w:rPr>
                <w:sz w:val="22"/>
                <w:szCs w:val="22"/>
                <w:lang w:eastAsia="uk-UA"/>
              </w:rPr>
            </w:pPr>
          </w:p>
          <w:p w:rsidR="00EE3E2E" w:rsidRPr="00EE3E2E" w:rsidRDefault="00EE3E2E" w:rsidP="00EE3E2E">
            <w:pPr>
              <w:shd w:val="clear" w:color="auto" w:fill="FFFFFF"/>
              <w:jc w:val="both"/>
              <w:rPr>
                <w:b/>
                <w:sz w:val="22"/>
                <w:szCs w:val="22"/>
                <w:lang w:eastAsia="uk-UA"/>
              </w:rPr>
            </w:pPr>
            <w:r w:rsidRPr="00EE3E2E">
              <w:rPr>
                <w:sz w:val="22"/>
                <w:szCs w:val="22"/>
                <w:lang w:eastAsia="uk-UA"/>
              </w:rPr>
              <w:t>В іншому випадку така сума підлягає вилученню зі структури тарифів ліцензіата.»</w:t>
            </w:r>
          </w:p>
          <w:p w:rsidR="00EE3E2E" w:rsidRPr="00EE3E2E" w:rsidRDefault="00EE3E2E" w:rsidP="00EE3E2E">
            <w:pPr>
              <w:rPr>
                <w:b/>
                <w:sz w:val="22"/>
                <w:szCs w:val="22"/>
              </w:rPr>
            </w:pPr>
          </w:p>
        </w:tc>
      </w:tr>
    </w:tbl>
    <w:p w:rsidR="00A456FF" w:rsidRPr="007E7415" w:rsidRDefault="00A456FF" w:rsidP="007E7415">
      <w:pPr>
        <w:pStyle w:val="pf0"/>
        <w:spacing w:before="0" w:beforeAutospacing="0" w:after="0" w:afterAutospacing="0"/>
        <w:jc w:val="both"/>
        <w:rPr>
          <w:sz w:val="22"/>
          <w:szCs w:val="22"/>
          <w:lang w:val="uk-UA"/>
        </w:rPr>
      </w:pPr>
      <w:bookmarkStart w:id="1" w:name="n5489"/>
      <w:bookmarkEnd w:id="1"/>
    </w:p>
    <w:p w:rsidR="004A27F3" w:rsidRPr="007E7415" w:rsidRDefault="004A27F3" w:rsidP="007E7415">
      <w:pPr>
        <w:pStyle w:val="pf0"/>
        <w:spacing w:before="0" w:beforeAutospacing="0" w:after="0" w:afterAutospacing="0"/>
        <w:jc w:val="both"/>
        <w:rPr>
          <w:sz w:val="22"/>
          <w:szCs w:val="22"/>
          <w:lang w:val="uk-UA"/>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64"/>
        <w:gridCol w:w="7564"/>
      </w:tblGrid>
      <w:tr w:rsidR="004A27F3" w:rsidRPr="007E7415" w:rsidTr="004A27F3">
        <w:tc>
          <w:tcPr>
            <w:tcW w:w="7564" w:type="dxa"/>
            <w:vAlign w:val="center"/>
          </w:tcPr>
          <w:p w:rsidR="004A27F3" w:rsidRPr="007E7415" w:rsidRDefault="004A27F3" w:rsidP="007E7415">
            <w:pPr>
              <w:pStyle w:val="pf0"/>
              <w:spacing w:before="0" w:beforeAutospacing="0" w:after="0" w:afterAutospacing="0"/>
              <w:rPr>
                <w:szCs w:val="22"/>
                <w:lang w:val="uk-UA"/>
              </w:rPr>
            </w:pPr>
            <w:r w:rsidRPr="007E7415">
              <w:rPr>
                <w:szCs w:val="22"/>
                <w:lang w:val="uk-UA"/>
              </w:rPr>
              <w:t>Директор Департаменту ліцензійного контролю</w:t>
            </w:r>
          </w:p>
        </w:tc>
        <w:tc>
          <w:tcPr>
            <w:tcW w:w="7564" w:type="dxa"/>
            <w:vAlign w:val="center"/>
          </w:tcPr>
          <w:p w:rsidR="004A27F3" w:rsidRPr="007E7415" w:rsidRDefault="004A27F3" w:rsidP="007E7415">
            <w:pPr>
              <w:pStyle w:val="pf0"/>
              <w:spacing w:before="0" w:beforeAutospacing="0" w:after="0" w:afterAutospacing="0"/>
              <w:jc w:val="right"/>
              <w:rPr>
                <w:szCs w:val="22"/>
                <w:lang w:val="uk-UA"/>
              </w:rPr>
            </w:pPr>
            <w:r w:rsidRPr="007E7415">
              <w:rPr>
                <w:szCs w:val="22"/>
                <w:lang w:val="uk-UA"/>
              </w:rPr>
              <w:t>Ярослав ЗЕЛЕНЮК</w:t>
            </w:r>
          </w:p>
        </w:tc>
      </w:tr>
    </w:tbl>
    <w:p w:rsidR="004A27F3" w:rsidRPr="007E7415" w:rsidRDefault="004A27F3" w:rsidP="007E7415">
      <w:pPr>
        <w:pStyle w:val="pf0"/>
        <w:spacing w:before="0" w:beforeAutospacing="0" w:after="0" w:afterAutospacing="0"/>
        <w:jc w:val="both"/>
        <w:rPr>
          <w:sz w:val="22"/>
          <w:szCs w:val="22"/>
          <w:lang w:val="uk-UA"/>
        </w:rPr>
      </w:pPr>
    </w:p>
    <w:sectPr w:rsidR="004A27F3" w:rsidRPr="007E7415" w:rsidSect="00CF133B">
      <w:headerReference w:type="default" r:id="rId12"/>
      <w:pgSz w:w="16840" w:h="11907" w:orient="landscape" w:code="9"/>
      <w:pgMar w:top="709" w:right="851" w:bottom="709" w:left="851" w:header="720" w:footer="533"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E1E0D" w:rsidRDefault="007E1E0D">
      <w:r>
        <w:separator/>
      </w:r>
    </w:p>
  </w:endnote>
  <w:endnote w:type="continuationSeparator" w:id="0">
    <w:p w:rsidR="007E1E0D" w:rsidRDefault="007E1E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atha">
    <w:panose1 w:val="02000400000000000000"/>
    <w:charset w:val="00"/>
    <w:family w:val="swiss"/>
    <w:pitch w:val="variable"/>
    <w:sig w:usb0="001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TimesNewRoman">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E1E0D" w:rsidRDefault="007E1E0D">
      <w:r>
        <w:separator/>
      </w:r>
    </w:p>
  </w:footnote>
  <w:footnote w:type="continuationSeparator" w:id="0">
    <w:p w:rsidR="007E1E0D" w:rsidRDefault="007E1E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63982487"/>
      <w:docPartObj>
        <w:docPartGallery w:val="Page Numbers (Top of Page)"/>
        <w:docPartUnique/>
      </w:docPartObj>
    </w:sdtPr>
    <w:sdtEndPr/>
    <w:sdtContent>
      <w:p w:rsidR="002955EA" w:rsidRDefault="002955EA">
        <w:pPr>
          <w:pStyle w:val="a4"/>
          <w:jc w:val="center"/>
        </w:pPr>
        <w:r>
          <w:fldChar w:fldCharType="begin"/>
        </w:r>
        <w:r>
          <w:instrText>PAGE   \* MERGEFORMAT</w:instrText>
        </w:r>
        <w:r>
          <w:fldChar w:fldCharType="separate"/>
        </w:r>
        <w:r w:rsidR="003B498F">
          <w:rPr>
            <w:noProof/>
          </w:rPr>
          <w:t>4</w:t>
        </w:r>
        <w:r>
          <w:fldChar w:fldCharType="end"/>
        </w:r>
      </w:p>
    </w:sdtContent>
  </w:sdt>
  <w:p w:rsidR="002955EA" w:rsidRDefault="002955E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8DA8B4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8E43C74"/>
    <w:multiLevelType w:val="hybridMultilevel"/>
    <w:tmpl w:val="49BE52CA"/>
    <w:lvl w:ilvl="0" w:tplc="BACA71FC">
      <w:start w:val="19"/>
      <w:numFmt w:val="decimal"/>
      <w:lvlText w:val="%1)"/>
      <w:lvlJc w:val="left"/>
      <w:pPr>
        <w:ind w:left="457" w:hanging="360"/>
      </w:pPr>
      <w:rPr>
        <w:rFonts w:hint="default"/>
      </w:rPr>
    </w:lvl>
    <w:lvl w:ilvl="1" w:tplc="04220019" w:tentative="1">
      <w:start w:val="1"/>
      <w:numFmt w:val="lowerLetter"/>
      <w:lvlText w:val="%2."/>
      <w:lvlJc w:val="left"/>
      <w:pPr>
        <w:ind w:left="1177" w:hanging="360"/>
      </w:pPr>
    </w:lvl>
    <w:lvl w:ilvl="2" w:tplc="0422001B" w:tentative="1">
      <w:start w:val="1"/>
      <w:numFmt w:val="lowerRoman"/>
      <w:lvlText w:val="%3."/>
      <w:lvlJc w:val="right"/>
      <w:pPr>
        <w:ind w:left="1897" w:hanging="180"/>
      </w:pPr>
    </w:lvl>
    <w:lvl w:ilvl="3" w:tplc="0422000F" w:tentative="1">
      <w:start w:val="1"/>
      <w:numFmt w:val="decimal"/>
      <w:lvlText w:val="%4."/>
      <w:lvlJc w:val="left"/>
      <w:pPr>
        <w:ind w:left="2617" w:hanging="360"/>
      </w:pPr>
    </w:lvl>
    <w:lvl w:ilvl="4" w:tplc="04220019" w:tentative="1">
      <w:start w:val="1"/>
      <w:numFmt w:val="lowerLetter"/>
      <w:lvlText w:val="%5."/>
      <w:lvlJc w:val="left"/>
      <w:pPr>
        <w:ind w:left="3337" w:hanging="360"/>
      </w:pPr>
    </w:lvl>
    <w:lvl w:ilvl="5" w:tplc="0422001B" w:tentative="1">
      <w:start w:val="1"/>
      <w:numFmt w:val="lowerRoman"/>
      <w:lvlText w:val="%6."/>
      <w:lvlJc w:val="right"/>
      <w:pPr>
        <w:ind w:left="4057" w:hanging="180"/>
      </w:pPr>
    </w:lvl>
    <w:lvl w:ilvl="6" w:tplc="0422000F" w:tentative="1">
      <w:start w:val="1"/>
      <w:numFmt w:val="decimal"/>
      <w:lvlText w:val="%7."/>
      <w:lvlJc w:val="left"/>
      <w:pPr>
        <w:ind w:left="4777" w:hanging="360"/>
      </w:pPr>
    </w:lvl>
    <w:lvl w:ilvl="7" w:tplc="04220019" w:tentative="1">
      <w:start w:val="1"/>
      <w:numFmt w:val="lowerLetter"/>
      <w:lvlText w:val="%8."/>
      <w:lvlJc w:val="left"/>
      <w:pPr>
        <w:ind w:left="5497" w:hanging="360"/>
      </w:pPr>
    </w:lvl>
    <w:lvl w:ilvl="8" w:tplc="0422001B" w:tentative="1">
      <w:start w:val="1"/>
      <w:numFmt w:val="lowerRoman"/>
      <w:lvlText w:val="%9."/>
      <w:lvlJc w:val="right"/>
      <w:pPr>
        <w:ind w:left="6217" w:hanging="180"/>
      </w:pPr>
    </w:lvl>
  </w:abstractNum>
  <w:abstractNum w:abstractNumId="2" w15:restartNumberingAfterBreak="0">
    <w:nsid w:val="0A4115E1"/>
    <w:multiLevelType w:val="hybridMultilevel"/>
    <w:tmpl w:val="F4C6EA42"/>
    <w:lvl w:ilvl="0" w:tplc="04190001">
      <w:start w:val="1"/>
      <w:numFmt w:val="bullet"/>
      <w:lvlText w:val=""/>
      <w:lvlJc w:val="left"/>
      <w:pPr>
        <w:ind w:left="1090" w:hanging="360"/>
      </w:pPr>
      <w:rPr>
        <w:rFonts w:ascii="Symbol" w:hAnsi="Symbol" w:hint="default"/>
      </w:rPr>
    </w:lvl>
    <w:lvl w:ilvl="1" w:tplc="04220003" w:tentative="1">
      <w:start w:val="1"/>
      <w:numFmt w:val="bullet"/>
      <w:lvlText w:val="o"/>
      <w:lvlJc w:val="left"/>
      <w:pPr>
        <w:ind w:left="1810" w:hanging="360"/>
      </w:pPr>
      <w:rPr>
        <w:rFonts w:ascii="Courier New" w:hAnsi="Courier New" w:cs="Courier New" w:hint="default"/>
      </w:rPr>
    </w:lvl>
    <w:lvl w:ilvl="2" w:tplc="04220005" w:tentative="1">
      <w:start w:val="1"/>
      <w:numFmt w:val="bullet"/>
      <w:lvlText w:val=""/>
      <w:lvlJc w:val="left"/>
      <w:pPr>
        <w:ind w:left="2530" w:hanging="360"/>
      </w:pPr>
      <w:rPr>
        <w:rFonts w:ascii="Wingdings" w:hAnsi="Wingdings" w:hint="default"/>
      </w:rPr>
    </w:lvl>
    <w:lvl w:ilvl="3" w:tplc="04220001" w:tentative="1">
      <w:start w:val="1"/>
      <w:numFmt w:val="bullet"/>
      <w:lvlText w:val=""/>
      <w:lvlJc w:val="left"/>
      <w:pPr>
        <w:ind w:left="3250" w:hanging="360"/>
      </w:pPr>
      <w:rPr>
        <w:rFonts w:ascii="Symbol" w:hAnsi="Symbol" w:hint="default"/>
      </w:rPr>
    </w:lvl>
    <w:lvl w:ilvl="4" w:tplc="04220003" w:tentative="1">
      <w:start w:val="1"/>
      <w:numFmt w:val="bullet"/>
      <w:lvlText w:val="o"/>
      <w:lvlJc w:val="left"/>
      <w:pPr>
        <w:ind w:left="3970" w:hanging="360"/>
      </w:pPr>
      <w:rPr>
        <w:rFonts w:ascii="Courier New" w:hAnsi="Courier New" w:cs="Courier New" w:hint="default"/>
      </w:rPr>
    </w:lvl>
    <w:lvl w:ilvl="5" w:tplc="04220005" w:tentative="1">
      <w:start w:val="1"/>
      <w:numFmt w:val="bullet"/>
      <w:lvlText w:val=""/>
      <w:lvlJc w:val="left"/>
      <w:pPr>
        <w:ind w:left="4690" w:hanging="360"/>
      </w:pPr>
      <w:rPr>
        <w:rFonts w:ascii="Wingdings" w:hAnsi="Wingdings" w:hint="default"/>
      </w:rPr>
    </w:lvl>
    <w:lvl w:ilvl="6" w:tplc="04220001" w:tentative="1">
      <w:start w:val="1"/>
      <w:numFmt w:val="bullet"/>
      <w:lvlText w:val=""/>
      <w:lvlJc w:val="left"/>
      <w:pPr>
        <w:ind w:left="5410" w:hanging="360"/>
      </w:pPr>
      <w:rPr>
        <w:rFonts w:ascii="Symbol" w:hAnsi="Symbol" w:hint="default"/>
      </w:rPr>
    </w:lvl>
    <w:lvl w:ilvl="7" w:tplc="04220003" w:tentative="1">
      <w:start w:val="1"/>
      <w:numFmt w:val="bullet"/>
      <w:lvlText w:val="o"/>
      <w:lvlJc w:val="left"/>
      <w:pPr>
        <w:ind w:left="6130" w:hanging="360"/>
      </w:pPr>
      <w:rPr>
        <w:rFonts w:ascii="Courier New" w:hAnsi="Courier New" w:cs="Courier New" w:hint="default"/>
      </w:rPr>
    </w:lvl>
    <w:lvl w:ilvl="8" w:tplc="04220005" w:tentative="1">
      <w:start w:val="1"/>
      <w:numFmt w:val="bullet"/>
      <w:lvlText w:val=""/>
      <w:lvlJc w:val="left"/>
      <w:pPr>
        <w:ind w:left="6850" w:hanging="360"/>
      </w:pPr>
      <w:rPr>
        <w:rFonts w:ascii="Wingdings" w:hAnsi="Wingdings" w:hint="default"/>
      </w:rPr>
    </w:lvl>
  </w:abstractNum>
  <w:abstractNum w:abstractNumId="3" w15:restartNumberingAfterBreak="0">
    <w:nsid w:val="10AF48E8"/>
    <w:multiLevelType w:val="hybridMultilevel"/>
    <w:tmpl w:val="F54AA1E8"/>
    <w:lvl w:ilvl="0" w:tplc="18D4C584">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CB40FE"/>
    <w:multiLevelType w:val="hybridMultilevel"/>
    <w:tmpl w:val="A3E4EB0A"/>
    <w:lvl w:ilvl="0" w:tplc="BE729690">
      <w:start w:val="1"/>
      <w:numFmt w:val="decimal"/>
      <w:lvlText w:val="%1."/>
      <w:lvlJc w:val="left"/>
      <w:pPr>
        <w:ind w:left="396" w:hanging="360"/>
      </w:pPr>
      <w:rPr>
        <w:rFonts w:hint="default"/>
      </w:rPr>
    </w:lvl>
    <w:lvl w:ilvl="1" w:tplc="04220019" w:tentative="1">
      <w:start w:val="1"/>
      <w:numFmt w:val="lowerLetter"/>
      <w:lvlText w:val="%2."/>
      <w:lvlJc w:val="left"/>
      <w:pPr>
        <w:ind w:left="1116" w:hanging="360"/>
      </w:pPr>
    </w:lvl>
    <w:lvl w:ilvl="2" w:tplc="0422001B" w:tentative="1">
      <w:start w:val="1"/>
      <w:numFmt w:val="lowerRoman"/>
      <w:lvlText w:val="%3."/>
      <w:lvlJc w:val="right"/>
      <w:pPr>
        <w:ind w:left="1836" w:hanging="180"/>
      </w:pPr>
    </w:lvl>
    <w:lvl w:ilvl="3" w:tplc="0422000F" w:tentative="1">
      <w:start w:val="1"/>
      <w:numFmt w:val="decimal"/>
      <w:lvlText w:val="%4."/>
      <w:lvlJc w:val="left"/>
      <w:pPr>
        <w:ind w:left="2556" w:hanging="360"/>
      </w:pPr>
    </w:lvl>
    <w:lvl w:ilvl="4" w:tplc="04220019" w:tentative="1">
      <w:start w:val="1"/>
      <w:numFmt w:val="lowerLetter"/>
      <w:lvlText w:val="%5."/>
      <w:lvlJc w:val="left"/>
      <w:pPr>
        <w:ind w:left="3276" w:hanging="360"/>
      </w:pPr>
    </w:lvl>
    <w:lvl w:ilvl="5" w:tplc="0422001B" w:tentative="1">
      <w:start w:val="1"/>
      <w:numFmt w:val="lowerRoman"/>
      <w:lvlText w:val="%6."/>
      <w:lvlJc w:val="right"/>
      <w:pPr>
        <w:ind w:left="3996" w:hanging="180"/>
      </w:pPr>
    </w:lvl>
    <w:lvl w:ilvl="6" w:tplc="0422000F" w:tentative="1">
      <w:start w:val="1"/>
      <w:numFmt w:val="decimal"/>
      <w:lvlText w:val="%7."/>
      <w:lvlJc w:val="left"/>
      <w:pPr>
        <w:ind w:left="4716" w:hanging="360"/>
      </w:pPr>
    </w:lvl>
    <w:lvl w:ilvl="7" w:tplc="04220019" w:tentative="1">
      <w:start w:val="1"/>
      <w:numFmt w:val="lowerLetter"/>
      <w:lvlText w:val="%8."/>
      <w:lvlJc w:val="left"/>
      <w:pPr>
        <w:ind w:left="5436" w:hanging="360"/>
      </w:pPr>
    </w:lvl>
    <w:lvl w:ilvl="8" w:tplc="0422001B" w:tentative="1">
      <w:start w:val="1"/>
      <w:numFmt w:val="lowerRoman"/>
      <w:lvlText w:val="%9."/>
      <w:lvlJc w:val="right"/>
      <w:pPr>
        <w:ind w:left="6156" w:hanging="180"/>
      </w:pPr>
    </w:lvl>
  </w:abstractNum>
  <w:abstractNum w:abstractNumId="5" w15:restartNumberingAfterBreak="0">
    <w:nsid w:val="1C257E7B"/>
    <w:multiLevelType w:val="hybridMultilevel"/>
    <w:tmpl w:val="ECC62DDC"/>
    <w:lvl w:ilvl="0" w:tplc="F8C8C80C">
      <w:numFmt w:val="bullet"/>
      <w:lvlText w:val="–"/>
      <w:lvlJc w:val="left"/>
      <w:pPr>
        <w:ind w:left="720" w:hanging="360"/>
      </w:pPr>
      <w:rPr>
        <w:rFonts w:ascii="Times New Roman" w:eastAsia="Times New Roman" w:hAnsi="Times New Roman" w:cs="Times New Roman" w:hint="default"/>
        <w:color w:val="000000"/>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15:restartNumberingAfterBreak="0">
    <w:nsid w:val="1C761535"/>
    <w:multiLevelType w:val="multilevel"/>
    <w:tmpl w:val="28549D82"/>
    <w:lvl w:ilvl="0">
      <w:start w:val="1"/>
      <w:numFmt w:val="decimal"/>
      <w:lvlText w:val="%1."/>
      <w:lvlJc w:val="left"/>
      <w:pPr>
        <w:ind w:left="360" w:hanging="360"/>
      </w:pPr>
      <w:rPr>
        <w:rFonts w:hint="default"/>
      </w:rPr>
    </w:lvl>
    <w:lvl w:ilvl="1">
      <w:start w:val="2"/>
      <w:numFmt w:val="decimal"/>
      <w:lvlText w:val="%1.%2."/>
      <w:lvlJc w:val="left"/>
      <w:pPr>
        <w:ind w:left="5181" w:hanging="360"/>
      </w:pPr>
      <w:rPr>
        <w:rFonts w:hint="default"/>
        <w:color w:val="000000" w:themeColor="text1"/>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7" w15:restartNumberingAfterBreak="0">
    <w:nsid w:val="1D9B7492"/>
    <w:multiLevelType w:val="hybridMultilevel"/>
    <w:tmpl w:val="9D649BD4"/>
    <w:lvl w:ilvl="0" w:tplc="94761328">
      <w:start w:val="1"/>
      <w:numFmt w:val="decimal"/>
      <w:lvlText w:val="%1."/>
      <w:lvlJc w:val="left"/>
      <w:pPr>
        <w:ind w:left="794" w:hanging="360"/>
      </w:pPr>
      <w:rPr>
        <w:rFonts w:ascii="Calibri" w:eastAsia="Calibri" w:hAnsi="Calibri" w:cs="Calibri" w:hint="default"/>
        <w:b w:val="0"/>
        <w:bCs w:val="0"/>
        <w:i w:val="0"/>
        <w:iCs w:val="0"/>
        <w:spacing w:val="0"/>
        <w:w w:val="100"/>
        <w:sz w:val="22"/>
        <w:szCs w:val="22"/>
        <w:lang w:val="uk-UA" w:eastAsia="en-US" w:bidi="ar-SA"/>
      </w:rPr>
    </w:lvl>
    <w:lvl w:ilvl="1" w:tplc="574A24C8">
      <w:numFmt w:val="bullet"/>
      <w:lvlText w:val="•"/>
      <w:lvlJc w:val="left"/>
      <w:pPr>
        <w:ind w:left="1343" w:hanging="360"/>
      </w:pPr>
      <w:rPr>
        <w:rFonts w:hint="default"/>
        <w:lang w:val="uk-UA" w:eastAsia="en-US" w:bidi="ar-SA"/>
      </w:rPr>
    </w:lvl>
    <w:lvl w:ilvl="2" w:tplc="62F855B0">
      <w:numFmt w:val="bullet"/>
      <w:lvlText w:val="•"/>
      <w:lvlJc w:val="left"/>
      <w:pPr>
        <w:ind w:left="1886" w:hanging="360"/>
      </w:pPr>
      <w:rPr>
        <w:rFonts w:hint="default"/>
        <w:lang w:val="uk-UA" w:eastAsia="en-US" w:bidi="ar-SA"/>
      </w:rPr>
    </w:lvl>
    <w:lvl w:ilvl="3" w:tplc="BC26B48E">
      <w:numFmt w:val="bullet"/>
      <w:lvlText w:val="•"/>
      <w:lvlJc w:val="left"/>
      <w:pPr>
        <w:ind w:left="2429" w:hanging="360"/>
      </w:pPr>
      <w:rPr>
        <w:rFonts w:hint="default"/>
        <w:lang w:val="uk-UA" w:eastAsia="en-US" w:bidi="ar-SA"/>
      </w:rPr>
    </w:lvl>
    <w:lvl w:ilvl="4" w:tplc="29BEBC8E">
      <w:numFmt w:val="bullet"/>
      <w:lvlText w:val="•"/>
      <w:lvlJc w:val="left"/>
      <w:pPr>
        <w:ind w:left="2972" w:hanging="360"/>
      </w:pPr>
      <w:rPr>
        <w:rFonts w:hint="default"/>
        <w:lang w:val="uk-UA" w:eastAsia="en-US" w:bidi="ar-SA"/>
      </w:rPr>
    </w:lvl>
    <w:lvl w:ilvl="5" w:tplc="1460E902">
      <w:numFmt w:val="bullet"/>
      <w:lvlText w:val="•"/>
      <w:lvlJc w:val="left"/>
      <w:pPr>
        <w:ind w:left="3515" w:hanging="360"/>
      </w:pPr>
      <w:rPr>
        <w:rFonts w:hint="default"/>
        <w:lang w:val="uk-UA" w:eastAsia="en-US" w:bidi="ar-SA"/>
      </w:rPr>
    </w:lvl>
    <w:lvl w:ilvl="6" w:tplc="AA6225C2">
      <w:numFmt w:val="bullet"/>
      <w:lvlText w:val="•"/>
      <w:lvlJc w:val="left"/>
      <w:pPr>
        <w:ind w:left="4058" w:hanging="360"/>
      </w:pPr>
      <w:rPr>
        <w:rFonts w:hint="default"/>
        <w:lang w:val="uk-UA" w:eastAsia="en-US" w:bidi="ar-SA"/>
      </w:rPr>
    </w:lvl>
    <w:lvl w:ilvl="7" w:tplc="D0341110">
      <w:numFmt w:val="bullet"/>
      <w:lvlText w:val="•"/>
      <w:lvlJc w:val="left"/>
      <w:pPr>
        <w:ind w:left="4601" w:hanging="360"/>
      </w:pPr>
      <w:rPr>
        <w:rFonts w:hint="default"/>
        <w:lang w:val="uk-UA" w:eastAsia="en-US" w:bidi="ar-SA"/>
      </w:rPr>
    </w:lvl>
    <w:lvl w:ilvl="8" w:tplc="E5A2F8CA">
      <w:numFmt w:val="bullet"/>
      <w:lvlText w:val="•"/>
      <w:lvlJc w:val="left"/>
      <w:pPr>
        <w:ind w:left="5144" w:hanging="360"/>
      </w:pPr>
      <w:rPr>
        <w:rFonts w:hint="default"/>
        <w:lang w:val="uk-UA" w:eastAsia="en-US" w:bidi="ar-SA"/>
      </w:rPr>
    </w:lvl>
  </w:abstractNum>
  <w:abstractNum w:abstractNumId="8" w15:restartNumberingAfterBreak="0">
    <w:nsid w:val="28421542"/>
    <w:multiLevelType w:val="hybridMultilevel"/>
    <w:tmpl w:val="2B62C964"/>
    <w:lvl w:ilvl="0" w:tplc="4DA2BBAC">
      <w:start w:val="1"/>
      <w:numFmt w:val="decimal"/>
      <w:suff w:val="space"/>
      <w:lvlText w:val="%1)"/>
      <w:lvlJc w:val="left"/>
      <w:pPr>
        <w:ind w:left="360" w:hanging="360"/>
      </w:pPr>
      <w:rPr>
        <w:rFonts w:hint="default"/>
        <w:b w:val="0"/>
        <w:i w:val="0"/>
        <w:color w:val="auto"/>
      </w:rPr>
    </w:lvl>
    <w:lvl w:ilvl="1" w:tplc="04220019" w:tentative="1">
      <w:start w:val="1"/>
      <w:numFmt w:val="lowerLetter"/>
      <w:lvlText w:val="%2."/>
      <w:lvlJc w:val="left"/>
      <w:pPr>
        <w:ind w:left="3208" w:hanging="360"/>
      </w:pPr>
    </w:lvl>
    <w:lvl w:ilvl="2" w:tplc="0422001B" w:tentative="1">
      <w:start w:val="1"/>
      <w:numFmt w:val="lowerRoman"/>
      <w:lvlText w:val="%3."/>
      <w:lvlJc w:val="right"/>
      <w:pPr>
        <w:ind w:left="3928" w:hanging="180"/>
      </w:pPr>
    </w:lvl>
    <w:lvl w:ilvl="3" w:tplc="0422000F" w:tentative="1">
      <w:start w:val="1"/>
      <w:numFmt w:val="decimal"/>
      <w:lvlText w:val="%4."/>
      <w:lvlJc w:val="left"/>
      <w:pPr>
        <w:ind w:left="4648" w:hanging="360"/>
      </w:pPr>
    </w:lvl>
    <w:lvl w:ilvl="4" w:tplc="04220019" w:tentative="1">
      <w:start w:val="1"/>
      <w:numFmt w:val="lowerLetter"/>
      <w:lvlText w:val="%5."/>
      <w:lvlJc w:val="left"/>
      <w:pPr>
        <w:ind w:left="5368" w:hanging="360"/>
      </w:pPr>
    </w:lvl>
    <w:lvl w:ilvl="5" w:tplc="0422001B" w:tentative="1">
      <w:start w:val="1"/>
      <w:numFmt w:val="lowerRoman"/>
      <w:lvlText w:val="%6."/>
      <w:lvlJc w:val="right"/>
      <w:pPr>
        <w:ind w:left="6088" w:hanging="180"/>
      </w:pPr>
    </w:lvl>
    <w:lvl w:ilvl="6" w:tplc="0422000F" w:tentative="1">
      <w:start w:val="1"/>
      <w:numFmt w:val="decimal"/>
      <w:lvlText w:val="%7."/>
      <w:lvlJc w:val="left"/>
      <w:pPr>
        <w:ind w:left="6808" w:hanging="360"/>
      </w:pPr>
    </w:lvl>
    <w:lvl w:ilvl="7" w:tplc="04220019" w:tentative="1">
      <w:start w:val="1"/>
      <w:numFmt w:val="lowerLetter"/>
      <w:lvlText w:val="%8."/>
      <w:lvlJc w:val="left"/>
      <w:pPr>
        <w:ind w:left="7528" w:hanging="360"/>
      </w:pPr>
    </w:lvl>
    <w:lvl w:ilvl="8" w:tplc="0422001B" w:tentative="1">
      <w:start w:val="1"/>
      <w:numFmt w:val="lowerRoman"/>
      <w:lvlText w:val="%9."/>
      <w:lvlJc w:val="right"/>
      <w:pPr>
        <w:ind w:left="8248" w:hanging="180"/>
      </w:pPr>
    </w:lvl>
  </w:abstractNum>
  <w:abstractNum w:abstractNumId="9" w15:restartNumberingAfterBreak="0">
    <w:nsid w:val="3AEB1169"/>
    <w:multiLevelType w:val="hybridMultilevel"/>
    <w:tmpl w:val="2B62C964"/>
    <w:lvl w:ilvl="0" w:tplc="4DA2BBAC">
      <w:start w:val="1"/>
      <w:numFmt w:val="decimal"/>
      <w:suff w:val="space"/>
      <w:lvlText w:val="%1)"/>
      <w:lvlJc w:val="left"/>
      <w:pPr>
        <w:ind w:left="360" w:hanging="360"/>
      </w:pPr>
      <w:rPr>
        <w:rFonts w:hint="default"/>
        <w:b w:val="0"/>
        <w:i w:val="0"/>
        <w:color w:val="auto"/>
      </w:rPr>
    </w:lvl>
    <w:lvl w:ilvl="1" w:tplc="04220019" w:tentative="1">
      <w:start w:val="1"/>
      <w:numFmt w:val="lowerLetter"/>
      <w:lvlText w:val="%2."/>
      <w:lvlJc w:val="left"/>
      <w:pPr>
        <w:ind w:left="3208" w:hanging="360"/>
      </w:pPr>
    </w:lvl>
    <w:lvl w:ilvl="2" w:tplc="0422001B" w:tentative="1">
      <w:start w:val="1"/>
      <w:numFmt w:val="lowerRoman"/>
      <w:lvlText w:val="%3."/>
      <w:lvlJc w:val="right"/>
      <w:pPr>
        <w:ind w:left="3928" w:hanging="180"/>
      </w:pPr>
    </w:lvl>
    <w:lvl w:ilvl="3" w:tplc="0422000F" w:tentative="1">
      <w:start w:val="1"/>
      <w:numFmt w:val="decimal"/>
      <w:lvlText w:val="%4."/>
      <w:lvlJc w:val="left"/>
      <w:pPr>
        <w:ind w:left="4648" w:hanging="360"/>
      </w:pPr>
    </w:lvl>
    <w:lvl w:ilvl="4" w:tplc="04220019" w:tentative="1">
      <w:start w:val="1"/>
      <w:numFmt w:val="lowerLetter"/>
      <w:lvlText w:val="%5."/>
      <w:lvlJc w:val="left"/>
      <w:pPr>
        <w:ind w:left="5368" w:hanging="360"/>
      </w:pPr>
    </w:lvl>
    <w:lvl w:ilvl="5" w:tplc="0422001B" w:tentative="1">
      <w:start w:val="1"/>
      <w:numFmt w:val="lowerRoman"/>
      <w:lvlText w:val="%6."/>
      <w:lvlJc w:val="right"/>
      <w:pPr>
        <w:ind w:left="6088" w:hanging="180"/>
      </w:pPr>
    </w:lvl>
    <w:lvl w:ilvl="6" w:tplc="0422000F" w:tentative="1">
      <w:start w:val="1"/>
      <w:numFmt w:val="decimal"/>
      <w:lvlText w:val="%7."/>
      <w:lvlJc w:val="left"/>
      <w:pPr>
        <w:ind w:left="6808" w:hanging="360"/>
      </w:pPr>
    </w:lvl>
    <w:lvl w:ilvl="7" w:tplc="04220019" w:tentative="1">
      <w:start w:val="1"/>
      <w:numFmt w:val="lowerLetter"/>
      <w:lvlText w:val="%8."/>
      <w:lvlJc w:val="left"/>
      <w:pPr>
        <w:ind w:left="7528" w:hanging="360"/>
      </w:pPr>
    </w:lvl>
    <w:lvl w:ilvl="8" w:tplc="0422001B" w:tentative="1">
      <w:start w:val="1"/>
      <w:numFmt w:val="lowerRoman"/>
      <w:lvlText w:val="%9."/>
      <w:lvlJc w:val="right"/>
      <w:pPr>
        <w:ind w:left="8248" w:hanging="180"/>
      </w:pPr>
    </w:lvl>
  </w:abstractNum>
  <w:abstractNum w:abstractNumId="10" w15:restartNumberingAfterBreak="0">
    <w:nsid w:val="3D774ABE"/>
    <w:multiLevelType w:val="hybridMultilevel"/>
    <w:tmpl w:val="B9F68E56"/>
    <w:lvl w:ilvl="0" w:tplc="C5E0B9C2">
      <w:start w:val="11"/>
      <w:numFmt w:val="decimal"/>
      <w:lvlText w:val="%1)"/>
      <w:lvlJc w:val="left"/>
      <w:pPr>
        <w:ind w:left="750" w:hanging="390"/>
      </w:pPr>
      <w:rPr>
        <w:rFonts w:hint="default"/>
        <w:color w:val="auto"/>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4368235C"/>
    <w:multiLevelType w:val="hybridMultilevel"/>
    <w:tmpl w:val="81D44872"/>
    <w:lvl w:ilvl="0" w:tplc="04190001">
      <w:start w:val="1"/>
      <w:numFmt w:val="bullet"/>
      <w:lvlText w:val=""/>
      <w:lvlJc w:val="left"/>
      <w:pPr>
        <w:ind w:left="1034" w:hanging="360"/>
      </w:pPr>
      <w:rPr>
        <w:rFonts w:ascii="Symbol" w:hAnsi="Symbol" w:hint="default"/>
      </w:rPr>
    </w:lvl>
    <w:lvl w:ilvl="1" w:tplc="04220003" w:tentative="1">
      <w:start w:val="1"/>
      <w:numFmt w:val="bullet"/>
      <w:lvlText w:val="o"/>
      <w:lvlJc w:val="left"/>
      <w:pPr>
        <w:ind w:left="1754" w:hanging="360"/>
      </w:pPr>
      <w:rPr>
        <w:rFonts w:ascii="Courier New" w:hAnsi="Courier New" w:cs="Courier New" w:hint="default"/>
      </w:rPr>
    </w:lvl>
    <w:lvl w:ilvl="2" w:tplc="04220005" w:tentative="1">
      <w:start w:val="1"/>
      <w:numFmt w:val="bullet"/>
      <w:lvlText w:val=""/>
      <w:lvlJc w:val="left"/>
      <w:pPr>
        <w:ind w:left="2474" w:hanging="360"/>
      </w:pPr>
      <w:rPr>
        <w:rFonts w:ascii="Wingdings" w:hAnsi="Wingdings" w:hint="default"/>
      </w:rPr>
    </w:lvl>
    <w:lvl w:ilvl="3" w:tplc="04220001" w:tentative="1">
      <w:start w:val="1"/>
      <w:numFmt w:val="bullet"/>
      <w:lvlText w:val=""/>
      <w:lvlJc w:val="left"/>
      <w:pPr>
        <w:ind w:left="3194" w:hanging="360"/>
      </w:pPr>
      <w:rPr>
        <w:rFonts w:ascii="Symbol" w:hAnsi="Symbol" w:hint="default"/>
      </w:rPr>
    </w:lvl>
    <w:lvl w:ilvl="4" w:tplc="04220003" w:tentative="1">
      <w:start w:val="1"/>
      <w:numFmt w:val="bullet"/>
      <w:lvlText w:val="o"/>
      <w:lvlJc w:val="left"/>
      <w:pPr>
        <w:ind w:left="3914" w:hanging="360"/>
      </w:pPr>
      <w:rPr>
        <w:rFonts w:ascii="Courier New" w:hAnsi="Courier New" w:cs="Courier New" w:hint="default"/>
      </w:rPr>
    </w:lvl>
    <w:lvl w:ilvl="5" w:tplc="04220005" w:tentative="1">
      <w:start w:val="1"/>
      <w:numFmt w:val="bullet"/>
      <w:lvlText w:val=""/>
      <w:lvlJc w:val="left"/>
      <w:pPr>
        <w:ind w:left="4634" w:hanging="360"/>
      </w:pPr>
      <w:rPr>
        <w:rFonts w:ascii="Wingdings" w:hAnsi="Wingdings" w:hint="default"/>
      </w:rPr>
    </w:lvl>
    <w:lvl w:ilvl="6" w:tplc="04220001" w:tentative="1">
      <w:start w:val="1"/>
      <w:numFmt w:val="bullet"/>
      <w:lvlText w:val=""/>
      <w:lvlJc w:val="left"/>
      <w:pPr>
        <w:ind w:left="5354" w:hanging="360"/>
      </w:pPr>
      <w:rPr>
        <w:rFonts w:ascii="Symbol" w:hAnsi="Symbol" w:hint="default"/>
      </w:rPr>
    </w:lvl>
    <w:lvl w:ilvl="7" w:tplc="04220003" w:tentative="1">
      <w:start w:val="1"/>
      <w:numFmt w:val="bullet"/>
      <w:lvlText w:val="o"/>
      <w:lvlJc w:val="left"/>
      <w:pPr>
        <w:ind w:left="6074" w:hanging="360"/>
      </w:pPr>
      <w:rPr>
        <w:rFonts w:ascii="Courier New" w:hAnsi="Courier New" w:cs="Courier New" w:hint="default"/>
      </w:rPr>
    </w:lvl>
    <w:lvl w:ilvl="8" w:tplc="04220005" w:tentative="1">
      <w:start w:val="1"/>
      <w:numFmt w:val="bullet"/>
      <w:lvlText w:val=""/>
      <w:lvlJc w:val="left"/>
      <w:pPr>
        <w:ind w:left="6794" w:hanging="360"/>
      </w:pPr>
      <w:rPr>
        <w:rFonts w:ascii="Wingdings" w:hAnsi="Wingdings" w:hint="default"/>
      </w:rPr>
    </w:lvl>
  </w:abstractNum>
  <w:abstractNum w:abstractNumId="12" w15:restartNumberingAfterBreak="0">
    <w:nsid w:val="444D7E68"/>
    <w:multiLevelType w:val="multilevel"/>
    <w:tmpl w:val="64103624"/>
    <w:lvl w:ilvl="0">
      <w:start w:val="1"/>
      <w:numFmt w:val="decimal"/>
      <w:lvlText w:val="%1."/>
      <w:lvlJc w:val="left"/>
      <w:pPr>
        <w:ind w:left="1080" w:hanging="360"/>
      </w:pPr>
      <w:rPr>
        <w:rFonts w:hint="default"/>
      </w:rPr>
    </w:lvl>
    <w:lvl w:ilvl="1">
      <w:start w:val="7"/>
      <w:numFmt w:val="decimal"/>
      <w:isLgl/>
      <w:lvlText w:val="%1.%2"/>
      <w:lvlJc w:val="left"/>
      <w:pPr>
        <w:ind w:left="1140" w:hanging="4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3" w15:restartNumberingAfterBreak="0">
    <w:nsid w:val="474449FC"/>
    <w:multiLevelType w:val="multilevel"/>
    <w:tmpl w:val="FCA2843E"/>
    <w:lvl w:ilvl="0">
      <w:start w:val="1"/>
      <w:numFmt w:val="decimal"/>
      <w:lvlText w:val="%1."/>
      <w:lvlJc w:val="left"/>
      <w:pPr>
        <w:ind w:left="0" w:firstLine="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15:restartNumberingAfterBreak="0">
    <w:nsid w:val="489A0960"/>
    <w:multiLevelType w:val="hybridMultilevel"/>
    <w:tmpl w:val="FCF85590"/>
    <w:lvl w:ilvl="0" w:tplc="C8B21034">
      <w:start w:val="1"/>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15" w15:restartNumberingAfterBreak="0">
    <w:nsid w:val="51185E13"/>
    <w:multiLevelType w:val="hybridMultilevel"/>
    <w:tmpl w:val="9A22B6C2"/>
    <w:lvl w:ilvl="0" w:tplc="3DCC46EE">
      <w:start w:val="9"/>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6" w15:restartNumberingAfterBreak="0">
    <w:nsid w:val="53E30184"/>
    <w:multiLevelType w:val="multilevel"/>
    <w:tmpl w:val="D6FAE58C"/>
    <w:styleLink w:val="newnumberingapplications"/>
    <w:lvl w:ilvl="0">
      <w:start w:val="1"/>
      <w:numFmt w:val="none"/>
      <w:pStyle w:val="Heading1application"/>
      <w:lvlText w:val=""/>
      <w:lvlJc w:val="left"/>
      <w:pPr>
        <w:tabs>
          <w:tab w:val="num" w:pos="851"/>
        </w:tabs>
        <w:ind w:left="0" w:firstLine="851"/>
      </w:pPr>
      <w:rPr>
        <w:rFonts w:cs="Times New Roman" w:hint="default"/>
        <w:b/>
        <w:i w:val="0"/>
        <w:sz w:val="28"/>
        <w:vertAlign w:val="baseline"/>
      </w:rPr>
    </w:lvl>
    <w:lvl w:ilvl="1">
      <w:start w:val="1"/>
      <w:numFmt w:val="decimal"/>
      <w:pStyle w:val="Heading2application"/>
      <w:isLgl/>
      <w:lvlText w:val="%2. "/>
      <w:lvlJc w:val="left"/>
      <w:pPr>
        <w:tabs>
          <w:tab w:val="num" w:pos="851"/>
        </w:tabs>
        <w:ind w:left="0" w:firstLine="851"/>
      </w:pPr>
      <w:rPr>
        <w:rFonts w:cs="Times New Roman" w:hint="default"/>
      </w:rPr>
    </w:lvl>
    <w:lvl w:ilvl="2">
      <w:start w:val="1"/>
      <w:numFmt w:val="decimal"/>
      <w:pStyle w:val="Normalapplication"/>
      <w:isLgl/>
      <w:lvlText w:val="%2.%3. "/>
      <w:lvlJc w:val="left"/>
      <w:pPr>
        <w:tabs>
          <w:tab w:val="num" w:pos="851"/>
        </w:tabs>
        <w:ind w:left="0" w:firstLine="851"/>
      </w:pPr>
      <w:rPr>
        <w:rFonts w:cs="Times New Roman" w:hint="default"/>
      </w:rPr>
    </w:lvl>
    <w:lvl w:ilvl="3">
      <w:start w:val="1"/>
      <w:numFmt w:val="decimal"/>
      <w:pStyle w:val="Normalnumberingapplication"/>
      <w:lvlText w:val="%4) "/>
      <w:lvlJc w:val="left"/>
      <w:pPr>
        <w:ind w:left="0" w:firstLine="851"/>
      </w:pPr>
      <w:rPr>
        <w:rFonts w:cs="Times New Roman" w:hint="default"/>
      </w:rPr>
    </w:lvl>
    <w:lvl w:ilvl="4">
      <w:start w:val="1"/>
      <w:numFmt w:val="russianLower"/>
      <w:lvlText w:val="%5) "/>
      <w:lvlJc w:val="left"/>
      <w:pPr>
        <w:ind w:left="-738" w:firstLine="851"/>
      </w:pPr>
      <w:rPr>
        <w:rFonts w:hint="default"/>
        <w:color w:val="auto"/>
      </w:rPr>
    </w:lvl>
    <w:lvl w:ilvl="5">
      <w:start w:val="1"/>
      <w:numFmt w:val="lowerRoman"/>
      <w:lvlText w:val="%6."/>
      <w:lvlJc w:val="right"/>
      <w:pPr>
        <w:tabs>
          <w:tab w:val="num" w:pos="-738"/>
        </w:tabs>
        <w:ind w:left="2097" w:firstLine="567"/>
      </w:pPr>
      <w:rPr>
        <w:rFonts w:cs="Times New Roman" w:hint="default"/>
      </w:rPr>
    </w:lvl>
    <w:lvl w:ilvl="6">
      <w:start w:val="1"/>
      <w:numFmt w:val="decimal"/>
      <w:lvlText w:val="%7."/>
      <w:lvlJc w:val="left"/>
      <w:pPr>
        <w:tabs>
          <w:tab w:val="num" w:pos="-738"/>
        </w:tabs>
        <w:ind w:left="2664" w:firstLine="567"/>
      </w:pPr>
      <w:rPr>
        <w:rFonts w:cs="Times New Roman" w:hint="default"/>
      </w:rPr>
    </w:lvl>
    <w:lvl w:ilvl="7">
      <w:start w:val="1"/>
      <w:numFmt w:val="lowerLetter"/>
      <w:lvlText w:val="%8."/>
      <w:lvlJc w:val="left"/>
      <w:pPr>
        <w:tabs>
          <w:tab w:val="num" w:pos="-738"/>
        </w:tabs>
        <w:ind w:left="3231" w:firstLine="567"/>
      </w:pPr>
      <w:rPr>
        <w:rFonts w:cs="Times New Roman" w:hint="default"/>
      </w:rPr>
    </w:lvl>
    <w:lvl w:ilvl="8">
      <w:start w:val="1"/>
      <w:numFmt w:val="lowerRoman"/>
      <w:lvlText w:val="%9."/>
      <w:lvlJc w:val="right"/>
      <w:pPr>
        <w:tabs>
          <w:tab w:val="num" w:pos="-738"/>
        </w:tabs>
        <w:ind w:left="3798" w:firstLine="567"/>
      </w:pPr>
      <w:rPr>
        <w:rFonts w:cs="Times New Roman" w:hint="default"/>
      </w:rPr>
    </w:lvl>
  </w:abstractNum>
  <w:abstractNum w:abstractNumId="17" w15:restartNumberingAfterBreak="0">
    <w:nsid w:val="567D4B37"/>
    <w:multiLevelType w:val="hybridMultilevel"/>
    <w:tmpl w:val="67C2F00A"/>
    <w:lvl w:ilvl="0" w:tplc="8ED63018">
      <w:start w:val="17"/>
      <w:numFmt w:val="decimal"/>
      <w:lvlText w:val="%1)"/>
      <w:lvlJc w:val="left"/>
      <w:pPr>
        <w:ind w:left="750" w:hanging="39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5A6B06F7"/>
    <w:multiLevelType w:val="hybridMultilevel"/>
    <w:tmpl w:val="5344F1A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9" w15:restartNumberingAfterBreak="0">
    <w:nsid w:val="61C178DF"/>
    <w:multiLevelType w:val="hybridMultilevel"/>
    <w:tmpl w:val="A3F6893A"/>
    <w:lvl w:ilvl="0" w:tplc="519C4EF6">
      <w:start w:val="3"/>
      <w:numFmt w:val="decimal"/>
      <w:lvlText w:val="%1)"/>
      <w:lvlJc w:val="left"/>
      <w:pPr>
        <w:ind w:left="555" w:hanging="360"/>
      </w:pPr>
      <w:rPr>
        <w:rFonts w:hint="default"/>
      </w:rPr>
    </w:lvl>
    <w:lvl w:ilvl="1" w:tplc="04220019" w:tentative="1">
      <w:start w:val="1"/>
      <w:numFmt w:val="lowerLetter"/>
      <w:lvlText w:val="%2."/>
      <w:lvlJc w:val="left"/>
      <w:pPr>
        <w:ind w:left="1275" w:hanging="360"/>
      </w:pPr>
    </w:lvl>
    <w:lvl w:ilvl="2" w:tplc="0422001B" w:tentative="1">
      <w:start w:val="1"/>
      <w:numFmt w:val="lowerRoman"/>
      <w:lvlText w:val="%3."/>
      <w:lvlJc w:val="right"/>
      <w:pPr>
        <w:ind w:left="1995" w:hanging="180"/>
      </w:pPr>
    </w:lvl>
    <w:lvl w:ilvl="3" w:tplc="0422000F" w:tentative="1">
      <w:start w:val="1"/>
      <w:numFmt w:val="decimal"/>
      <w:lvlText w:val="%4."/>
      <w:lvlJc w:val="left"/>
      <w:pPr>
        <w:ind w:left="2715" w:hanging="360"/>
      </w:pPr>
    </w:lvl>
    <w:lvl w:ilvl="4" w:tplc="04220019" w:tentative="1">
      <w:start w:val="1"/>
      <w:numFmt w:val="lowerLetter"/>
      <w:lvlText w:val="%5."/>
      <w:lvlJc w:val="left"/>
      <w:pPr>
        <w:ind w:left="3435" w:hanging="360"/>
      </w:pPr>
    </w:lvl>
    <w:lvl w:ilvl="5" w:tplc="0422001B" w:tentative="1">
      <w:start w:val="1"/>
      <w:numFmt w:val="lowerRoman"/>
      <w:lvlText w:val="%6."/>
      <w:lvlJc w:val="right"/>
      <w:pPr>
        <w:ind w:left="4155" w:hanging="180"/>
      </w:pPr>
    </w:lvl>
    <w:lvl w:ilvl="6" w:tplc="0422000F" w:tentative="1">
      <w:start w:val="1"/>
      <w:numFmt w:val="decimal"/>
      <w:lvlText w:val="%7."/>
      <w:lvlJc w:val="left"/>
      <w:pPr>
        <w:ind w:left="4875" w:hanging="360"/>
      </w:pPr>
    </w:lvl>
    <w:lvl w:ilvl="7" w:tplc="04220019" w:tentative="1">
      <w:start w:val="1"/>
      <w:numFmt w:val="lowerLetter"/>
      <w:lvlText w:val="%8."/>
      <w:lvlJc w:val="left"/>
      <w:pPr>
        <w:ind w:left="5595" w:hanging="360"/>
      </w:pPr>
    </w:lvl>
    <w:lvl w:ilvl="8" w:tplc="0422001B" w:tentative="1">
      <w:start w:val="1"/>
      <w:numFmt w:val="lowerRoman"/>
      <w:lvlText w:val="%9."/>
      <w:lvlJc w:val="right"/>
      <w:pPr>
        <w:ind w:left="6315" w:hanging="180"/>
      </w:pPr>
    </w:lvl>
  </w:abstractNum>
  <w:abstractNum w:abstractNumId="20" w15:restartNumberingAfterBreak="0">
    <w:nsid w:val="6D744127"/>
    <w:multiLevelType w:val="hybridMultilevel"/>
    <w:tmpl w:val="875C7EEA"/>
    <w:lvl w:ilvl="0" w:tplc="1000000F">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1" w15:restartNumberingAfterBreak="0">
    <w:nsid w:val="714415AC"/>
    <w:multiLevelType w:val="hybridMultilevel"/>
    <w:tmpl w:val="50C04670"/>
    <w:lvl w:ilvl="0" w:tplc="04190001">
      <w:start w:val="1"/>
      <w:numFmt w:val="bullet"/>
      <w:lvlText w:val=""/>
      <w:lvlJc w:val="left"/>
      <w:pPr>
        <w:ind w:left="1100" w:hanging="360"/>
      </w:pPr>
      <w:rPr>
        <w:rFonts w:ascii="Symbol" w:hAnsi="Symbol" w:hint="default"/>
      </w:rPr>
    </w:lvl>
    <w:lvl w:ilvl="1" w:tplc="04220003" w:tentative="1">
      <w:start w:val="1"/>
      <w:numFmt w:val="bullet"/>
      <w:lvlText w:val="o"/>
      <w:lvlJc w:val="left"/>
      <w:pPr>
        <w:ind w:left="1820" w:hanging="360"/>
      </w:pPr>
      <w:rPr>
        <w:rFonts w:ascii="Courier New" w:hAnsi="Courier New" w:cs="Courier New" w:hint="default"/>
      </w:rPr>
    </w:lvl>
    <w:lvl w:ilvl="2" w:tplc="04220005" w:tentative="1">
      <w:start w:val="1"/>
      <w:numFmt w:val="bullet"/>
      <w:lvlText w:val=""/>
      <w:lvlJc w:val="left"/>
      <w:pPr>
        <w:ind w:left="2540" w:hanging="360"/>
      </w:pPr>
      <w:rPr>
        <w:rFonts w:ascii="Wingdings" w:hAnsi="Wingdings" w:hint="default"/>
      </w:rPr>
    </w:lvl>
    <w:lvl w:ilvl="3" w:tplc="04220001" w:tentative="1">
      <w:start w:val="1"/>
      <w:numFmt w:val="bullet"/>
      <w:lvlText w:val=""/>
      <w:lvlJc w:val="left"/>
      <w:pPr>
        <w:ind w:left="3260" w:hanging="360"/>
      </w:pPr>
      <w:rPr>
        <w:rFonts w:ascii="Symbol" w:hAnsi="Symbol" w:hint="default"/>
      </w:rPr>
    </w:lvl>
    <w:lvl w:ilvl="4" w:tplc="04220003" w:tentative="1">
      <w:start w:val="1"/>
      <w:numFmt w:val="bullet"/>
      <w:lvlText w:val="o"/>
      <w:lvlJc w:val="left"/>
      <w:pPr>
        <w:ind w:left="3980" w:hanging="360"/>
      </w:pPr>
      <w:rPr>
        <w:rFonts w:ascii="Courier New" w:hAnsi="Courier New" w:cs="Courier New" w:hint="default"/>
      </w:rPr>
    </w:lvl>
    <w:lvl w:ilvl="5" w:tplc="04220005" w:tentative="1">
      <w:start w:val="1"/>
      <w:numFmt w:val="bullet"/>
      <w:lvlText w:val=""/>
      <w:lvlJc w:val="left"/>
      <w:pPr>
        <w:ind w:left="4700" w:hanging="360"/>
      </w:pPr>
      <w:rPr>
        <w:rFonts w:ascii="Wingdings" w:hAnsi="Wingdings" w:hint="default"/>
      </w:rPr>
    </w:lvl>
    <w:lvl w:ilvl="6" w:tplc="04220001" w:tentative="1">
      <w:start w:val="1"/>
      <w:numFmt w:val="bullet"/>
      <w:lvlText w:val=""/>
      <w:lvlJc w:val="left"/>
      <w:pPr>
        <w:ind w:left="5420" w:hanging="360"/>
      </w:pPr>
      <w:rPr>
        <w:rFonts w:ascii="Symbol" w:hAnsi="Symbol" w:hint="default"/>
      </w:rPr>
    </w:lvl>
    <w:lvl w:ilvl="7" w:tplc="04220003" w:tentative="1">
      <w:start w:val="1"/>
      <w:numFmt w:val="bullet"/>
      <w:lvlText w:val="o"/>
      <w:lvlJc w:val="left"/>
      <w:pPr>
        <w:ind w:left="6140" w:hanging="360"/>
      </w:pPr>
      <w:rPr>
        <w:rFonts w:ascii="Courier New" w:hAnsi="Courier New" w:cs="Courier New" w:hint="default"/>
      </w:rPr>
    </w:lvl>
    <w:lvl w:ilvl="8" w:tplc="04220005" w:tentative="1">
      <w:start w:val="1"/>
      <w:numFmt w:val="bullet"/>
      <w:lvlText w:val=""/>
      <w:lvlJc w:val="left"/>
      <w:pPr>
        <w:ind w:left="6860" w:hanging="360"/>
      </w:pPr>
      <w:rPr>
        <w:rFonts w:ascii="Wingdings" w:hAnsi="Wingdings" w:hint="default"/>
      </w:rPr>
    </w:lvl>
  </w:abstractNum>
  <w:abstractNum w:abstractNumId="22" w15:restartNumberingAfterBreak="0">
    <w:nsid w:val="740D5CD9"/>
    <w:multiLevelType w:val="multilevel"/>
    <w:tmpl w:val="D6FAE58C"/>
    <w:numStyleLink w:val="newnumberingapplications"/>
  </w:abstractNum>
  <w:abstractNum w:abstractNumId="23" w15:restartNumberingAfterBreak="0">
    <w:nsid w:val="742F7110"/>
    <w:multiLevelType w:val="hybridMultilevel"/>
    <w:tmpl w:val="AB00C1F0"/>
    <w:lvl w:ilvl="0" w:tplc="B4AA6A7A">
      <w:start w:val="1"/>
      <w:numFmt w:val="decimal"/>
      <w:lvlText w:val="%1."/>
      <w:lvlJc w:val="left"/>
      <w:pPr>
        <w:ind w:left="794" w:hanging="360"/>
      </w:pPr>
      <w:rPr>
        <w:rFonts w:ascii="Calibri" w:eastAsia="Calibri" w:hAnsi="Calibri" w:cs="Calibri" w:hint="default"/>
        <w:b w:val="0"/>
        <w:bCs w:val="0"/>
        <w:i w:val="0"/>
        <w:iCs w:val="0"/>
        <w:spacing w:val="0"/>
        <w:w w:val="100"/>
        <w:sz w:val="22"/>
        <w:szCs w:val="22"/>
        <w:lang w:val="uk-UA" w:eastAsia="en-US" w:bidi="ar-SA"/>
      </w:rPr>
    </w:lvl>
    <w:lvl w:ilvl="1" w:tplc="447A569E">
      <w:numFmt w:val="bullet"/>
      <w:lvlText w:val="•"/>
      <w:lvlJc w:val="left"/>
      <w:pPr>
        <w:ind w:left="1343" w:hanging="360"/>
      </w:pPr>
      <w:rPr>
        <w:rFonts w:hint="default"/>
        <w:lang w:val="uk-UA" w:eastAsia="en-US" w:bidi="ar-SA"/>
      </w:rPr>
    </w:lvl>
    <w:lvl w:ilvl="2" w:tplc="5D366226">
      <w:numFmt w:val="bullet"/>
      <w:lvlText w:val="•"/>
      <w:lvlJc w:val="left"/>
      <w:pPr>
        <w:ind w:left="1886" w:hanging="360"/>
      </w:pPr>
      <w:rPr>
        <w:rFonts w:hint="default"/>
        <w:lang w:val="uk-UA" w:eastAsia="en-US" w:bidi="ar-SA"/>
      </w:rPr>
    </w:lvl>
    <w:lvl w:ilvl="3" w:tplc="CF4AEA66">
      <w:numFmt w:val="bullet"/>
      <w:lvlText w:val="•"/>
      <w:lvlJc w:val="left"/>
      <w:pPr>
        <w:ind w:left="2429" w:hanging="360"/>
      </w:pPr>
      <w:rPr>
        <w:rFonts w:hint="default"/>
        <w:lang w:val="uk-UA" w:eastAsia="en-US" w:bidi="ar-SA"/>
      </w:rPr>
    </w:lvl>
    <w:lvl w:ilvl="4" w:tplc="0FE056DE">
      <w:numFmt w:val="bullet"/>
      <w:lvlText w:val="•"/>
      <w:lvlJc w:val="left"/>
      <w:pPr>
        <w:ind w:left="2972" w:hanging="360"/>
      </w:pPr>
      <w:rPr>
        <w:rFonts w:hint="default"/>
        <w:lang w:val="uk-UA" w:eastAsia="en-US" w:bidi="ar-SA"/>
      </w:rPr>
    </w:lvl>
    <w:lvl w:ilvl="5" w:tplc="FB3CCA7A">
      <w:numFmt w:val="bullet"/>
      <w:lvlText w:val="•"/>
      <w:lvlJc w:val="left"/>
      <w:pPr>
        <w:ind w:left="3515" w:hanging="360"/>
      </w:pPr>
      <w:rPr>
        <w:rFonts w:hint="default"/>
        <w:lang w:val="uk-UA" w:eastAsia="en-US" w:bidi="ar-SA"/>
      </w:rPr>
    </w:lvl>
    <w:lvl w:ilvl="6" w:tplc="3B88320E">
      <w:numFmt w:val="bullet"/>
      <w:lvlText w:val="•"/>
      <w:lvlJc w:val="left"/>
      <w:pPr>
        <w:ind w:left="4058" w:hanging="360"/>
      </w:pPr>
      <w:rPr>
        <w:rFonts w:hint="default"/>
        <w:lang w:val="uk-UA" w:eastAsia="en-US" w:bidi="ar-SA"/>
      </w:rPr>
    </w:lvl>
    <w:lvl w:ilvl="7" w:tplc="B88AFE92">
      <w:numFmt w:val="bullet"/>
      <w:lvlText w:val="•"/>
      <w:lvlJc w:val="left"/>
      <w:pPr>
        <w:ind w:left="4601" w:hanging="360"/>
      </w:pPr>
      <w:rPr>
        <w:rFonts w:hint="default"/>
        <w:lang w:val="uk-UA" w:eastAsia="en-US" w:bidi="ar-SA"/>
      </w:rPr>
    </w:lvl>
    <w:lvl w:ilvl="8" w:tplc="D2164D0A">
      <w:numFmt w:val="bullet"/>
      <w:lvlText w:val="•"/>
      <w:lvlJc w:val="left"/>
      <w:pPr>
        <w:ind w:left="5144" w:hanging="360"/>
      </w:pPr>
      <w:rPr>
        <w:rFonts w:hint="default"/>
        <w:lang w:val="uk-UA" w:eastAsia="en-US" w:bidi="ar-SA"/>
      </w:rPr>
    </w:lvl>
  </w:abstractNum>
  <w:abstractNum w:abstractNumId="24" w15:restartNumberingAfterBreak="0">
    <w:nsid w:val="7578467C"/>
    <w:multiLevelType w:val="hybridMultilevel"/>
    <w:tmpl w:val="2B62C964"/>
    <w:lvl w:ilvl="0" w:tplc="4DA2BBAC">
      <w:start w:val="1"/>
      <w:numFmt w:val="decimal"/>
      <w:suff w:val="space"/>
      <w:lvlText w:val="%1)"/>
      <w:lvlJc w:val="left"/>
      <w:pPr>
        <w:ind w:left="360" w:hanging="360"/>
      </w:pPr>
      <w:rPr>
        <w:rFonts w:hint="default"/>
        <w:b w:val="0"/>
        <w:i w:val="0"/>
        <w:color w:val="auto"/>
      </w:rPr>
    </w:lvl>
    <w:lvl w:ilvl="1" w:tplc="04220019" w:tentative="1">
      <w:start w:val="1"/>
      <w:numFmt w:val="lowerLetter"/>
      <w:lvlText w:val="%2."/>
      <w:lvlJc w:val="left"/>
      <w:pPr>
        <w:ind w:left="3208" w:hanging="360"/>
      </w:pPr>
    </w:lvl>
    <w:lvl w:ilvl="2" w:tplc="0422001B" w:tentative="1">
      <w:start w:val="1"/>
      <w:numFmt w:val="lowerRoman"/>
      <w:lvlText w:val="%3."/>
      <w:lvlJc w:val="right"/>
      <w:pPr>
        <w:ind w:left="3928" w:hanging="180"/>
      </w:pPr>
    </w:lvl>
    <w:lvl w:ilvl="3" w:tplc="0422000F" w:tentative="1">
      <w:start w:val="1"/>
      <w:numFmt w:val="decimal"/>
      <w:lvlText w:val="%4."/>
      <w:lvlJc w:val="left"/>
      <w:pPr>
        <w:ind w:left="4648" w:hanging="360"/>
      </w:pPr>
    </w:lvl>
    <w:lvl w:ilvl="4" w:tplc="04220019" w:tentative="1">
      <w:start w:val="1"/>
      <w:numFmt w:val="lowerLetter"/>
      <w:lvlText w:val="%5."/>
      <w:lvlJc w:val="left"/>
      <w:pPr>
        <w:ind w:left="5368" w:hanging="360"/>
      </w:pPr>
    </w:lvl>
    <w:lvl w:ilvl="5" w:tplc="0422001B" w:tentative="1">
      <w:start w:val="1"/>
      <w:numFmt w:val="lowerRoman"/>
      <w:lvlText w:val="%6."/>
      <w:lvlJc w:val="right"/>
      <w:pPr>
        <w:ind w:left="6088" w:hanging="180"/>
      </w:pPr>
    </w:lvl>
    <w:lvl w:ilvl="6" w:tplc="0422000F" w:tentative="1">
      <w:start w:val="1"/>
      <w:numFmt w:val="decimal"/>
      <w:lvlText w:val="%7."/>
      <w:lvlJc w:val="left"/>
      <w:pPr>
        <w:ind w:left="6808" w:hanging="360"/>
      </w:pPr>
    </w:lvl>
    <w:lvl w:ilvl="7" w:tplc="04220019" w:tentative="1">
      <w:start w:val="1"/>
      <w:numFmt w:val="lowerLetter"/>
      <w:lvlText w:val="%8."/>
      <w:lvlJc w:val="left"/>
      <w:pPr>
        <w:ind w:left="7528" w:hanging="360"/>
      </w:pPr>
    </w:lvl>
    <w:lvl w:ilvl="8" w:tplc="0422001B" w:tentative="1">
      <w:start w:val="1"/>
      <w:numFmt w:val="lowerRoman"/>
      <w:lvlText w:val="%9."/>
      <w:lvlJc w:val="right"/>
      <w:pPr>
        <w:ind w:left="8248" w:hanging="180"/>
      </w:pPr>
    </w:lvl>
  </w:abstractNum>
  <w:abstractNum w:abstractNumId="25" w15:restartNumberingAfterBreak="0">
    <w:nsid w:val="7CD425BD"/>
    <w:multiLevelType w:val="hybridMultilevel"/>
    <w:tmpl w:val="70969A38"/>
    <w:lvl w:ilvl="0" w:tplc="50D8E9C2">
      <w:start w:val="13"/>
      <w:numFmt w:val="decimal"/>
      <w:lvlText w:val="%1)"/>
      <w:lvlJc w:val="left"/>
      <w:pPr>
        <w:ind w:left="720" w:hanging="360"/>
      </w:pPr>
      <w:rPr>
        <w:rFonts w:hint="default"/>
        <w:sz w:val="24"/>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6" w15:restartNumberingAfterBreak="0">
    <w:nsid w:val="7EF25FAC"/>
    <w:multiLevelType w:val="hybridMultilevel"/>
    <w:tmpl w:val="2B62C964"/>
    <w:lvl w:ilvl="0" w:tplc="4DA2BBAC">
      <w:start w:val="1"/>
      <w:numFmt w:val="decimal"/>
      <w:suff w:val="space"/>
      <w:lvlText w:val="%1)"/>
      <w:lvlJc w:val="left"/>
      <w:pPr>
        <w:ind w:left="360" w:hanging="360"/>
      </w:pPr>
      <w:rPr>
        <w:rFonts w:hint="default"/>
        <w:b w:val="0"/>
        <w:i w:val="0"/>
        <w:color w:val="auto"/>
      </w:rPr>
    </w:lvl>
    <w:lvl w:ilvl="1" w:tplc="04220019" w:tentative="1">
      <w:start w:val="1"/>
      <w:numFmt w:val="lowerLetter"/>
      <w:lvlText w:val="%2."/>
      <w:lvlJc w:val="left"/>
      <w:pPr>
        <w:ind w:left="3208" w:hanging="360"/>
      </w:pPr>
    </w:lvl>
    <w:lvl w:ilvl="2" w:tplc="0422001B" w:tentative="1">
      <w:start w:val="1"/>
      <w:numFmt w:val="lowerRoman"/>
      <w:lvlText w:val="%3."/>
      <w:lvlJc w:val="right"/>
      <w:pPr>
        <w:ind w:left="3928" w:hanging="180"/>
      </w:pPr>
    </w:lvl>
    <w:lvl w:ilvl="3" w:tplc="0422000F" w:tentative="1">
      <w:start w:val="1"/>
      <w:numFmt w:val="decimal"/>
      <w:lvlText w:val="%4."/>
      <w:lvlJc w:val="left"/>
      <w:pPr>
        <w:ind w:left="4648" w:hanging="360"/>
      </w:pPr>
    </w:lvl>
    <w:lvl w:ilvl="4" w:tplc="04220019" w:tentative="1">
      <w:start w:val="1"/>
      <w:numFmt w:val="lowerLetter"/>
      <w:lvlText w:val="%5."/>
      <w:lvlJc w:val="left"/>
      <w:pPr>
        <w:ind w:left="5368" w:hanging="360"/>
      </w:pPr>
    </w:lvl>
    <w:lvl w:ilvl="5" w:tplc="0422001B" w:tentative="1">
      <w:start w:val="1"/>
      <w:numFmt w:val="lowerRoman"/>
      <w:lvlText w:val="%6."/>
      <w:lvlJc w:val="right"/>
      <w:pPr>
        <w:ind w:left="6088" w:hanging="180"/>
      </w:pPr>
    </w:lvl>
    <w:lvl w:ilvl="6" w:tplc="0422000F" w:tentative="1">
      <w:start w:val="1"/>
      <w:numFmt w:val="decimal"/>
      <w:lvlText w:val="%7."/>
      <w:lvlJc w:val="left"/>
      <w:pPr>
        <w:ind w:left="6808" w:hanging="360"/>
      </w:pPr>
    </w:lvl>
    <w:lvl w:ilvl="7" w:tplc="04220019" w:tentative="1">
      <w:start w:val="1"/>
      <w:numFmt w:val="lowerLetter"/>
      <w:lvlText w:val="%8."/>
      <w:lvlJc w:val="left"/>
      <w:pPr>
        <w:ind w:left="7528" w:hanging="360"/>
      </w:pPr>
    </w:lvl>
    <w:lvl w:ilvl="8" w:tplc="0422001B" w:tentative="1">
      <w:start w:val="1"/>
      <w:numFmt w:val="lowerRoman"/>
      <w:lvlText w:val="%9."/>
      <w:lvlJc w:val="right"/>
      <w:pPr>
        <w:ind w:left="8248" w:hanging="180"/>
      </w:pPr>
    </w:lvl>
  </w:abstractNum>
  <w:num w:numId="1">
    <w:abstractNumId w:val="0"/>
  </w:num>
  <w:num w:numId="2">
    <w:abstractNumId w:val="16"/>
  </w:num>
  <w:num w:numId="3">
    <w:abstractNumId w:val="22"/>
  </w:num>
  <w:num w:numId="4">
    <w:abstractNumId w:val="20"/>
  </w:num>
  <w:num w:numId="5">
    <w:abstractNumId w:val="12"/>
  </w:num>
  <w:num w:numId="6">
    <w:abstractNumId w:val="6"/>
  </w:num>
  <w:num w:numId="7">
    <w:abstractNumId w:val="14"/>
  </w:num>
  <w:num w:numId="8">
    <w:abstractNumId w:val="13"/>
  </w:num>
  <w:num w:numId="9">
    <w:abstractNumId w:val="18"/>
  </w:num>
  <w:num w:numId="10">
    <w:abstractNumId w:val="8"/>
  </w:num>
  <w:num w:numId="11">
    <w:abstractNumId w:val="19"/>
  </w:num>
  <w:num w:numId="12">
    <w:abstractNumId w:val="24"/>
  </w:num>
  <w:num w:numId="13">
    <w:abstractNumId w:val="15"/>
  </w:num>
  <w:num w:numId="14">
    <w:abstractNumId w:val="9"/>
  </w:num>
  <w:num w:numId="15">
    <w:abstractNumId w:val="10"/>
  </w:num>
  <w:num w:numId="16">
    <w:abstractNumId w:val="25"/>
  </w:num>
  <w:num w:numId="17">
    <w:abstractNumId w:val="26"/>
  </w:num>
  <w:num w:numId="18">
    <w:abstractNumId w:val="17"/>
  </w:num>
  <w:num w:numId="19">
    <w:abstractNumId w:val="1"/>
  </w:num>
  <w:num w:numId="20">
    <w:abstractNumId w:val="11"/>
  </w:num>
  <w:num w:numId="21">
    <w:abstractNumId w:val="2"/>
  </w:num>
  <w:num w:numId="22">
    <w:abstractNumId w:val="21"/>
  </w:num>
  <w:num w:numId="23">
    <w:abstractNumId w:val="3"/>
  </w:num>
  <w:num w:numId="24">
    <w:abstractNumId w:val="23"/>
  </w:num>
  <w:num w:numId="25">
    <w:abstractNumId w:val="7"/>
  </w:num>
  <w:num w:numId="26">
    <w:abstractNumId w:val="5"/>
  </w:num>
  <w:num w:numId="27">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1E30"/>
    <w:rsid w:val="00000EC6"/>
    <w:rsid w:val="00002C80"/>
    <w:rsid w:val="0000333F"/>
    <w:rsid w:val="0000354A"/>
    <w:rsid w:val="00003676"/>
    <w:rsid w:val="00003C27"/>
    <w:rsid w:val="00003DEB"/>
    <w:rsid w:val="0000434B"/>
    <w:rsid w:val="00004731"/>
    <w:rsid w:val="0000490D"/>
    <w:rsid w:val="00004B98"/>
    <w:rsid w:val="00004E4A"/>
    <w:rsid w:val="000052F8"/>
    <w:rsid w:val="00005630"/>
    <w:rsid w:val="00005714"/>
    <w:rsid w:val="000058EB"/>
    <w:rsid w:val="00005D5F"/>
    <w:rsid w:val="00006EC0"/>
    <w:rsid w:val="00007609"/>
    <w:rsid w:val="00007E3C"/>
    <w:rsid w:val="0001000D"/>
    <w:rsid w:val="00010762"/>
    <w:rsid w:val="00010870"/>
    <w:rsid w:val="00010BC4"/>
    <w:rsid w:val="00010E58"/>
    <w:rsid w:val="00012AEC"/>
    <w:rsid w:val="00012C08"/>
    <w:rsid w:val="0001414D"/>
    <w:rsid w:val="00014827"/>
    <w:rsid w:val="00015167"/>
    <w:rsid w:val="00015796"/>
    <w:rsid w:val="00016DCE"/>
    <w:rsid w:val="00020B53"/>
    <w:rsid w:val="00021ADD"/>
    <w:rsid w:val="00021E69"/>
    <w:rsid w:val="00022175"/>
    <w:rsid w:val="0002262A"/>
    <w:rsid w:val="00022D51"/>
    <w:rsid w:val="00023367"/>
    <w:rsid w:val="000235C8"/>
    <w:rsid w:val="000236B3"/>
    <w:rsid w:val="00023DE8"/>
    <w:rsid w:val="00024208"/>
    <w:rsid w:val="00024FC1"/>
    <w:rsid w:val="0002509A"/>
    <w:rsid w:val="00025645"/>
    <w:rsid w:val="0002647D"/>
    <w:rsid w:val="00026909"/>
    <w:rsid w:val="00026CAB"/>
    <w:rsid w:val="00027AAE"/>
    <w:rsid w:val="00027F72"/>
    <w:rsid w:val="000304B8"/>
    <w:rsid w:val="00030B6C"/>
    <w:rsid w:val="0003194F"/>
    <w:rsid w:val="000330A0"/>
    <w:rsid w:val="000334DB"/>
    <w:rsid w:val="00033BB1"/>
    <w:rsid w:val="00033CCD"/>
    <w:rsid w:val="00034797"/>
    <w:rsid w:val="00036665"/>
    <w:rsid w:val="00036CA7"/>
    <w:rsid w:val="00037BA4"/>
    <w:rsid w:val="0004087C"/>
    <w:rsid w:val="00040964"/>
    <w:rsid w:val="00040D87"/>
    <w:rsid w:val="00042235"/>
    <w:rsid w:val="00042389"/>
    <w:rsid w:val="00043488"/>
    <w:rsid w:val="00043726"/>
    <w:rsid w:val="000438F5"/>
    <w:rsid w:val="00044079"/>
    <w:rsid w:val="00044486"/>
    <w:rsid w:val="000446B9"/>
    <w:rsid w:val="00044D14"/>
    <w:rsid w:val="00044D67"/>
    <w:rsid w:val="00050544"/>
    <w:rsid w:val="00050E2D"/>
    <w:rsid w:val="000513D6"/>
    <w:rsid w:val="0005219E"/>
    <w:rsid w:val="00052C93"/>
    <w:rsid w:val="00052E4C"/>
    <w:rsid w:val="00052EBA"/>
    <w:rsid w:val="00052FFD"/>
    <w:rsid w:val="00054089"/>
    <w:rsid w:val="00054143"/>
    <w:rsid w:val="0005431B"/>
    <w:rsid w:val="000549A8"/>
    <w:rsid w:val="00054A0C"/>
    <w:rsid w:val="000551FE"/>
    <w:rsid w:val="000557EC"/>
    <w:rsid w:val="0005764B"/>
    <w:rsid w:val="000600B9"/>
    <w:rsid w:val="00060A0F"/>
    <w:rsid w:val="00061F4F"/>
    <w:rsid w:val="00062180"/>
    <w:rsid w:val="00062223"/>
    <w:rsid w:val="00062B41"/>
    <w:rsid w:val="00062C24"/>
    <w:rsid w:val="00063D28"/>
    <w:rsid w:val="000642EA"/>
    <w:rsid w:val="0006493D"/>
    <w:rsid w:val="00065995"/>
    <w:rsid w:val="000662AE"/>
    <w:rsid w:val="00066CED"/>
    <w:rsid w:val="00066F14"/>
    <w:rsid w:val="00067576"/>
    <w:rsid w:val="000675D1"/>
    <w:rsid w:val="00071476"/>
    <w:rsid w:val="0007213C"/>
    <w:rsid w:val="00072208"/>
    <w:rsid w:val="00072584"/>
    <w:rsid w:val="00073808"/>
    <w:rsid w:val="00073EB6"/>
    <w:rsid w:val="00073FAF"/>
    <w:rsid w:val="0007473A"/>
    <w:rsid w:val="000751B3"/>
    <w:rsid w:val="00076006"/>
    <w:rsid w:val="000766D6"/>
    <w:rsid w:val="00076A8A"/>
    <w:rsid w:val="0007769E"/>
    <w:rsid w:val="00077AD6"/>
    <w:rsid w:val="000808F2"/>
    <w:rsid w:val="00081FB6"/>
    <w:rsid w:val="00082346"/>
    <w:rsid w:val="000824C0"/>
    <w:rsid w:val="00082D8A"/>
    <w:rsid w:val="00083198"/>
    <w:rsid w:val="00083251"/>
    <w:rsid w:val="000842B7"/>
    <w:rsid w:val="000843BA"/>
    <w:rsid w:val="00085C70"/>
    <w:rsid w:val="0008619B"/>
    <w:rsid w:val="00086D04"/>
    <w:rsid w:val="0008743B"/>
    <w:rsid w:val="000908FF"/>
    <w:rsid w:val="00090979"/>
    <w:rsid w:val="00090EDF"/>
    <w:rsid w:val="00091A61"/>
    <w:rsid w:val="000920B3"/>
    <w:rsid w:val="000922D5"/>
    <w:rsid w:val="000927F5"/>
    <w:rsid w:val="0009297E"/>
    <w:rsid w:val="00093181"/>
    <w:rsid w:val="000940D2"/>
    <w:rsid w:val="00094B05"/>
    <w:rsid w:val="00095E54"/>
    <w:rsid w:val="000960B7"/>
    <w:rsid w:val="00096C49"/>
    <w:rsid w:val="00096CF6"/>
    <w:rsid w:val="00097A48"/>
    <w:rsid w:val="000A008A"/>
    <w:rsid w:val="000A0C58"/>
    <w:rsid w:val="000A0D06"/>
    <w:rsid w:val="000A0E5D"/>
    <w:rsid w:val="000A1246"/>
    <w:rsid w:val="000A1364"/>
    <w:rsid w:val="000A1661"/>
    <w:rsid w:val="000A1CE3"/>
    <w:rsid w:val="000A3591"/>
    <w:rsid w:val="000A369F"/>
    <w:rsid w:val="000A3BD4"/>
    <w:rsid w:val="000A44E4"/>
    <w:rsid w:val="000A45D5"/>
    <w:rsid w:val="000A469A"/>
    <w:rsid w:val="000A4E3E"/>
    <w:rsid w:val="000A594B"/>
    <w:rsid w:val="000A652A"/>
    <w:rsid w:val="000A65F6"/>
    <w:rsid w:val="000A7BD9"/>
    <w:rsid w:val="000B0015"/>
    <w:rsid w:val="000B042D"/>
    <w:rsid w:val="000B063F"/>
    <w:rsid w:val="000B31CF"/>
    <w:rsid w:val="000B4249"/>
    <w:rsid w:val="000B4E48"/>
    <w:rsid w:val="000B63A6"/>
    <w:rsid w:val="000B6792"/>
    <w:rsid w:val="000B7277"/>
    <w:rsid w:val="000B7898"/>
    <w:rsid w:val="000C042A"/>
    <w:rsid w:val="000C0750"/>
    <w:rsid w:val="000C1B45"/>
    <w:rsid w:val="000C1BF3"/>
    <w:rsid w:val="000C1CC9"/>
    <w:rsid w:val="000C1E83"/>
    <w:rsid w:val="000C263E"/>
    <w:rsid w:val="000C271C"/>
    <w:rsid w:val="000C29B8"/>
    <w:rsid w:val="000C2B05"/>
    <w:rsid w:val="000C2DD6"/>
    <w:rsid w:val="000C358F"/>
    <w:rsid w:val="000C35B4"/>
    <w:rsid w:val="000C35EB"/>
    <w:rsid w:val="000C3B18"/>
    <w:rsid w:val="000C3D2E"/>
    <w:rsid w:val="000C3D6D"/>
    <w:rsid w:val="000C53B0"/>
    <w:rsid w:val="000C5880"/>
    <w:rsid w:val="000C5CA0"/>
    <w:rsid w:val="000C5DAB"/>
    <w:rsid w:val="000D00CD"/>
    <w:rsid w:val="000D138C"/>
    <w:rsid w:val="000D22FF"/>
    <w:rsid w:val="000D24FC"/>
    <w:rsid w:val="000D45F3"/>
    <w:rsid w:val="000D53E8"/>
    <w:rsid w:val="000D5BDC"/>
    <w:rsid w:val="000D61FB"/>
    <w:rsid w:val="000D6843"/>
    <w:rsid w:val="000D687F"/>
    <w:rsid w:val="000D6D09"/>
    <w:rsid w:val="000D769D"/>
    <w:rsid w:val="000D7B01"/>
    <w:rsid w:val="000E101F"/>
    <w:rsid w:val="000E123F"/>
    <w:rsid w:val="000E1F52"/>
    <w:rsid w:val="000E2AA4"/>
    <w:rsid w:val="000E39D6"/>
    <w:rsid w:val="000E4307"/>
    <w:rsid w:val="000E45C2"/>
    <w:rsid w:val="000E4A86"/>
    <w:rsid w:val="000E5025"/>
    <w:rsid w:val="000E6121"/>
    <w:rsid w:val="000E6750"/>
    <w:rsid w:val="000E68A8"/>
    <w:rsid w:val="000E6FFC"/>
    <w:rsid w:val="000F08A1"/>
    <w:rsid w:val="000F12F9"/>
    <w:rsid w:val="000F1D5F"/>
    <w:rsid w:val="000F1E30"/>
    <w:rsid w:val="000F32F3"/>
    <w:rsid w:val="000F3752"/>
    <w:rsid w:val="000F3E03"/>
    <w:rsid w:val="000F3E22"/>
    <w:rsid w:val="000F4161"/>
    <w:rsid w:val="000F4220"/>
    <w:rsid w:val="000F4B93"/>
    <w:rsid w:val="000F4CEB"/>
    <w:rsid w:val="000F54A9"/>
    <w:rsid w:val="000F5F30"/>
    <w:rsid w:val="000F67FA"/>
    <w:rsid w:val="000F720C"/>
    <w:rsid w:val="001001BE"/>
    <w:rsid w:val="001007AF"/>
    <w:rsid w:val="00101597"/>
    <w:rsid w:val="00101A7C"/>
    <w:rsid w:val="00101E31"/>
    <w:rsid w:val="0010407C"/>
    <w:rsid w:val="001047FC"/>
    <w:rsid w:val="0010557B"/>
    <w:rsid w:val="00105A68"/>
    <w:rsid w:val="00106416"/>
    <w:rsid w:val="001066BA"/>
    <w:rsid w:val="0010682C"/>
    <w:rsid w:val="00106AB5"/>
    <w:rsid w:val="00106EFA"/>
    <w:rsid w:val="0010755C"/>
    <w:rsid w:val="001077A3"/>
    <w:rsid w:val="00107A4D"/>
    <w:rsid w:val="001108CA"/>
    <w:rsid w:val="0011127D"/>
    <w:rsid w:val="00111734"/>
    <w:rsid w:val="00112116"/>
    <w:rsid w:val="0011307D"/>
    <w:rsid w:val="001141EB"/>
    <w:rsid w:val="00114206"/>
    <w:rsid w:val="001145DF"/>
    <w:rsid w:val="001155FD"/>
    <w:rsid w:val="00115B36"/>
    <w:rsid w:val="00115FFD"/>
    <w:rsid w:val="001160D9"/>
    <w:rsid w:val="001163FB"/>
    <w:rsid w:val="00116CF8"/>
    <w:rsid w:val="00116F6F"/>
    <w:rsid w:val="00117706"/>
    <w:rsid w:val="0011770F"/>
    <w:rsid w:val="00120649"/>
    <w:rsid w:val="001206AA"/>
    <w:rsid w:val="001212CE"/>
    <w:rsid w:val="00121C52"/>
    <w:rsid w:val="00121E98"/>
    <w:rsid w:val="001226C9"/>
    <w:rsid w:val="00122E25"/>
    <w:rsid w:val="0012336B"/>
    <w:rsid w:val="001235FB"/>
    <w:rsid w:val="00123FF9"/>
    <w:rsid w:val="00124341"/>
    <w:rsid w:val="00124723"/>
    <w:rsid w:val="00124791"/>
    <w:rsid w:val="00124827"/>
    <w:rsid w:val="0012486F"/>
    <w:rsid w:val="00124C06"/>
    <w:rsid w:val="00124D16"/>
    <w:rsid w:val="001251CC"/>
    <w:rsid w:val="0012623B"/>
    <w:rsid w:val="00126760"/>
    <w:rsid w:val="001268D2"/>
    <w:rsid w:val="00126E0A"/>
    <w:rsid w:val="001270D1"/>
    <w:rsid w:val="001277C9"/>
    <w:rsid w:val="00127AD5"/>
    <w:rsid w:val="00127BBC"/>
    <w:rsid w:val="00127D53"/>
    <w:rsid w:val="00130F48"/>
    <w:rsid w:val="001312C3"/>
    <w:rsid w:val="00133891"/>
    <w:rsid w:val="00133C87"/>
    <w:rsid w:val="00133D9E"/>
    <w:rsid w:val="00133F3A"/>
    <w:rsid w:val="00134351"/>
    <w:rsid w:val="00134577"/>
    <w:rsid w:val="0013614B"/>
    <w:rsid w:val="00136341"/>
    <w:rsid w:val="00137A8E"/>
    <w:rsid w:val="0014006A"/>
    <w:rsid w:val="00140B9B"/>
    <w:rsid w:val="001413AD"/>
    <w:rsid w:val="001420E5"/>
    <w:rsid w:val="00142698"/>
    <w:rsid w:val="00142EE4"/>
    <w:rsid w:val="00143C2C"/>
    <w:rsid w:val="0014450F"/>
    <w:rsid w:val="001446D7"/>
    <w:rsid w:val="00144A43"/>
    <w:rsid w:val="00147986"/>
    <w:rsid w:val="0015052E"/>
    <w:rsid w:val="00151031"/>
    <w:rsid w:val="001524DD"/>
    <w:rsid w:val="00153577"/>
    <w:rsid w:val="00154C21"/>
    <w:rsid w:val="00155706"/>
    <w:rsid w:val="00155B54"/>
    <w:rsid w:val="00156490"/>
    <w:rsid w:val="001572EC"/>
    <w:rsid w:val="00157373"/>
    <w:rsid w:val="001579B0"/>
    <w:rsid w:val="00161A74"/>
    <w:rsid w:val="001622DD"/>
    <w:rsid w:val="00162372"/>
    <w:rsid w:val="00162CD0"/>
    <w:rsid w:val="00163305"/>
    <w:rsid w:val="00163956"/>
    <w:rsid w:val="001644B7"/>
    <w:rsid w:val="00164872"/>
    <w:rsid w:val="00164891"/>
    <w:rsid w:val="00164A90"/>
    <w:rsid w:val="00165E7E"/>
    <w:rsid w:val="0016663C"/>
    <w:rsid w:val="001669BF"/>
    <w:rsid w:val="00166C2C"/>
    <w:rsid w:val="001709EF"/>
    <w:rsid w:val="00171013"/>
    <w:rsid w:val="001712BB"/>
    <w:rsid w:val="00172240"/>
    <w:rsid w:val="00172720"/>
    <w:rsid w:val="00172CA3"/>
    <w:rsid w:val="001732A0"/>
    <w:rsid w:val="00174254"/>
    <w:rsid w:val="00174715"/>
    <w:rsid w:val="001748F5"/>
    <w:rsid w:val="001751F0"/>
    <w:rsid w:val="0017570C"/>
    <w:rsid w:val="0017576C"/>
    <w:rsid w:val="00176B98"/>
    <w:rsid w:val="00177063"/>
    <w:rsid w:val="00180E0A"/>
    <w:rsid w:val="0018161D"/>
    <w:rsid w:val="001831A3"/>
    <w:rsid w:val="00183DD3"/>
    <w:rsid w:val="00184507"/>
    <w:rsid w:val="0018455A"/>
    <w:rsid w:val="00184728"/>
    <w:rsid w:val="00185EE5"/>
    <w:rsid w:val="00190516"/>
    <w:rsid w:val="00190604"/>
    <w:rsid w:val="00192587"/>
    <w:rsid w:val="00192EEA"/>
    <w:rsid w:val="0019370A"/>
    <w:rsid w:val="001939E5"/>
    <w:rsid w:val="00193C3E"/>
    <w:rsid w:val="00193FE4"/>
    <w:rsid w:val="001943A6"/>
    <w:rsid w:val="001947D2"/>
    <w:rsid w:val="00195A47"/>
    <w:rsid w:val="00195D17"/>
    <w:rsid w:val="00196204"/>
    <w:rsid w:val="0019644F"/>
    <w:rsid w:val="0019719A"/>
    <w:rsid w:val="001A0CDA"/>
    <w:rsid w:val="001A1DA3"/>
    <w:rsid w:val="001A2C81"/>
    <w:rsid w:val="001A3055"/>
    <w:rsid w:val="001A32A6"/>
    <w:rsid w:val="001A3A15"/>
    <w:rsid w:val="001A3EB3"/>
    <w:rsid w:val="001A4E8E"/>
    <w:rsid w:val="001A51BC"/>
    <w:rsid w:val="001A54BF"/>
    <w:rsid w:val="001A6D13"/>
    <w:rsid w:val="001A7138"/>
    <w:rsid w:val="001A7A70"/>
    <w:rsid w:val="001A7B22"/>
    <w:rsid w:val="001B0496"/>
    <w:rsid w:val="001B1332"/>
    <w:rsid w:val="001B2D6F"/>
    <w:rsid w:val="001B3CEE"/>
    <w:rsid w:val="001B46D7"/>
    <w:rsid w:val="001B4865"/>
    <w:rsid w:val="001B62B3"/>
    <w:rsid w:val="001B6891"/>
    <w:rsid w:val="001B78DB"/>
    <w:rsid w:val="001B7ED4"/>
    <w:rsid w:val="001B7F23"/>
    <w:rsid w:val="001C0464"/>
    <w:rsid w:val="001C04CB"/>
    <w:rsid w:val="001C059C"/>
    <w:rsid w:val="001C0817"/>
    <w:rsid w:val="001C09FF"/>
    <w:rsid w:val="001C0A69"/>
    <w:rsid w:val="001C1205"/>
    <w:rsid w:val="001C1976"/>
    <w:rsid w:val="001C1ABD"/>
    <w:rsid w:val="001C1D18"/>
    <w:rsid w:val="001C1ED9"/>
    <w:rsid w:val="001C2F09"/>
    <w:rsid w:val="001C3E61"/>
    <w:rsid w:val="001C3ED9"/>
    <w:rsid w:val="001C4A44"/>
    <w:rsid w:val="001C4AE4"/>
    <w:rsid w:val="001C5176"/>
    <w:rsid w:val="001C6707"/>
    <w:rsid w:val="001C6EAF"/>
    <w:rsid w:val="001C7DBB"/>
    <w:rsid w:val="001D02C9"/>
    <w:rsid w:val="001D1104"/>
    <w:rsid w:val="001D16F8"/>
    <w:rsid w:val="001D1912"/>
    <w:rsid w:val="001D19AA"/>
    <w:rsid w:val="001D1D54"/>
    <w:rsid w:val="001D1F4B"/>
    <w:rsid w:val="001D30D4"/>
    <w:rsid w:val="001D5469"/>
    <w:rsid w:val="001D5920"/>
    <w:rsid w:val="001D5925"/>
    <w:rsid w:val="001D5CCF"/>
    <w:rsid w:val="001D5CDE"/>
    <w:rsid w:val="001D68F0"/>
    <w:rsid w:val="001D6CFE"/>
    <w:rsid w:val="001D738A"/>
    <w:rsid w:val="001D7489"/>
    <w:rsid w:val="001D7656"/>
    <w:rsid w:val="001D7D43"/>
    <w:rsid w:val="001E027E"/>
    <w:rsid w:val="001E0B3B"/>
    <w:rsid w:val="001E119B"/>
    <w:rsid w:val="001E11FF"/>
    <w:rsid w:val="001E1A78"/>
    <w:rsid w:val="001E1E75"/>
    <w:rsid w:val="001E2137"/>
    <w:rsid w:val="001E3311"/>
    <w:rsid w:val="001E42A2"/>
    <w:rsid w:val="001E474F"/>
    <w:rsid w:val="001E4AAF"/>
    <w:rsid w:val="001E4CE4"/>
    <w:rsid w:val="001E572F"/>
    <w:rsid w:val="001E57F4"/>
    <w:rsid w:val="001E5C7D"/>
    <w:rsid w:val="001E634F"/>
    <w:rsid w:val="001E7EF6"/>
    <w:rsid w:val="001F068D"/>
    <w:rsid w:val="001F085F"/>
    <w:rsid w:val="001F1608"/>
    <w:rsid w:val="001F16FD"/>
    <w:rsid w:val="001F27DF"/>
    <w:rsid w:val="001F2B24"/>
    <w:rsid w:val="001F2BFB"/>
    <w:rsid w:val="001F455C"/>
    <w:rsid w:val="001F4949"/>
    <w:rsid w:val="001F4D55"/>
    <w:rsid w:val="001F5436"/>
    <w:rsid w:val="001F624D"/>
    <w:rsid w:val="001F7D20"/>
    <w:rsid w:val="0020079F"/>
    <w:rsid w:val="00200830"/>
    <w:rsid w:val="002024DD"/>
    <w:rsid w:val="00202722"/>
    <w:rsid w:val="002030FC"/>
    <w:rsid w:val="002045E0"/>
    <w:rsid w:val="00204AB1"/>
    <w:rsid w:val="00204B84"/>
    <w:rsid w:val="002059A5"/>
    <w:rsid w:val="00205D32"/>
    <w:rsid w:val="0020680F"/>
    <w:rsid w:val="00207066"/>
    <w:rsid w:val="00207232"/>
    <w:rsid w:val="00207901"/>
    <w:rsid w:val="00210950"/>
    <w:rsid w:val="00210C5C"/>
    <w:rsid w:val="00212EC1"/>
    <w:rsid w:val="002138EF"/>
    <w:rsid w:val="00213C26"/>
    <w:rsid w:val="00213D89"/>
    <w:rsid w:val="002144F0"/>
    <w:rsid w:val="00214F46"/>
    <w:rsid w:val="00215963"/>
    <w:rsid w:val="00216240"/>
    <w:rsid w:val="00216DF4"/>
    <w:rsid w:val="00217CAC"/>
    <w:rsid w:val="00217EB9"/>
    <w:rsid w:val="0022042A"/>
    <w:rsid w:val="0022064B"/>
    <w:rsid w:val="002206D0"/>
    <w:rsid w:val="00221AC3"/>
    <w:rsid w:val="00221B33"/>
    <w:rsid w:val="00221BC7"/>
    <w:rsid w:val="00221E44"/>
    <w:rsid w:val="002220E0"/>
    <w:rsid w:val="0022266B"/>
    <w:rsid w:val="002226F0"/>
    <w:rsid w:val="00222BC6"/>
    <w:rsid w:val="00222D14"/>
    <w:rsid w:val="00223393"/>
    <w:rsid w:val="00223CBF"/>
    <w:rsid w:val="00224027"/>
    <w:rsid w:val="00224386"/>
    <w:rsid w:val="00224519"/>
    <w:rsid w:val="0022468F"/>
    <w:rsid w:val="00225C0C"/>
    <w:rsid w:val="0022642F"/>
    <w:rsid w:val="00227C25"/>
    <w:rsid w:val="00232A87"/>
    <w:rsid w:val="00233078"/>
    <w:rsid w:val="002332D3"/>
    <w:rsid w:val="00233BED"/>
    <w:rsid w:val="002351A1"/>
    <w:rsid w:val="00237DD6"/>
    <w:rsid w:val="002404EC"/>
    <w:rsid w:val="0024132B"/>
    <w:rsid w:val="00241C28"/>
    <w:rsid w:val="00242882"/>
    <w:rsid w:val="00242C79"/>
    <w:rsid w:val="00243543"/>
    <w:rsid w:val="00244CAC"/>
    <w:rsid w:val="00245163"/>
    <w:rsid w:val="002454DB"/>
    <w:rsid w:val="002456E7"/>
    <w:rsid w:val="00245701"/>
    <w:rsid w:val="00245955"/>
    <w:rsid w:val="00246040"/>
    <w:rsid w:val="0024629E"/>
    <w:rsid w:val="00246C2F"/>
    <w:rsid w:val="00247CE4"/>
    <w:rsid w:val="00247CEF"/>
    <w:rsid w:val="00247D02"/>
    <w:rsid w:val="00250670"/>
    <w:rsid w:val="002509EC"/>
    <w:rsid w:val="00250D84"/>
    <w:rsid w:val="002514C5"/>
    <w:rsid w:val="00251C23"/>
    <w:rsid w:val="00251D94"/>
    <w:rsid w:val="00252C32"/>
    <w:rsid w:val="00253654"/>
    <w:rsid w:val="002539FE"/>
    <w:rsid w:val="00253EE5"/>
    <w:rsid w:val="00254453"/>
    <w:rsid w:val="00254739"/>
    <w:rsid w:val="00254C29"/>
    <w:rsid w:val="00255696"/>
    <w:rsid w:val="00255997"/>
    <w:rsid w:val="00256A9C"/>
    <w:rsid w:val="0025742F"/>
    <w:rsid w:val="00257B19"/>
    <w:rsid w:val="00257DFF"/>
    <w:rsid w:val="00260ED1"/>
    <w:rsid w:val="002619CF"/>
    <w:rsid w:val="00261E23"/>
    <w:rsid w:val="00261F83"/>
    <w:rsid w:val="00262798"/>
    <w:rsid w:val="00262C3E"/>
    <w:rsid w:val="00262EDB"/>
    <w:rsid w:val="00263140"/>
    <w:rsid w:val="00263BF3"/>
    <w:rsid w:val="00264759"/>
    <w:rsid w:val="00264C33"/>
    <w:rsid w:val="00265690"/>
    <w:rsid w:val="00265818"/>
    <w:rsid w:val="0026586C"/>
    <w:rsid w:val="00266285"/>
    <w:rsid w:val="00267636"/>
    <w:rsid w:val="00267FD0"/>
    <w:rsid w:val="0027022F"/>
    <w:rsid w:val="002708B7"/>
    <w:rsid w:val="00271BB3"/>
    <w:rsid w:val="00273A93"/>
    <w:rsid w:val="00274353"/>
    <w:rsid w:val="00274B31"/>
    <w:rsid w:val="00274DB1"/>
    <w:rsid w:val="002753FD"/>
    <w:rsid w:val="00275B3F"/>
    <w:rsid w:val="00275BA0"/>
    <w:rsid w:val="002763E2"/>
    <w:rsid w:val="0027664E"/>
    <w:rsid w:val="00276771"/>
    <w:rsid w:val="00277184"/>
    <w:rsid w:val="00277A78"/>
    <w:rsid w:val="002803C4"/>
    <w:rsid w:val="00280531"/>
    <w:rsid w:val="00280B4F"/>
    <w:rsid w:val="00281ACB"/>
    <w:rsid w:val="00282062"/>
    <w:rsid w:val="00282AB2"/>
    <w:rsid w:val="00283452"/>
    <w:rsid w:val="00283531"/>
    <w:rsid w:val="0028363C"/>
    <w:rsid w:val="0028379B"/>
    <w:rsid w:val="00283E10"/>
    <w:rsid w:val="00284393"/>
    <w:rsid w:val="00284A3D"/>
    <w:rsid w:val="002854F0"/>
    <w:rsid w:val="00285E2D"/>
    <w:rsid w:val="0028635D"/>
    <w:rsid w:val="0028657A"/>
    <w:rsid w:val="00286896"/>
    <w:rsid w:val="00286925"/>
    <w:rsid w:val="00286F2B"/>
    <w:rsid w:val="00287058"/>
    <w:rsid w:val="00290A41"/>
    <w:rsid w:val="0029126C"/>
    <w:rsid w:val="00291344"/>
    <w:rsid w:val="00291C31"/>
    <w:rsid w:val="0029258A"/>
    <w:rsid w:val="00293CED"/>
    <w:rsid w:val="0029420B"/>
    <w:rsid w:val="002955EA"/>
    <w:rsid w:val="00297336"/>
    <w:rsid w:val="00297459"/>
    <w:rsid w:val="0029745A"/>
    <w:rsid w:val="002A08E0"/>
    <w:rsid w:val="002A11A7"/>
    <w:rsid w:val="002A1D5A"/>
    <w:rsid w:val="002A22AA"/>
    <w:rsid w:val="002A3093"/>
    <w:rsid w:val="002A3BE4"/>
    <w:rsid w:val="002A3D29"/>
    <w:rsid w:val="002A4B7F"/>
    <w:rsid w:val="002A4C59"/>
    <w:rsid w:val="002A5829"/>
    <w:rsid w:val="002A5999"/>
    <w:rsid w:val="002A5B8F"/>
    <w:rsid w:val="002A5CE7"/>
    <w:rsid w:val="002A61C9"/>
    <w:rsid w:val="002A6765"/>
    <w:rsid w:val="002A6A48"/>
    <w:rsid w:val="002A6D41"/>
    <w:rsid w:val="002A6E11"/>
    <w:rsid w:val="002A74CA"/>
    <w:rsid w:val="002B0CFF"/>
    <w:rsid w:val="002B0EED"/>
    <w:rsid w:val="002B0F0A"/>
    <w:rsid w:val="002B2476"/>
    <w:rsid w:val="002B2B9D"/>
    <w:rsid w:val="002B35F3"/>
    <w:rsid w:val="002B3741"/>
    <w:rsid w:val="002B3C03"/>
    <w:rsid w:val="002B408A"/>
    <w:rsid w:val="002B4269"/>
    <w:rsid w:val="002B4764"/>
    <w:rsid w:val="002B59BB"/>
    <w:rsid w:val="002B5A09"/>
    <w:rsid w:val="002B631B"/>
    <w:rsid w:val="002B7175"/>
    <w:rsid w:val="002B7307"/>
    <w:rsid w:val="002B7B8F"/>
    <w:rsid w:val="002C05B2"/>
    <w:rsid w:val="002C09B1"/>
    <w:rsid w:val="002C0C25"/>
    <w:rsid w:val="002C1ACD"/>
    <w:rsid w:val="002C1B62"/>
    <w:rsid w:val="002C2023"/>
    <w:rsid w:val="002C203D"/>
    <w:rsid w:val="002C2046"/>
    <w:rsid w:val="002C3BAE"/>
    <w:rsid w:val="002C3F0E"/>
    <w:rsid w:val="002C4195"/>
    <w:rsid w:val="002C4B7E"/>
    <w:rsid w:val="002C4D26"/>
    <w:rsid w:val="002C4D30"/>
    <w:rsid w:val="002C4D77"/>
    <w:rsid w:val="002C4E55"/>
    <w:rsid w:val="002C51BA"/>
    <w:rsid w:val="002C54AF"/>
    <w:rsid w:val="002C59E0"/>
    <w:rsid w:val="002C6DD1"/>
    <w:rsid w:val="002C6EBB"/>
    <w:rsid w:val="002D0C81"/>
    <w:rsid w:val="002D1061"/>
    <w:rsid w:val="002D233C"/>
    <w:rsid w:val="002D2A75"/>
    <w:rsid w:val="002D2AB8"/>
    <w:rsid w:val="002D37B2"/>
    <w:rsid w:val="002D3E8C"/>
    <w:rsid w:val="002D4131"/>
    <w:rsid w:val="002D41D7"/>
    <w:rsid w:val="002D47FC"/>
    <w:rsid w:val="002D57A8"/>
    <w:rsid w:val="002D5E8F"/>
    <w:rsid w:val="002D648A"/>
    <w:rsid w:val="002D649F"/>
    <w:rsid w:val="002D71A0"/>
    <w:rsid w:val="002D7C1E"/>
    <w:rsid w:val="002E06F7"/>
    <w:rsid w:val="002E0D86"/>
    <w:rsid w:val="002E2AFD"/>
    <w:rsid w:val="002E2B32"/>
    <w:rsid w:val="002E2F45"/>
    <w:rsid w:val="002E31F1"/>
    <w:rsid w:val="002E33F0"/>
    <w:rsid w:val="002E494B"/>
    <w:rsid w:val="002E49F7"/>
    <w:rsid w:val="002E4CD3"/>
    <w:rsid w:val="002E5F3E"/>
    <w:rsid w:val="002E6060"/>
    <w:rsid w:val="002E6B8D"/>
    <w:rsid w:val="002E755D"/>
    <w:rsid w:val="002E75B7"/>
    <w:rsid w:val="002F0E39"/>
    <w:rsid w:val="002F23A0"/>
    <w:rsid w:val="002F2638"/>
    <w:rsid w:val="002F35AB"/>
    <w:rsid w:val="002F4144"/>
    <w:rsid w:val="002F49A1"/>
    <w:rsid w:val="002F4A70"/>
    <w:rsid w:val="002F4A86"/>
    <w:rsid w:val="002F622C"/>
    <w:rsid w:val="002F686F"/>
    <w:rsid w:val="002F7734"/>
    <w:rsid w:val="002F782E"/>
    <w:rsid w:val="002F7C18"/>
    <w:rsid w:val="002F7F55"/>
    <w:rsid w:val="00300CD4"/>
    <w:rsid w:val="00301157"/>
    <w:rsid w:val="00301394"/>
    <w:rsid w:val="0030207B"/>
    <w:rsid w:val="0030248D"/>
    <w:rsid w:val="003026D6"/>
    <w:rsid w:val="00302B42"/>
    <w:rsid w:val="00302DF6"/>
    <w:rsid w:val="003036DF"/>
    <w:rsid w:val="00304082"/>
    <w:rsid w:val="00304810"/>
    <w:rsid w:val="003048D7"/>
    <w:rsid w:val="003053C9"/>
    <w:rsid w:val="00305794"/>
    <w:rsid w:val="00306340"/>
    <w:rsid w:val="00306E62"/>
    <w:rsid w:val="00310009"/>
    <w:rsid w:val="00312A5B"/>
    <w:rsid w:val="00313C9F"/>
    <w:rsid w:val="00313FDD"/>
    <w:rsid w:val="00314376"/>
    <w:rsid w:val="0031494B"/>
    <w:rsid w:val="00314B24"/>
    <w:rsid w:val="00314C5A"/>
    <w:rsid w:val="003156EB"/>
    <w:rsid w:val="003160E4"/>
    <w:rsid w:val="00316DC3"/>
    <w:rsid w:val="0031705E"/>
    <w:rsid w:val="00317780"/>
    <w:rsid w:val="00317CBB"/>
    <w:rsid w:val="00317FE3"/>
    <w:rsid w:val="0032004B"/>
    <w:rsid w:val="0032036B"/>
    <w:rsid w:val="00320403"/>
    <w:rsid w:val="003215BC"/>
    <w:rsid w:val="003220DE"/>
    <w:rsid w:val="003225D6"/>
    <w:rsid w:val="003225F2"/>
    <w:rsid w:val="003227F2"/>
    <w:rsid w:val="0032283D"/>
    <w:rsid w:val="003235E9"/>
    <w:rsid w:val="00324177"/>
    <w:rsid w:val="0032649E"/>
    <w:rsid w:val="003264C7"/>
    <w:rsid w:val="003264D3"/>
    <w:rsid w:val="0032684E"/>
    <w:rsid w:val="00326A14"/>
    <w:rsid w:val="00327072"/>
    <w:rsid w:val="00327483"/>
    <w:rsid w:val="00327591"/>
    <w:rsid w:val="00327B0A"/>
    <w:rsid w:val="00327E42"/>
    <w:rsid w:val="00330DB9"/>
    <w:rsid w:val="00330FF2"/>
    <w:rsid w:val="00331C45"/>
    <w:rsid w:val="003320CF"/>
    <w:rsid w:val="00332CC3"/>
    <w:rsid w:val="003332AE"/>
    <w:rsid w:val="00333359"/>
    <w:rsid w:val="003334F6"/>
    <w:rsid w:val="00333BA1"/>
    <w:rsid w:val="00333C1A"/>
    <w:rsid w:val="00333EA1"/>
    <w:rsid w:val="00334CB9"/>
    <w:rsid w:val="00334E41"/>
    <w:rsid w:val="00335AF6"/>
    <w:rsid w:val="00335EFC"/>
    <w:rsid w:val="00336851"/>
    <w:rsid w:val="00336C5F"/>
    <w:rsid w:val="00337A0B"/>
    <w:rsid w:val="003401E1"/>
    <w:rsid w:val="003412FF"/>
    <w:rsid w:val="00341512"/>
    <w:rsid w:val="0034192F"/>
    <w:rsid w:val="00342C52"/>
    <w:rsid w:val="00343282"/>
    <w:rsid w:val="00343922"/>
    <w:rsid w:val="00344401"/>
    <w:rsid w:val="0034499E"/>
    <w:rsid w:val="00344B74"/>
    <w:rsid w:val="00344F18"/>
    <w:rsid w:val="003452E8"/>
    <w:rsid w:val="0034558E"/>
    <w:rsid w:val="0034583E"/>
    <w:rsid w:val="00345946"/>
    <w:rsid w:val="003461D2"/>
    <w:rsid w:val="00346590"/>
    <w:rsid w:val="00346F2C"/>
    <w:rsid w:val="003473AE"/>
    <w:rsid w:val="0034777A"/>
    <w:rsid w:val="00347D4F"/>
    <w:rsid w:val="003508AC"/>
    <w:rsid w:val="00350A4F"/>
    <w:rsid w:val="00353A4E"/>
    <w:rsid w:val="00354E4D"/>
    <w:rsid w:val="003557A3"/>
    <w:rsid w:val="00355BA0"/>
    <w:rsid w:val="00356DD6"/>
    <w:rsid w:val="003577DF"/>
    <w:rsid w:val="00361535"/>
    <w:rsid w:val="0036193D"/>
    <w:rsid w:val="003624C3"/>
    <w:rsid w:val="00362638"/>
    <w:rsid w:val="003628F6"/>
    <w:rsid w:val="003631BD"/>
    <w:rsid w:val="0036388F"/>
    <w:rsid w:val="00364C7C"/>
    <w:rsid w:val="0036541C"/>
    <w:rsid w:val="00365D2F"/>
    <w:rsid w:val="00365E70"/>
    <w:rsid w:val="00365FD2"/>
    <w:rsid w:val="00366216"/>
    <w:rsid w:val="00367233"/>
    <w:rsid w:val="00367608"/>
    <w:rsid w:val="00370BF2"/>
    <w:rsid w:val="00370C35"/>
    <w:rsid w:val="00372173"/>
    <w:rsid w:val="00372201"/>
    <w:rsid w:val="00372221"/>
    <w:rsid w:val="00372A99"/>
    <w:rsid w:val="00372BE2"/>
    <w:rsid w:val="00373963"/>
    <w:rsid w:val="00375CCB"/>
    <w:rsid w:val="00375FF1"/>
    <w:rsid w:val="00377762"/>
    <w:rsid w:val="003807D7"/>
    <w:rsid w:val="003818C8"/>
    <w:rsid w:val="003841C3"/>
    <w:rsid w:val="003850AE"/>
    <w:rsid w:val="003860B2"/>
    <w:rsid w:val="00386D60"/>
    <w:rsid w:val="00386FC7"/>
    <w:rsid w:val="00387426"/>
    <w:rsid w:val="003877BE"/>
    <w:rsid w:val="00387ABE"/>
    <w:rsid w:val="00387AD6"/>
    <w:rsid w:val="00387F88"/>
    <w:rsid w:val="003903B7"/>
    <w:rsid w:val="0039066B"/>
    <w:rsid w:val="0039116A"/>
    <w:rsid w:val="0039140A"/>
    <w:rsid w:val="003915BF"/>
    <w:rsid w:val="00391E37"/>
    <w:rsid w:val="00392955"/>
    <w:rsid w:val="00392D9D"/>
    <w:rsid w:val="00396063"/>
    <w:rsid w:val="003963CF"/>
    <w:rsid w:val="003966B7"/>
    <w:rsid w:val="00396868"/>
    <w:rsid w:val="00397294"/>
    <w:rsid w:val="00397B13"/>
    <w:rsid w:val="00397E23"/>
    <w:rsid w:val="003A019F"/>
    <w:rsid w:val="003A0474"/>
    <w:rsid w:val="003A0E3D"/>
    <w:rsid w:val="003A1050"/>
    <w:rsid w:val="003A1AA7"/>
    <w:rsid w:val="003A2CC0"/>
    <w:rsid w:val="003A30E5"/>
    <w:rsid w:val="003A322D"/>
    <w:rsid w:val="003A3C16"/>
    <w:rsid w:val="003A4360"/>
    <w:rsid w:val="003A4A24"/>
    <w:rsid w:val="003A4C0F"/>
    <w:rsid w:val="003A5748"/>
    <w:rsid w:val="003A5CFC"/>
    <w:rsid w:val="003A6165"/>
    <w:rsid w:val="003A6B58"/>
    <w:rsid w:val="003A6CBE"/>
    <w:rsid w:val="003A6E66"/>
    <w:rsid w:val="003A72C6"/>
    <w:rsid w:val="003A7C8D"/>
    <w:rsid w:val="003A7DE4"/>
    <w:rsid w:val="003B06B2"/>
    <w:rsid w:val="003B0EDB"/>
    <w:rsid w:val="003B0F93"/>
    <w:rsid w:val="003B11C9"/>
    <w:rsid w:val="003B15CA"/>
    <w:rsid w:val="003B1A9F"/>
    <w:rsid w:val="003B1E41"/>
    <w:rsid w:val="003B33F1"/>
    <w:rsid w:val="003B37A1"/>
    <w:rsid w:val="003B498F"/>
    <w:rsid w:val="003B4C78"/>
    <w:rsid w:val="003B4FEC"/>
    <w:rsid w:val="003B5153"/>
    <w:rsid w:val="003B6DF0"/>
    <w:rsid w:val="003B710D"/>
    <w:rsid w:val="003C063B"/>
    <w:rsid w:val="003C0D06"/>
    <w:rsid w:val="003C2163"/>
    <w:rsid w:val="003C269A"/>
    <w:rsid w:val="003C5798"/>
    <w:rsid w:val="003C644F"/>
    <w:rsid w:val="003C6639"/>
    <w:rsid w:val="003C66FB"/>
    <w:rsid w:val="003C78D3"/>
    <w:rsid w:val="003C7D02"/>
    <w:rsid w:val="003D166B"/>
    <w:rsid w:val="003D2089"/>
    <w:rsid w:val="003D252C"/>
    <w:rsid w:val="003D2950"/>
    <w:rsid w:val="003D37F3"/>
    <w:rsid w:val="003D3B98"/>
    <w:rsid w:val="003D4887"/>
    <w:rsid w:val="003D49C8"/>
    <w:rsid w:val="003D5195"/>
    <w:rsid w:val="003D52F8"/>
    <w:rsid w:val="003D532B"/>
    <w:rsid w:val="003D5C84"/>
    <w:rsid w:val="003D73F6"/>
    <w:rsid w:val="003D79A5"/>
    <w:rsid w:val="003E00B6"/>
    <w:rsid w:val="003E0158"/>
    <w:rsid w:val="003E0173"/>
    <w:rsid w:val="003E099C"/>
    <w:rsid w:val="003E10C9"/>
    <w:rsid w:val="003E1B40"/>
    <w:rsid w:val="003E1E4D"/>
    <w:rsid w:val="003E1F79"/>
    <w:rsid w:val="003E391A"/>
    <w:rsid w:val="003E4A64"/>
    <w:rsid w:val="003E500C"/>
    <w:rsid w:val="003E507E"/>
    <w:rsid w:val="003E55C2"/>
    <w:rsid w:val="003E59FA"/>
    <w:rsid w:val="003E5D3A"/>
    <w:rsid w:val="003F0C5E"/>
    <w:rsid w:val="003F1125"/>
    <w:rsid w:val="003F13C6"/>
    <w:rsid w:val="003F143C"/>
    <w:rsid w:val="003F1B21"/>
    <w:rsid w:val="003F2261"/>
    <w:rsid w:val="003F2E3D"/>
    <w:rsid w:val="003F350D"/>
    <w:rsid w:val="003F36A6"/>
    <w:rsid w:val="003F3D2E"/>
    <w:rsid w:val="003F4177"/>
    <w:rsid w:val="003F4585"/>
    <w:rsid w:val="003F5B90"/>
    <w:rsid w:val="003F6784"/>
    <w:rsid w:val="003F7843"/>
    <w:rsid w:val="00403DB8"/>
    <w:rsid w:val="00404084"/>
    <w:rsid w:val="0040513C"/>
    <w:rsid w:val="004061E1"/>
    <w:rsid w:val="00406840"/>
    <w:rsid w:val="0040699F"/>
    <w:rsid w:val="0040747A"/>
    <w:rsid w:val="00410633"/>
    <w:rsid w:val="00410769"/>
    <w:rsid w:val="00411FA0"/>
    <w:rsid w:val="004142CA"/>
    <w:rsid w:val="00414593"/>
    <w:rsid w:val="004149B4"/>
    <w:rsid w:val="00415406"/>
    <w:rsid w:val="0041573F"/>
    <w:rsid w:val="00415859"/>
    <w:rsid w:val="00416584"/>
    <w:rsid w:val="0041779B"/>
    <w:rsid w:val="00417C3C"/>
    <w:rsid w:val="00420654"/>
    <w:rsid w:val="004216DD"/>
    <w:rsid w:val="00421BFB"/>
    <w:rsid w:val="00423BD1"/>
    <w:rsid w:val="004242AF"/>
    <w:rsid w:val="00424397"/>
    <w:rsid w:val="0042476C"/>
    <w:rsid w:val="004247DF"/>
    <w:rsid w:val="00425842"/>
    <w:rsid w:val="00425F40"/>
    <w:rsid w:val="00426F5C"/>
    <w:rsid w:val="0042735C"/>
    <w:rsid w:val="0042767D"/>
    <w:rsid w:val="00430708"/>
    <w:rsid w:val="0043082C"/>
    <w:rsid w:val="0043114A"/>
    <w:rsid w:val="00431522"/>
    <w:rsid w:val="004316D4"/>
    <w:rsid w:val="0043272A"/>
    <w:rsid w:val="00433444"/>
    <w:rsid w:val="004354C6"/>
    <w:rsid w:val="004357BC"/>
    <w:rsid w:val="00436F83"/>
    <w:rsid w:val="00437135"/>
    <w:rsid w:val="0043729D"/>
    <w:rsid w:val="00437F43"/>
    <w:rsid w:val="00440B2B"/>
    <w:rsid w:val="004414D5"/>
    <w:rsid w:val="00442D60"/>
    <w:rsid w:val="00443F41"/>
    <w:rsid w:val="00444372"/>
    <w:rsid w:val="00450228"/>
    <w:rsid w:val="0045111E"/>
    <w:rsid w:val="0045125A"/>
    <w:rsid w:val="004521E5"/>
    <w:rsid w:val="004546CE"/>
    <w:rsid w:val="00454B01"/>
    <w:rsid w:val="00454C37"/>
    <w:rsid w:val="004550FA"/>
    <w:rsid w:val="004551A2"/>
    <w:rsid w:val="004551F9"/>
    <w:rsid w:val="00455B4B"/>
    <w:rsid w:val="0045610E"/>
    <w:rsid w:val="0045623F"/>
    <w:rsid w:val="00456253"/>
    <w:rsid w:val="004565A9"/>
    <w:rsid w:val="00456861"/>
    <w:rsid w:val="00456C65"/>
    <w:rsid w:val="00456E15"/>
    <w:rsid w:val="0045753C"/>
    <w:rsid w:val="00457C83"/>
    <w:rsid w:val="00460143"/>
    <w:rsid w:val="004606B0"/>
    <w:rsid w:val="004607F3"/>
    <w:rsid w:val="00460811"/>
    <w:rsid w:val="00460BDA"/>
    <w:rsid w:val="00460E4B"/>
    <w:rsid w:val="004613C0"/>
    <w:rsid w:val="00461C8E"/>
    <w:rsid w:val="00461E4D"/>
    <w:rsid w:val="004638C2"/>
    <w:rsid w:val="00463A48"/>
    <w:rsid w:val="00463C4F"/>
    <w:rsid w:val="00464C35"/>
    <w:rsid w:val="00464C92"/>
    <w:rsid w:val="00464EFB"/>
    <w:rsid w:val="00465688"/>
    <w:rsid w:val="004657E4"/>
    <w:rsid w:val="00465D88"/>
    <w:rsid w:val="00466436"/>
    <w:rsid w:val="0046671F"/>
    <w:rsid w:val="00467CA1"/>
    <w:rsid w:val="004707D6"/>
    <w:rsid w:val="004710F7"/>
    <w:rsid w:val="00471A05"/>
    <w:rsid w:val="00471DD4"/>
    <w:rsid w:val="00471F45"/>
    <w:rsid w:val="004727C1"/>
    <w:rsid w:val="00474D23"/>
    <w:rsid w:val="00475242"/>
    <w:rsid w:val="00475A38"/>
    <w:rsid w:val="00475D24"/>
    <w:rsid w:val="0047618B"/>
    <w:rsid w:val="00476A3E"/>
    <w:rsid w:val="00476D34"/>
    <w:rsid w:val="0048048D"/>
    <w:rsid w:val="00480FDE"/>
    <w:rsid w:val="00481ABC"/>
    <w:rsid w:val="00481C46"/>
    <w:rsid w:val="004824A9"/>
    <w:rsid w:val="004825B7"/>
    <w:rsid w:val="00482D1D"/>
    <w:rsid w:val="004835D9"/>
    <w:rsid w:val="00484152"/>
    <w:rsid w:val="00484746"/>
    <w:rsid w:val="00484813"/>
    <w:rsid w:val="00486174"/>
    <w:rsid w:val="00486A61"/>
    <w:rsid w:val="00486CC3"/>
    <w:rsid w:val="00486FD0"/>
    <w:rsid w:val="00490420"/>
    <w:rsid w:val="00490754"/>
    <w:rsid w:val="0049097F"/>
    <w:rsid w:val="00490BC6"/>
    <w:rsid w:val="0049108A"/>
    <w:rsid w:val="004917BA"/>
    <w:rsid w:val="004924B2"/>
    <w:rsid w:val="00492D49"/>
    <w:rsid w:val="00493735"/>
    <w:rsid w:val="00493C31"/>
    <w:rsid w:val="004946EA"/>
    <w:rsid w:val="004948C8"/>
    <w:rsid w:val="00494EC9"/>
    <w:rsid w:val="00495447"/>
    <w:rsid w:val="0049570D"/>
    <w:rsid w:val="00495B7A"/>
    <w:rsid w:val="0049629D"/>
    <w:rsid w:val="00496E4D"/>
    <w:rsid w:val="004975CA"/>
    <w:rsid w:val="004A0738"/>
    <w:rsid w:val="004A0AC5"/>
    <w:rsid w:val="004A0BB0"/>
    <w:rsid w:val="004A19B9"/>
    <w:rsid w:val="004A25A6"/>
    <w:rsid w:val="004A26EB"/>
    <w:rsid w:val="004A27F3"/>
    <w:rsid w:val="004A2B24"/>
    <w:rsid w:val="004A2D93"/>
    <w:rsid w:val="004A3235"/>
    <w:rsid w:val="004A4455"/>
    <w:rsid w:val="004A4537"/>
    <w:rsid w:val="004A454D"/>
    <w:rsid w:val="004A4AEC"/>
    <w:rsid w:val="004A4CEB"/>
    <w:rsid w:val="004A5A7C"/>
    <w:rsid w:val="004A5CA3"/>
    <w:rsid w:val="004A6C52"/>
    <w:rsid w:val="004A7426"/>
    <w:rsid w:val="004A77E9"/>
    <w:rsid w:val="004A7BC0"/>
    <w:rsid w:val="004B010E"/>
    <w:rsid w:val="004B021C"/>
    <w:rsid w:val="004B0657"/>
    <w:rsid w:val="004B073B"/>
    <w:rsid w:val="004B073E"/>
    <w:rsid w:val="004B0901"/>
    <w:rsid w:val="004B14E1"/>
    <w:rsid w:val="004B1E64"/>
    <w:rsid w:val="004B33E0"/>
    <w:rsid w:val="004B374D"/>
    <w:rsid w:val="004B3772"/>
    <w:rsid w:val="004B3825"/>
    <w:rsid w:val="004B3F21"/>
    <w:rsid w:val="004B53C5"/>
    <w:rsid w:val="004B5D74"/>
    <w:rsid w:val="004B6255"/>
    <w:rsid w:val="004B63F2"/>
    <w:rsid w:val="004B64F5"/>
    <w:rsid w:val="004B6C49"/>
    <w:rsid w:val="004B7036"/>
    <w:rsid w:val="004C007A"/>
    <w:rsid w:val="004C035F"/>
    <w:rsid w:val="004C15CE"/>
    <w:rsid w:val="004C1F16"/>
    <w:rsid w:val="004C252C"/>
    <w:rsid w:val="004C27E0"/>
    <w:rsid w:val="004C318F"/>
    <w:rsid w:val="004C325C"/>
    <w:rsid w:val="004C34CB"/>
    <w:rsid w:val="004C3B65"/>
    <w:rsid w:val="004C472E"/>
    <w:rsid w:val="004C4B78"/>
    <w:rsid w:val="004C579B"/>
    <w:rsid w:val="004C6250"/>
    <w:rsid w:val="004C7E7A"/>
    <w:rsid w:val="004D002C"/>
    <w:rsid w:val="004D0E4A"/>
    <w:rsid w:val="004D2392"/>
    <w:rsid w:val="004D2A7D"/>
    <w:rsid w:val="004D309F"/>
    <w:rsid w:val="004D3DD0"/>
    <w:rsid w:val="004D53A0"/>
    <w:rsid w:val="004D5708"/>
    <w:rsid w:val="004D60FB"/>
    <w:rsid w:val="004D7E03"/>
    <w:rsid w:val="004D7F4A"/>
    <w:rsid w:val="004E08BE"/>
    <w:rsid w:val="004E0E11"/>
    <w:rsid w:val="004E1202"/>
    <w:rsid w:val="004E2FFC"/>
    <w:rsid w:val="004E3329"/>
    <w:rsid w:val="004E3DA1"/>
    <w:rsid w:val="004E40C4"/>
    <w:rsid w:val="004E4A9B"/>
    <w:rsid w:val="004E4C1F"/>
    <w:rsid w:val="004E501A"/>
    <w:rsid w:val="004E563F"/>
    <w:rsid w:val="004E6228"/>
    <w:rsid w:val="004E6A17"/>
    <w:rsid w:val="004F0B62"/>
    <w:rsid w:val="004F1855"/>
    <w:rsid w:val="004F1D65"/>
    <w:rsid w:val="004F2416"/>
    <w:rsid w:val="004F24D4"/>
    <w:rsid w:val="004F277F"/>
    <w:rsid w:val="004F3CD0"/>
    <w:rsid w:val="004F3D4F"/>
    <w:rsid w:val="004F412A"/>
    <w:rsid w:val="004F4468"/>
    <w:rsid w:val="004F6966"/>
    <w:rsid w:val="004F6A2E"/>
    <w:rsid w:val="004F6E4A"/>
    <w:rsid w:val="004F7DFC"/>
    <w:rsid w:val="004F7EF9"/>
    <w:rsid w:val="00500002"/>
    <w:rsid w:val="0050122A"/>
    <w:rsid w:val="00501883"/>
    <w:rsid w:val="005018D7"/>
    <w:rsid w:val="00501D8F"/>
    <w:rsid w:val="00502274"/>
    <w:rsid w:val="0050307E"/>
    <w:rsid w:val="00503721"/>
    <w:rsid w:val="00503DDC"/>
    <w:rsid w:val="00504547"/>
    <w:rsid w:val="0050473D"/>
    <w:rsid w:val="00504910"/>
    <w:rsid w:val="00506996"/>
    <w:rsid w:val="00507A16"/>
    <w:rsid w:val="00507C1D"/>
    <w:rsid w:val="00507DD6"/>
    <w:rsid w:val="005101F2"/>
    <w:rsid w:val="005109B6"/>
    <w:rsid w:val="00511A28"/>
    <w:rsid w:val="00511FA7"/>
    <w:rsid w:val="005123FD"/>
    <w:rsid w:val="0051268C"/>
    <w:rsid w:val="0051303F"/>
    <w:rsid w:val="00513CAE"/>
    <w:rsid w:val="00513E66"/>
    <w:rsid w:val="00514C1B"/>
    <w:rsid w:val="00516968"/>
    <w:rsid w:val="005172C4"/>
    <w:rsid w:val="00517941"/>
    <w:rsid w:val="00517DB3"/>
    <w:rsid w:val="00517F69"/>
    <w:rsid w:val="005210A3"/>
    <w:rsid w:val="0052157D"/>
    <w:rsid w:val="0052467F"/>
    <w:rsid w:val="00524F31"/>
    <w:rsid w:val="0052593D"/>
    <w:rsid w:val="00527C2A"/>
    <w:rsid w:val="005311CD"/>
    <w:rsid w:val="0053120B"/>
    <w:rsid w:val="005323CE"/>
    <w:rsid w:val="005336A7"/>
    <w:rsid w:val="00533971"/>
    <w:rsid w:val="00533C9B"/>
    <w:rsid w:val="005345CF"/>
    <w:rsid w:val="00535B23"/>
    <w:rsid w:val="00536955"/>
    <w:rsid w:val="005372F5"/>
    <w:rsid w:val="005402ED"/>
    <w:rsid w:val="00540875"/>
    <w:rsid w:val="0054142E"/>
    <w:rsid w:val="00541B40"/>
    <w:rsid w:val="00543B15"/>
    <w:rsid w:val="0054400F"/>
    <w:rsid w:val="00544759"/>
    <w:rsid w:val="005447B0"/>
    <w:rsid w:val="0054593C"/>
    <w:rsid w:val="00545955"/>
    <w:rsid w:val="00546F17"/>
    <w:rsid w:val="0054768C"/>
    <w:rsid w:val="0055038F"/>
    <w:rsid w:val="00550762"/>
    <w:rsid w:val="0055079B"/>
    <w:rsid w:val="005508C2"/>
    <w:rsid w:val="00550912"/>
    <w:rsid w:val="00550973"/>
    <w:rsid w:val="00550DDB"/>
    <w:rsid w:val="00551833"/>
    <w:rsid w:val="00551A34"/>
    <w:rsid w:val="00553C1A"/>
    <w:rsid w:val="00553ED4"/>
    <w:rsid w:val="00553F4F"/>
    <w:rsid w:val="005543F2"/>
    <w:rsid w:val="00554447"/>
    <w:rsid w:val="00555180"/>
    <w:rsid w:val="0055519B"/>
    <w:rsid w:val="005565C9"/>
    <w:rsid w:val="00557721"/>
    <w:rsid w:val="005579E3"/>
    <w:rsid w:val="00560432"/>
    <w:rsid w:val="00560A53"/>
    <w:rsid w:val="00561441"/>
    <w:rsid w:val="005614FD"/>
    <w:rsid w:val="00561B43"/>
    <w:rsid w:val="0056214F"/>
    <w:rsid w:val="0056302F"/>
    <w:rsid w:val="0056303B"/>
    <w:rsid w:val="0056322A"/>
    <w:rsid w:val="005641B0"/>
    <w:rsid w:val="00564429"/>
    <w:rsid w:val="00564881"/>
    <w:rsid w:val="00564E2B"/>
    <w:rsid w:val="00565464"/>
    <w:rsid w:val="00566398"/>
    <w:rsid w:val="005668E8"/>
    <w:rsid w:val="00567B19"/>
    <w:rsid w:val="00570D11"/>
    <w:rsid w:val="00571C3F"/>
    <w:rsid w:val="005734B0"/>
    <w:rsid w:val="00574835"/>
    <w:rsid w:val="00574D13"/>
    <w:rsid w:val="0057534C"/>
    <w:rsid w:val="00576000"/>
    <w:rsid w:val="00576B44"/>
    <w:rsid w:val="005776CB"/>
    <w:rsid w:val="005805C5"/>
    <w:rsid w:val="00580F3E"/>
    <w:rsid w:val="00581C0F"/>
    <w:rsid w:val="00582187"/>
    <w:rsid w:val="00582212"/>
    <w:rsid w:val="00583629"/>
    <w:rsid w:val="00584B5D"/>
    <w:rsid w:val="00584F92"/>
    <w:rsid w:val="005869CB"/>
    <w:rsid w:val="00586E11"/>
    <w:rsid w:val="00587DB3"/>
    <w:rsid w:val="00590073"/>
    <w:rsid w:val="0059067C"/>
    <w:rsid w:val="005906A7"/>
    <w:rsid w:val="00591033"/>
    <w:rsid w:val="00591845"/>
    <w:rsid w:val="0059228B"/>
    <w:rsid w:val="00592CEB"/>
    <w:rsid w:val="00593E32"/>
    <w:rsid w:val="00594220"/>
    <w:rsid w:val="00595846"/>
    <w:rsid w:val="00595ACE"/>
    <w:rsid w:val="00597930"/>
    <w:rsid w:val="005A1958"/>
    <w:rsid w:val="005A1C0B"/>
    <w:rsid w:val="005A1F62"/>
    <w:rsid w:val="005A2436"/>
    <w:rsid w:val="005A27FB"/>
    <w:rsid w:val="005A323D"/>
    <w:rsid w:val="005A326C"/>
    <w:rsid w:val="005A58C5"/>
    <w:rsid w:val="005A5B1B"/>
    <w:rsid w:val="005A6B84"/>
    <w:rsid w:val="005A6C87"/>
    <w:rsid w:val="005A6C88"/>
    <w:rsid w:val="005B013D"/>
    <w:rsid w:val="005B02EB"/>
    <w:rsid w:val="005B208B"/>
    <w:rsid w:val="005B25D6"/>
    <w:rsid w:val="005B260D"/>
    <w:rsid w:val="005B2A39"/>
    <w:rsid w:val="005B2C17"/>
    <w:rsid w:val="005B2C5D"/>
    <w:rsid w:val="005B5554"/>
    <w:rsid w:val="005B5E1D"/>
    <w:rsid w:val="005B6BBD"/>
    <w:rsid w:val="005B6F4F"/>
    <w:rsid w:val="005B746A"/>
    <w:rsid w:val="005C0001"/>
    <w:rsid w:val="005C0537"/>
    <w:rsid w:val="005C0AC9"/>
    <w:rsid w:val="005C1231"/>
    <w:rsid w:val="005C2914"/>
    <w:rsid w:val="005C3056"/>
    <w:rsid w:val="005C373C"/>
    <w:rsid w:val="005C3AD1"/>
    <w:rsid w:val="005C41EC"/>
    <w:rsid w:val="005C4843"/>
    <w:rsid w:val="005C52E9"/>
    <w:rsid w:val="005C61D1"/>
    <w:rsid w:val="005C6E85"/>
    <w:rsid w:val="005C6FDC"/>
    <w:rsid w:val="005C78AB"/>
    <w:rsid w:val="005D0529"/>
    <w:rsid w:val="005D100C"/>
    <w:rsid w:val="005D1A69"/>
    <w:rsid w:val="005D20B3"/>
    <w:rsid w:val="005D2D22"/>
    <w:rsid w:val="005D30D7"/>
    <w:rsid w:val="005D31B3"/>
    <w:rsid w:val="005D3587"/>
    <w:rsid w:val="005D4483"/>
    <w:rsid w:val="005D49D1"/>
    <w:rsid w:val="005D4D21"/>
    <w:rsid w:val="005D508B"/>
    <w:rsid w:val="005D580D"/>
    <w:rsid w:val="005D5C86"/>
    <w:rsid w:val="005D6D84"/>
    <w:rsid w:val="005D7908"/>
    <w:rsid w:val="005E017D"/>
    <w:rsid w:val="005E1873"/>
    <w:rsid w:val="005E1D99"/>
    <w:rsid w:val="005E22F3"/>
    <w:rsid w:val="005E2A2A"/>
    <w:rsid w:val="005E3BA3"/>
    <w:rsid w:val="005E46DF"/>
    <w:rsid w:val="005E573A"/>
    <w:rsid w:val="005E5EB5"/>
    <w:rsid w:val="005E66A8"/>
    <w:rsid w:val="005E6904"/>
    <w:rsid w:val="005E699D"/>
    <w:rsid w:val="005E70CB"/>
    <w:rsid w:val="005F0799"/>
    <w:rsid w:val="005F1D2B"/>
    <w:rsid w:val="005F2410"/>
    <w:rsid w:val="005F2D3B"/>
    <w:rsid w:val="005F3B30"/>
    <w:rsid w:val="005F423A"/>
    <w:rsid w:val="005F426B"/>
    <w:rsid w:val="005F4702"/>
    <w:rsid w:val="005F4949"/>
    <w:rsid w:val="005F5DC2"/>
    <w:rsid w:val="005F5FB1"/>
    <w:rsid w:val="005F5FC0"/>
    <w:rsid w:val="005F6BB0"/>
    <w:rsid w:val="005F6C56"/>
    <w:rsid w:val="0060082B"/>
    <w:rsid w:val="0060116E"/>
    <w:rsid w:val="00601C50"/>
    <w:rsid w:val="006024A0"/>
    <w:rsid w:val="00602538"/>
    <w:rsid w:val="00602FFD"/>
    <w:rsid w:val="006030FE"/>
    <w:rsid w:val="00603ABA"/>
    <w:rsid w:val="00604DEB"/>
    <w:rsid w:val="0060641F"/>
    <w:rsid w:val="0060678F"/>
    <w:rsid w:val="0061039B"/>
    <w:rsid w:val="00610C19"/>
    <w:rsid w:val="00610D2C"/>
    <w:rsid w:val="006120B9"/>
    <w:rsid w:val="006121A0"/>
    <w:rsid w:val="00612B23"/>
    <w:rsid w:val="00612C6E"/>
    <w:rsid w:val="00612EE7"/>
    <w:rsid w:val="00613E0F"/>
    <w:rsid w:val="00613FD2"/>
    <w:rsid w:val="00614227"/>
    <w:rsid w:val="006149CF"/>
    <w:rsid w:val="00615583"/>
    <w:rsid w:val="0061668A"/>
    <w:rsid w:val="0061714A"/>
    <w:rsid w:val="00617C98"/>
    <w:rsid w:val="00620461"/>
    <w:rsid w:val="00620496"/>
    <w:rsid w:val="00620780"/>
    <w:rsid w:val="00620875"/>
    <w:rsid w:val="006215F8"/>
    <w:rsid w:val="0062259F"/>
    <w:rsid w:val="00623EE6"/>
    <w:rsid w:val="0062488D"/>
    <w:rsid w:val="00624C9B"/>
    <w:rsid w:val="00624DDF"/>
    <w:rsid w:val="006259D8"/>
    <w:rsid w:val="0062633F"/>
    <w:rsid w:val="00626446"/>
    <w:rsid w:val="00626631"/>
    <w:rsid w:val="00626887"/>
    <w:rsid w:val="00626B2D"/>
    <w:rsid w:val="006313B7"/>
    <w:rsid w:val="00631BFA"/>
    <w:rsid w:val="006325B9"/>
    <w:rsid w:val="006326C6"/>
    <w:rsid w:val="00632F03"/>
    <w:rsid w:val="0063330F"/>
    <w:rsid w:val="00633AC4"/>
    <w:rsid w:val="006344B3"/>
    <w:rsid w:val="00634FD6"/>
    <w:rsid w:val="0063530C"/>
    <w:rsid w:val="00636AA1"/>
    <w:rsid w:val="00637A29"/>
    <w:rsid w:val="0064007F"/>
    <w:rsid w:val="00640B80"/>
    <w:rsid w:val="00641EF3"/>
    <w:rsid w:val="0064220E"/>
    <w:rsid w:val="00642C74"/>
    <w:rsid w:val="00643999"/>
    <w:rsid w:val="00643E2D"/>
    <w:rsid w:val="00643EEB"/>
    <w:rsid w:val="006440BC"/>
    <w:rsid w:val="00644562"/>
    <w:rsid w:val="006449A7"/>
    <w:rsid w:val="00645AE8"/>
    <w:rsid w:val="00645CDE"/>
    <w:rsid w:val="006469C4"/>
    <w:rsid w:val="0064701B"/>
    <w:rsid w:val="0064711F"/>
    <w:rsid w:val="00647DA6"/>
    <w:rsid w:val="00647DDE"/>
    <w:rsid w:val="006507D5"/>
    <w:rsid w:val="00650A43"/>
    <w:rsid w:val="00652B73"/>
    <w:rsid w:val="00652D1F"/>
    <w:rsid w:val="006530C2"/>
    <w:rsid w:val="00653681"/>
    <w:rsid w:val="00653E27"/>
    <w:rsid w:val="00653FB3"/>
    <w:rsid w:val="006551CF"/>
    <w:rsid w:val="0065549E"/>
    <w:rsid w:val="0065639A"/>
    <w:rsid w:val="006564B5"/>
    <w:rsid w:val="00656892"/>
    <w:rsid w:val="00656FC2"/>
    <w:rsid w:val="0065706E"/>
    <w:rsid w:val="006578C2"/>
    <w:rsid w:val="006600D0"/>
    <w:rsid w:val="00660B1B"/>
    <w:rsid w:val="006612CF"/>
    <w:rsid w:val="006618B5"/>
    <w:rsid w:val="00661983"/>
    <w:rsid w:val="00661CEC"/>
    <w:rsid w:val="006622BD"/>
    <w:rsid w:val="00662A96"/>
    <w:rsid w:val="006630FD"/>
    <w:rsid w:val="00663609"/>
    <w:rsid w:val="0066368D"/>
    <w:rsid w:val="00664110"/>
    <w:rsid w:val="0066533F"/>
    <w:rsid w:val="006658CA"/>
    <w:rsid w:val="00665FEE"/>
    <w:rsid w:val="00666358"/>
    <w:rsid w:val="00666B84"/>
    <w:rsid w:val="00667604"/>
    <w:rsid w:val="00667EE6"/>
    <w:rsid w:val="006706A8"/>
    <w:rsid w:val="00671596"/>
    <w:rsid w:val="0067207D"/>
    <w:rsid w:val="006743CF"/>
    <w:rsid w:val="00674541"/>
    <w:rsid w:val="0067471B"/>
    <w:rsid w:val="006752A0"/>
    <w:rsid w:val="00675AA8"/>
    <w:rsid w:val="00675CAF"/>
    <w:rsid w:val="00675FFB"/>
    <w:rsid w:val="00677AF4"/>
    <w:rsid w:val="0068129E"/>
    <w:rsid w:val="006822DA"/>
    <w:rsid w:val="0068236E"/>
    <w:rsid w:val="006824C9"/>
    <w:rsid w:val="00683200"/>
    <w:rsid w:val="00683278"/>
    <w:rsid w:val="006834BF"/>
    <w:rsid w:val="00683627"/>
    <w:rsid w:val="0068396A"/>
    <w:rsid w:val="00683A6E"/>
    <w:rsid w:val="0068514B"/>
    <w:rsid w:val="00685CDB"/>
    <w:rsid w:val="00686051"/>
    <w:rsid w:val="00686C4E"/>
    <w:rsid w:val="00686E0E"/>
    <w:rsid w:val="006876C1"/>
    <w:rsid w:val="006902E5"/>
    <w:rsid w:val="006909CF"/>
    <w:rsid w:val="00690FAE"/>
    <w:rsid w:val="00691532"/>
    <w:rsid w:val="006916B1"/>
    <w:rsid w:val="00691A7C"/>
    <w:rsid w:val="006930D4"/>
    <w:rsid w:val="00693300"/>
    <w:rsid w:val="0069350D"/>
    <w:rsid w:val="006935F8"/>
    <w:rsid w:val="00694100"/>
    <w:rsid w:val="00694D21"/>
    <w:rsid w:val="006A00F1"/>
    <w:rsid w:val="006A0478"/>
    <w:rsid w:val="006A06A8"/>
    <w:rsid w:val="006A0D7A"/>
    <w:rsid w:val="006A21A7"/>
    <w:rsid w:val="006A23B5"/>
    <w:rsid w:val="006A2493"/>
    <w:rsid w:val="006A34ED"/>
    <w:rsid w:val="006A395B"/>
    <w:rsid w:val="006A42E0"/>
    <w:rsid w:val="006A47E2"/>
    <w:rsid w:val="006A4B88"/>
    <w:rsid w:val="006A54E9"/>
    <w:rsid w:val="006A675F"/>
    <w:rsid w:val="006A6BA5"/>
    <w:rsid w:val="006A7738"/>
    <w:rsid w:val="006A78C7"/>
    <w:rsid w:val="006B0400"/>
    <w:rsid w:val="006B0878"/>
    <w:rsid w:val="006B213F"/>
    <w:rsid w:val="006B2CF8"/>
    <w:rsid w:val="006B2F7D"/>
    <w:rsid w:val="006B369A"/>
    <w:rsid w:val="006B3BFF"/>
    <w:rsid w:val="006B4E35"/>
    <w:rsid w:val="006B4ED1"/>
    <w:rsid w:val="006B5EC9"/>
    <w:rsid w:val="006B60F3"/>
    <w:rsid w:val="006B6880"/>
    <w:rsid w:val="006B76E6"/>
    <w:rsid w:val="006B7756"/>
    <w:rsid w:val="006B7AD9"/>
    <w:rsid w:val="006B7CCD"/>
    <w:rsid w:val="006C0613"/>
    <w:rsid w:val="006C0F89"/>
    <w:rsid w:val="006C1E32"/>
    <w:rsid w:val="006C20B5"/>
    <w:rsid w:val="006C28B6"/>
    <w:rsid w:val="006C2B0C"/>
    <w:rsid w:val="006C2C44"/>
    <w:rsid w:val="006C2D11"/>
    <w:rsid w:val="006C4977"/>
    <w:rsid w:val="006C5870"/>
    <w:rsid w:val="006C5B8A"/>
    <w:rsid w:val="006C7055"/>
    <w:rsid w:val="006C73B7"/>
    <w:rsid w:val="006D02FF"/>
    <w:rsid w:val="006D1609"/>
    <w:rsid w:val="006D2793"/>
    <w:rsid w:val="006D2FC0"/>
    <w:rsid w:val="006D3395"/>
    <w:rsid w:val="006D3A4E"/>
    <w:rsid w:val="006D3B6C"/>
    <w:rsid w:val="006D3D58"/>
    <w:rsid w:val="006D44D6"/>
    <w:rsid w:val="006D4FD5"/>
    <w:rsid w:val="006D570C"/>
    <w:rsid w:val="006D73C3"/>
    <w:rsid w:val="006E199A"/>
    <w:rsid w:val="006E2ED0"/>
    <w:rsid w:val="006E3310"/>
    <w:rsid w:val="006E3A00"/>
    <w:rsid w:val="006E3C19"/>
    <w:rsid w:val="006E46F9"/>
    <w:rsid w:val="006E4C57"/>
    <w:rsid w:val="006E4E85"/>
    <w:rsid w:val="006E50F7"/>
    <w:rsid w:val="006E545A"/>
    <w:rsid w:val="006E62D2"/>
    <w:rsid w:val="006E67A2"/>
    <w:rsid w:val="006E72D1"/>
    <w:rsid w:val="006E7361"/>
    <w:rsid w:val="006F01E4"/>
    <w:rsid w:val="006F06CC"/>
    <w:rsid w:val="006F0F66"/>
    <w:rsid w:val="006F1E9D"/>
    <w:rsid w:val="006F1FE0"/>
    <w:rsid w:val="006F2C1B"/>
    <w:rsid w:val="006F37CB"/>
    <w:rsid w:val="006F3D26"/>
    <w:rsid w:val="006F3FC0"/>
    <w:rsid w:val="006F42C8"/>
    <w:rsid w:val="006F525B"/>
    <w:rsid w:val="006F5FE2"/>
    <w:rsid w:val="006F688B"/>
    <w:rsid w:val="007003ED"/>
    <w:rsid w:val="00701B80"/>
    <w:rsid w:val="00702B44"/>
    <w:rsid w:val="00702E1E"/>
    <w:rsid w:val="0070335C"/>
    <w:rsid w:val="0070338E"/>
    <w:rsid w:val="0070410E"/>
    <w:rsid w:val="00704342"/>
    <w:rsid w:val="007048D0"/>
    <w:rsid w:val="00705615"/>
    <w:rsid w:val="00705A59"/>
    <w:rsid w:val="00705CCA"/>
    <w:rsid w:val="00706AA9"/>
    <w:rsid w:val="00706CEC"/>
    <w:rsid w:val="00707067"/>
    <w:rsid w:val="00707146"/>
    <w:rsid w:val="00707871"/>
    <w:rsid w:val="00710187"/>
    <w:rsid w:val="00710BB3"/>
    <w:rsid w:val="00710C80"/>
    <w:rsid w:val="00713755"/>
    <w:rsid w:val="00713F9D"/>
    <w:rsid w:val="0071415E"/>
    <w:rsid w:val="007154CE"/>
    <w:rsid w:val="00716CB8"/>
    <w:rsid w:val="00717A49"/>
    <w:rsid w:val="0072220D"/>
    <w:rsid w:val="00722428"/>
    <w:rsid w:val="00722575"/>
    <w:rsid w:val="00722702"/>
    <w:rsid w:val="0072294B"/>
    <w:rsid w:val="00722D83"/>
    <w:rsid w:val="00722E2A"/>
    <w:rsid w:val="007234B4"/>
    <w:rsid w:val="00723C2F"/>
    <w:rsid w:val="0072560D"/>
    <w:rsid w:val="0072582D"/>
    <w:rsid w:val="0072590E"/>
    <w:rsid w:val="00725B41"/>
    <w:rsid w:val="007266A9"/>
    <w:rsid w:val="00726F39"/>
    <w:rsid w:val="00727055"/>
    <w:rsid w:val="007271FD"/>
    <w:rsid w:val="007274CB"/>
    <w:rsid w:val="00727E0A"/>
    <w:rsid w:val="00730438"/>
    <w:rsid w:val="00730861"/>
    <w:rsid w:val="00730F66"/>
    <w:rsid w:val="00731233"/>
    <w:rsid w:val="0073176E"/>
    <w:rsid w:val="00731C34"/>
    <w:rsid w:val="0073228D"/>
    <w:rsid w:val="00732861"/>
    <w:rsid w:val="007328BF"/>
    <w:rsid w:val="00732D5B"/>
    <w:rsid w:val="0073326F"/>
    <w:rsid w:val="00733328"/>
    <w:rsid w:val="007335C1"/>
    <w:rsid w:val="00733610"/>
    <w:rsid w:val="00733E52"/>
    <w:rsid w:val="00734209"/>
    <w:rsid w:val="0073434D"/>
    <w:rsid w:val="00734F19"/>
    <w:rsid w:val="007356ED"/>
    <w:rsid w:val="00735CA5"/>
    <w:rsid w:val="00735DCE"/>
    <w:rsid w:val="00735F6D"/>
    <w:rsid w:val="007363E1"/>
    <w:rsid w:val="007364AF"/>
    <w:rsid w:val="007366B9"/>
    <w:rsid w:val="00736763"/>
    <w:rsid w:val="00736D94"/>
    <w:rsid w:val="00740697"/>
    <w:rsid w:val="007409A7"/>
    <w:rsid w:val="00741686"/>
    <w:rsid w:val="00741A1C"/>
    <w:rsid w:val="00742EBF"/>
    <w:rsid w:val="00744629"/>
    <w:rsid w:val="00744AAE"/>
    <w:rsid w:val="00744AF1"/>
    <w:rsid w:val="007452FF"/>
    <w:rsid w:val="00745307"/>
    <w:rsid w:val="0074622D"/>
    <w:rsid w:val="0074699B"/>
    <w:rsid w:val="00746D9E"/>
    <w:rsid w:val="00747B14"/>
    <w:rsid w:val="00747FA5"/>
    <w:rsid w:val="00750010"/>
    <w:rsid w:val="00751C68"/>
    <w:rsid w:val="007520AD"/>
    <w:rsid w:val="00752266"/>
    <w:rsid w:val="0075293E"/>
    <w:rsid w:val="0075348E"/>
    <w:rsid w:val="0075375B"/>
    <w:rsid w:val="007539A8"/>
    <w:rsid w:val="00753F29"/>
    <w:rsid w:val="0075496E"/>
    <w:rsid w:val="00755A2F"/>
    <w:rsid w:val="00756320"/>
    <w:rsid w:val="007570E7"/>
    <w:rsid w:val="00757724"/>
    <w:rsid w:val="007579B6"/>
    <w:rsid w:val="00757B8B"/>
    <w:rsid w:val="00761175"/>
    <w:rsid w:val="00761302"/>
    <w:rsid w:val="00761734"/>
    <w:rsid w:val="00762E4D"/>
    <w:rsid w:val="00763C45"/>
    <w:rsid w:val="00764740"/>
    <w:rsid w:val="007647C1"/>
    <w:rsid w:val="0076480F"/>
    <w:rsid w:val="0076507D"/>
    <w:rsid w:val="007652E2"/>
    <w:rsid w:val="007668E4"/>
    <w:rsid w:val="00766AE7"/>
    <w:rsid w:val="00770065"/>
    <w:rsid w:val="00770626"/>
    <w:rsid w:val="00771182"/>
    <w:rsid w:val="00772097"/>
    <w:rsid w:val="00772823"/>
    <w:rsid w:val="00773358"/>
    <w:rsid w:val="00773622"/>
    <w:rsid w:val="00774045"/>
    <w:rsid w:val="00774054"/>
    <w:rsid w:val="00774D17"/>
    <w:rsid w:val="00774F8A"/>
    <w:rsid w:val="00775688"/>
    <w:rsid w:val="007768E9"/>
    <w:rsid w:val="00776B83"/>
    <w:rsid w:val="00777085"/>
    <w:rsid w:val="00777118"/>
    <w:rsid w:val="007777A6"/>
    <w:rsid w:val="0078012D"/>
    <w:rsid w:val="00780A1D"/>
    <w:rsid w:val="00780AC8"/>
    <w:rsid w:val="00780C8E"/>
    <w:rsid w:val="0078139A"/>
    <w:rsid w:val="007817B6"/>
    <w:rsid w:val="007820D7"/>
    <w:rsid w:val="00782839"/>
    <w:rsid w:val="00782CAD"/>
    <w:rsid w:val="00782E61"/>
    <w:rsid w:val="00784941"/>
    <w:rsid w:val="00784D00"/>
    <w:rsid w:val="00784D54"/>
    <w:rsid w:val="00785412"/>
    <w:rsid w:val="00785D49"/>
    <w:rsid w:val="00786238"/>
    <w:rsid w:val="00786B04"/>
    <w:rsid w:val="00787019"/>
    <w:rsid w:val="00787E38"/>
    <w:rsid w:val="0079031D"/>
    <w:rsid w:val="00790DE4"/>
    <w:rsid w:val="00791893"/>
    <w:rsid w:val="00791A1A"/>
    <w:rsid w:val="007923C7"/>
    <w:rsid w:val="007923D9"/>
    <w:rsid w:val="00792440"/>
    <w:rsid w:val="0079329F"/>
    <w:rsid w:val="0079377C"/>
    <w:rsid w:val="00793CFF"/>
    <w:rsid w:val="00794DFD"/>
    <w:rsid w:val="0079607B"/>
    <w:rsid w:val="007971BD"/>
    <w:rsid w:val="00797733"/>
    <w:rsid w:val="00797D72"/>
    <w:rsid w:val="007A1068"/>
    <w:rsid w:val="007A1163"/>
    <w:rsid w:val="007A1E8C"/>
    <w:rsid w:val="007A2B7E"/>
    <w:rsid w:val="007A453E"/>
    <w:rsid w:val="007A5284"/>
    <w:rsid w:val="007A54A2"/>
    <w:rsid w:val="007A61C1"/>
    <w:rsid w:val="007A7FF0"/>
    <w:rsid w:val="007B02E2"/>
    <w:rsid w:val="007B0370"/>
    <w:rsid w:val="007B051F"/>
    <w:rsid w:val="007B0568"/>
    <w:rsid w:val="007B0B45"/>
    <w:rsid w:val="007B2703"/>
    <w:rsid w:val="007B2715"/>
    <w:rsid w:val="007B3706"/>
    <w:rsid w:val="007B4754"/>
    <w:rsid w:val="007B4965"/>
    <w:rsid w:val="007B6A2C"/>
    <w:rsid w:val="007B7B27"/>
    <w:rsid w:val="007C03CA"/>
    <w:rsid w:val="007C08D8"/>
    <w:rsid w:val="007C10AF"/>
    <w:rsid w:val="007C1B0B"/>
    <w:rsid w:val="007C285A"/>
    <w:rsid w:val="007C32CA"/>
    <w:rsid w:val="007C3663"/>
    <w:rsid w:val="007C39EA"/>
    <w:rsid w:val="007C3ED4"/>
    <w:rsid w:val="007C435E"/>
    <w:rsid w:val="007C44CE"/>
    <w:rsid w:val="007C5380"/>
    <w:rsid w:val="007C5B2E"/>
    <w:rsid w:val="007C5BD4"/>
    <w:rsid w:val="007C62E7"/>
    <w:rsid w:val="007C6563"/>
    <w:rsid w:val="007C6FDA"/>
    <w:rsid w:val="007D0A69"/>
    <w:rsid w:val="007D0A87"/>
    <w:rsid w:val="007D1B19"/>
    <w:rsid w:val="007D2018"/>
    <w:rsid w:val="007D284E"/>
    <w:rsid w:val="007D31C0"/>
    <w:rsid w:val="007D4864"/>
    <w:rsid w:val="007D4953"/>
    <w:rsid w:val="007D4EB6"/>
    <w:rsid w:val="007D59C6"/>
    <w:rsid w:val="007D64B5"/>
    <w:rsid w:val="007D6760"/>
    <w:rsid w:val="007D68F4"/>
    <w:rsid w:val="007D6997"/>
    <w:rsid w:val="007D6FC0"/>
    <w:rsid w:val="007E0B72"/>
    <w:rsid w:val="007E1064"/>
    <w:rsid w:val="007E1291"/>
    <w:rsid w:val="007E1838"/>
    <w:rsid w:val="007E1E0D"/>
    <w:rsid w:val="007E33E0"/>
    <w:rsid w:val="007E49AF"/>
    <w:rsid w:val="007E4FA6"/>
    <w:rsid w:val="007E5486"/>
    <w:rsid w:val="007E584E"/>
    <w:rsid w:val="007E69ED"/>
    <w:rsid w:val="007E6FAE"/>
    <w:rsid w:val="007E7208"/>
    <w:rsid w:val="007E7415"/>
    <w:rsid w:val="007E79D2"/>
    <w:rsid w:val="007E79ED"/>
    <w:rsid w:val="007E7AB2"/>
    <w:rsid w:val="007F0276"/>
    <w:rsid w:val="007F1AA3"/>
    <w:rsid w:val="007F2523"/>
    <w:rsid w:val="007F34A9"/>
    <w:rsid w:val="007F3D73"/>
    <w:rsid w:val="007F3DDB"/>
    <w:rsid w:val="007F3DE0"/>
    <w:rsid w:val="007F41B6"/>
    <w:rsid w:val="007F4389"/>
    <w:rsid w:val="007F5952"/>
    <w:rsid w:val="007F5BA0"/>
    <w:rsid w:val="007F5D02"/>
    <w:rsid w:val="007F5DC1"/>
    <w:rsid w:val="007F6C6B"/>
    <w:rsid w:val="00801766"/>
    <w:rsid w:val="00802032"/>
    <w:rsid w:val="008028B0"/>
    <w:rsid w:val="00802FDA"/>
    <w:rsid w:val="008034F1"/>
    <w:rsid w:val="00804246"/>
    <w:rsid w:val="00806402"/>
    <w:rsid w:val="008064B2"/>
    <w:rsid w:val="008067FE"/>
    <w:rsid w:val="0080737E"/>
    <w:rsid w:val="008118DD"/>
    <w:rsid w:val="00811A15"/>
    <w:rsid w:val="008126A1"/>
    <w:rsid w:val="008130D5"/>
    <w:rsid w:val="00813D8C"/>
    <w:rsid w:val="008148BA"/>
    <w:rsid w:val="00814A33"/>
    <w:rsid w:val="0081534B"/>
    <w:rsid w:val="008162DF"/>
    <w:rsid w:val="00816FED"/>
    <w:rsid w:val="00817DB8"/>
    <w:rsid w:val="008204F4"/>
    <w:rsid w:val="00820524"/>
    <w:rsid w:val="00820E8C"/>
    <w:rsid w:val="00821527"/>
    <w:rsid w:val="00821648"/>
    <w:rsid w:val="00822A5F"/>
    <w:rsid w:val="00822B93"/>
    <w:rsid w:val="00823FFD"/>
    <w:rsid w:val="00824E4D"/>
    <w:rsid w:val="00825327"/>
    <w:rsid w:val="0082543D"/>
    <w:rsid w:val="00826B7E"/>
    <w:rsid w:val="00827A29"/>
    <w:rsid w:val="00827A65"/>
    <w:rsid w:val="00830029"/>
    <w:rsid w:val="008301FB"/>
    <w:rsid w:val="00831C92"/>
    <w:rsid w:val="00832731"/>
    <w:rsid w:val="00832BC3"/>
    <w:rsid w:val="00834A82"/>
    <w:rsid w:val="00834DC0"/>
    <w:rsid w:val="008357E0"/>
    <w:rsid w:val="008360DD"/>
    <w:rsid w:val="0083654C"/>
    <w:rsid w:val="008367B7"/>
    <w:rsid w:val="008371EB"/>
    <w:rsid w:val="00840373"/>
    <w:rsid w:val="008403B4"/>
    <w:rsid w:val="0084120B"/>
    <w:rsid w:val="00842295"/>
    <w:rsid w:val="00842669"/>
    <w:rsid w:val="00842B67"/>
    <w:rsid w:val="008441FF"/>
    <w:rsid w:val="00844D52"/>
    <w:rsid w:val="00844ECD"/>
    <w:rsid w:val="008458CF"/>
    <w:rsid w:val="00846040"/>
    <w:rsid w:val="008467AD"/>
    <w:rsid w:val="00847B50"/>
    <w:rsid w:val="008502D0"/>
    <w:rsid w:val="008513F1"/>
    <w:rsid w:val="0085258E"/>
    <w:rsid w:val="00852A63"/>
    <w:rsid w:val="00853FB6"/>
    <w:rsid w:val="00854395"/>
    <w:rsid w:val="00854D96"/>
    <w:rsid w:val="008560F9"/>
    <w:rsid w:val="00856276"/>
    <w:rsid w:val="00856F87"/>
    <w:rsid w:val="008574CD"/>
    <w:rsid w:val="008576F2"/>
    <w:rsid w:val="008576F7"/>
    <w:rsid w:val="0085789A"/>
    <w:rsid w:val="00857AE4"/>
    <w:rsid w:val="008619BE"/>
    <w:rsid w:val="00861A42"/>
    <w:rsid w:val="008626E4"/>
    <w:rsid w:val="00862A43"/>
    <w:rsid w:val="00863163"/>
    <w:rsid w:val="00864332"/>
    <w:rsid w:val="008644E0"/>
    <w:rsid w:val="008653EE"/>
    <w:rsid w:val="008655FC"/>
    <w:rsid w:val="00865CDA"/>
    <w:rsid w:val="008661BD"/>
    <w:rsid w:val="00867C8E"/>
    <w:rsid w:val="0087003B"/>
    <w:rsid w:val="00870259"/>
    <w:rsid w:val="008704F6"/>
    <w:rsid w:val="00870723"/>
    <w:rsid w:val="00870B80"/>
    <w:rsid w:val="0087293C"/>
    <w:rsid w:val="00873B16"/>
    <w:rsid w:val="00875222"/>
    <w:rsid w:val="008753CD"/>
    <w:rsid w:val="0087561A"/>
    <w:rsid w:val="0087597D"/>
    <w:rsid w:val="00875F9A"/>
    <w:rsid w:val="008767D5"/>
    <w:rsid w:val="00876B2C"/>
    <w:rsid w:val="00877A16"/>
    <w:rsid w:val="00880B81"/>
    <w:rsid w:val="0088114B"/>
    <w:rsid w:val="00881664"/>
    <w:rsid w:val="008817C5"/>
    <w:rsid w:val="00881E1E"/>
    <w:rsid w:val="008823CC"/>
    <w:rsid w:val="00882652"/>
    <w:rsid w:val="00882BA8"/>
    <w:rsid w:val="008842A9"/>
    <w:rsid w:val="00885C5C"/>
    <w:rsid w:val="00886951"/>
    <w:rsid w:val="00887F32"/>
    <w:rsid w:val="0089158D"/>
    <w:rsid w:val="00891C67"/>
    <w:rsid w:val="00892548"/>
    <w:rsid w:val="00892C5E"/>
    <w:rsid w:val="00893627"/>
    <w:rsid w:val="00893F54"/>
    <w:rsid w:val="0089417D"/>
    <w:rsid w:val="00894ECB"/>
    <w:rsid w:val="00894F56"/>
    <w:rsid w:val="008956C7"/>
    <w:rsid w:val="0089603C"/>
    <w:rsid w:val="0089643D"/>
    <w:rsid w:val="0089688F"/>
    <w:rsid w:val="008A08BB"/>
    <w:rsid w:val="008A0B98"/>
    <w:rsid w:val="008A13C4"/>
    <w:rsid w:val="008A152D"/>
    <w:rsid w:val="008A1E04"/>
    <w:rsid w:val="008A23C3"/>
    <w:rsid w:val="008A2DD8"/>
    <w:rsid w:val="008A2F45"/>
    <w:rsid w:val="008A404F"/>
    <w:rsid w:val="008A4793"/>
    <w:rsid w:val="008A5071"/>
    <w:rsid w:val="008A637F"/>
    <w:rsid w:val="008A6DF6"/>
    <w:rsid w:val="008A7C51"/>
    <w:rsid w:val="008B03FD"/>
    <w:rsid w:val="008B051D"/>
    <w:rsid w:val="008B0AB6"/>
    <w:rsid w:val="008B19D6"/>
    <w:rsid w:val="008B224C"/>
    <w:rsid w:val="008B2455"/>
    <w:rsid w:val="008B2664"/>
    <w:rsid w:val="008B3219"/>
    <w:rsid w:val="008B38D4"/>
    <w:rsid w:val="008B3C16"/>
    <w:rsid w:val="008B4505"/>
    <w:rsid w:val="008B4C2D"/>
    <w:rsid w:val="008B6A93"/>
    <w:rsid w:val="008B6AC4"/>
    <w:rsid w:val="008B6E28"/>
    <w:rsid w:val="008B77EF"/>
    <w:rsid w:val="008B7EAC"/>
    <w:rsid w:val="008C0025"/>
    <w:rsid w:val="008C0700"/>
    <w:rsid w:val="008C11E4"/>
    <w:rsid w:val="008C41EA"/>
    <w:rsid w:val="008C4261"/>
    <w:rsid w:val="008C457D"/>
    <w:rsid w:val="008C4BDD"/>
    <w:rsid w:val="008C61AC"/>
    <w:rsid w:val="008C66A9"/>
    <w:rsid w:val="008C6860"/>
    <w:rsid w:val="008C6864"/>
    <w:rsid w:val="008C6B03"/>
    <w:rsid w:val="008C6B5C"/>
    <w:rsid w:val="008D099F"/>
    <w:rsid w:val="008D1160"/>
    <w:rsid w:val="008D1801"/>
    <w:rsid w:val="008D1DC5"/>
    <w:rsid w:val="008D2134"/>
    <w:rsid w:val="008D2905"/>
    <w:rsid w:val="008D3771"/>
    <w:rsid w:val="008D3F2B"/>
    <w:rsid w:val="008D4274"/>
    <w:rsid w:val="008D4875"/>
    <w:rsid w:val="008D5258"/>
    <w:rsid w:val="008D59BE"/>
    <w:rsid w:val="008D6BE9"/>
    <w:rsid w:val="008D70A5"/>
    <w:rsid w:val="008D7100"/>
    <w:rsid w:val="008D79EE"/>
    <w:rsid w:val="008E023D"/>
    <w:rsid w:val="008E032B"/>
    <w:rsid w:val="008E0A65"/>
    <w:rsid w:val="008E1CDD"/>
    <w:rsid w:val="008E24D5"/>
    <w:rsid w:val="008E26AE"/>
    <w:rsid w:val="008E2929"/>
    <w:rsid w:val="008E2EBD"/>
    <w:rsid w:val="008E30B4"/>
    <w:rsid w:val="008E494D"/>
    <w:rsid w:val="008E54B9"/>
    <w:rsid w:val="008E6195"/>
    <w:rsid w:val="008E61CF"/>
    <w:rsid w:val="008E70C5"/>
    <w:rsid w:val="008E75BA"/>
    <w:rsid w:val="008E7C6C"/>
    <w:rsid w:val="008E7E69"/>
    <w:rsid w:val="008F17A6"/>
    <w:rsid w:val="008F19A6"/>
    <w:rsid w:val="008F1A50"/>
    <w:rsid w:val="008F2414"/>
    <w:rsid w:val="008F2B51"/>
    <w:rsid w:val="008F498A"/>
    <w:rsid w:val="008F58DB"/>
    <w:rsid w:val="008F5EC8"/>
    <w:rsid w:val="008F61EE"/>
    <w:rsid w:val="00903081"/>
    <w:rsid w:val="00903BE6"/>
    <w:rsid w:val="00904D5A"/>
    <w:rsid w:val="00904F3F"/>
    <w:rsid w:val="009055C8"/>
    <w:rsid w:val="009056A6"/>
    <w:rsid w:val="00905DDC"/>
    <w:rsid w:val="009065BC"/>
    <w:rsid w:val="00906F0C"/>
    <w:rsid w:val="00906F6A"/>
    <w:rsid w:val="00907C64"/>
    <w:rsid w:val="00910376"/>
    <w:rsid w:val="0091182C"/>
    <w:rsid w:val="00912B48"/>
    <w:rsid w:val="00912D60"/>
    <w:rsid w:val="00912DE4"/>
    <w:rsid w:val="0091369C"/>
    <w:rsid w:val="009137DA"/>
    <w:rsid w:val="009137FF"/>
    <w:rsid w:val="0091425B"/>
    <w:rsid w:val="0091448E"/>
    <w:rsid w:val="009150DF"/>
    <w:rsid w:val="009155BB"/>
    <w:rsid w:val="00915E86"/>
    <w:rsid w:val="00916077"/>
    <w:rsid w:val="00916135"/>
    <w:rsid w:val="009166BC"/>
    <w:rsid w:val="009206D4"/>
    <w:rsid w:val="00921315"/>
    <w:rsid w:val="00921E0C"/>
    <w:rsid w:val="00922CAA"/>
    <w:rsid w:val="00922F43"/>
    <w:rsid w:val="0092359F"/>
    <w:rsid w:val="009236C7"/>
    <w:rsid w:val="00924AD9"/>
    <w:rsid w:val="00924C31"/>
    <w:rsid w:val="00925928"/>
    <w:rsid w:val="0092593E"/>
    <w:rsid w:val="00926413"/>
    <w:rsid w:val="0092667C"/>
    <w:rsid w:val="00926DA1"/>
    <w:rsid w:val="00927C0B"/>
    <w:rsid w:val="00927CE6"/>
    <w:rsid w:val="00927D0C"/>
    <w:rsid w:val="00930073"/>
    <w:rsid w:val="00930D79"/>
    <w:rsid w:val="009313EA"/>
    <w:rsid w:val="009317A4"/>
    <w:rsid w:val="009318D4"/>
    <w:rsid w:val="00931BB6"/>
    <w:rsid w:val="00931F24"/>
    <w:rsid w:val="00932281"/>
    <w:rsid w:val="009333EE"/>
    <w:rsid w:val="00933B53"/>
    <w:rsid w:val="009345F0"/>
    <w:rsid w:val="00934AF4"/>
    <w:rsid w:val="009359CE"/>
    <w:rsid w:val="00935A26"/>
    <w:rsid w:val="00935D02"/>
    <w:rsid w:val="00936040"/>
    <w:rsid w:val="0093731A"/>
    <w:rsid w:val="00937569"/>
    <w:rsid w:val="009375A2"/>
    <w:rsid w:val="009417EA"/>
    <w:rsid w:val="009418FE"/>
    <w:rsid w:val="009419E1"/>
    <w:rsid w:val="00941EBF"/>
    <w:rsid w:val="00942492"/>
    <w:rsid w:val="00942EA6"/>
    <w:rsid w:val="00943C8F"/>
    <w:rsid w:val="00944162"/>
    <w:rsid w:val="00944282"/>
    <w:rsid w:val="009443E1"/>
    <w:rsid w:val="009449C9"/>
    <w:rsid w:val="009456F0"/>
    <w:rsid w:val="00945740"/>
    <w:rsid w:val="00946256"/>
    <w:rsid w:val="0094680A"/>
    <w:rsid w:val="00947EC5"/>
    <w:rsid w:val="00950046"/>
    <w:rsid w:val="0095026A"/>
    <w:rsid w:val="009504CE"/>
    <w:rsid w:val="00950E82"/>
    <w:rsid w:val="00952CBC"/>
    <w:rsid w:val="00953231"/>
    <w:rsid w:val="009534BD"/>
    <w:rsid w:val="00953F77"/>
    <w:rsid w:val="009541FC"/>
    <w:rsid w:val="00954981"/>
    <w:rsid w:val="00954F09"/>
    <w:rsid w:val="00955D98"/>
    <w:rsid w:val="009568C2"/>
    <w:rsid w:val="00956A35"/>
    <w:rsid w:val="00957D6F"/>
    <w:rsid w:val="00960056"/>
    <w:rsid w:val="00960390"/>
    <w:rsid w:val="0096042E"/>
    <w:rsid w:val="009605F4"/>
    <w:rsid w:val="00960889"/>
    <w:rsid w:val="00962858"/>
    <w:rsid w:val="00962E45"/>
    <w:rsid w:val="0096501E"/>
    <w:rsid w:val="00965B90"/>
    <w:rsid w:val="00966A9F"/>
    <w:rsid w:val="0096718B"/>
    <w:rsid w:val="009707A3"/>
    <w:rsid w:val="00970A2A"/>
    <w:rsid w:val="00972022"/>
    <w:rsid w:val="00972158"/>
    <w:rsid w:val="00972B26"/>
    <w:rsid w:val="00975CDA"/>
    <w:rsid w:val="00975F2D"/>
    <w:rsid w:val="0097630C"/>
    <w:rsid w:val="00976609"/>
    <w:rsid w:val="00976EDC"/>
    <w:rsid w:val="0098015D"/>
    <w:rsid w:val="009810A7"/>
    <w:rsid w:val="00981731"/>
    <w:rsid w:val="00981816"/>
    <w:rsid w:val="00981B3F"/>
    <w:rsid w:val="00982625"/>
    <w:rsid w:val="00982B68"/>
    <w:rsid w:val="0098356A"/>
    <w:rsid w:val="0098463D"/>
    <w:rsid w:val="0098495F"/>
    <w:rsid w:val="009854B4"/>
    <w:rsid w:val="00986168"/>
    <w:rsid w:val="009869CF"/>
    <w:rsid w:val="0098772A"/>
    <w:rsid w:val="0099015E"/>
    <w:rsid w:val="00990D73"/>
    <w:rsid w:val="009911CC"/>
    <w:rsid w:val="00991D59"/>
    <w:rsid w:val="009926CC"/>
    <w:rsid w:val="00992A39"/>
    <w:rsid w:val="009937B4"/>
    <w:rsid w:val="009942A0"/>
    <w:rsid w:val="009945D4"/>
    <w:rsid w:val="009950C8"/>
    <w:rsid w:val="00995735"/>
    <w:rsid w:val="00995A22"/>
    <w:rsid w:val="00995EAA"/>
    <w:rsid w:val="00996027"/>
    <w:rsid w:val="009966A1"/>
    <w:rsid w:val="00996E50"/>
    <w:rsid w:val="00997237"/>
    <w:rsid w:val="009978F2"/>
    <w:rsid w:val="00997B0D"/>
    <w:rsid w:val="009A1A9A"/>
    <w:rsid w:val="009A21F9"/>
    <w:rsid w:val="009A2548"/>
    <w:rsid w:val="009A2A19"/>
    <w:rsid w:val="009A2ED2"/>
    <w:rsid w:val="009A330C"/>
    <w:rsid w:val="009A35B3"/>
    <w:rsid w:val="009A4258"/>
    <w:rsid w:val="009A5891"/>
    <w:rsid w:val="009A5D54"/>
    <w:rsid w:val="009A620F"/>
    <w:rsid w:val="009A62DA"/>
    <w:rsid w:val="009A685E"/>
    <w:rsid w:val="009A69D2"/>
    <w:rsid w:val="009A7DDE"/>
    <w:rsid w:val="009B02F8"/>
    <w:rsid w:val="009B0843"/>
    <w:rsid w:val="009B136D"/>
    <w:rsid w:val="009B1674"/>
    <w:rsid w:val="009B19C8"/>
    <w:rsid w:val="009B41FC"/>
    <w:rsid w:val="009B5867"/>
    <w:rsid w:val="009B6C0E"/>
    <w:rsid w:val="009B6D4F"/>
    <w:rsid w:val="009C01BD"/>
    <w:rsid w:val="009C036C"/>
    <w:rsid w:val="009C12C9"/>
    <w:rsid w:val="009C136D"/>
    <w:rsid w:val="009C1A1E"/>
    <w:rsid w:val="009C2C66"/>
    <w:rsid w:val="009C3329"/>
    <w:rsid w:val="009C3776"/>
    <w:rsid w:val="009C3827"/>
    <w:rsid w:val="009C422E"/>
    <w:rsid w:val="009C5CD3"/>
    <w:rsid w:val="009C6C08"/>
    <w:rsid w:val="009C72BE"/>
    <w:rsid w:val="009C7939"/>
    <w:rsid w:val="009C7F8F"/>
    <w:rsid w:val="009D0576"/>
    <w:rsid w:val="009D1C24"/>
    <w:rsid w:val="009D3651"/>
    <w:rsid w:val="009D36F7"/>
    <w:rsid w:val="009D44C8"/>
    <w:rsid w:val="009D4E7B"/>
    <w:rsid w:val="009D4ED8"/>
    <w:rsid w:val="009D5D82"/>
    <w:rsid w:val="009D6304"/>
    <w:rsid w:val="009D6430"/>
    <w:rsid w:val="009D70DD"/>
    <w:rsid w:val="009D7381"/>
    <w:rsid w:val="009D7785"/>
    <w:rsid w:val="009E0942"/>
    <w:rsid w:val="009E104B"/>
    <w:rsid w:val="009E1800"/>
    <w:rsid w:val="009E2734"/>
    <w:rsid w:val="009E37BF"/>
    <w:rsid w:val="009E3C6A"/>
    <w:rsid w:val="009E501A"/>
    <w:rsid w:val="009E5756"/>
    <w:rsid w:val="009E5B13"/>
    <w:rsid w:val="009E5D4D"/>
    <w:rsid w:val="009E61F9"/>
    <w:rsid w:val="009E62BD"/>
    <w:rsid w:val="009E6A4A"/>
    <w:rsid w:val="009E7281"/>
    <w:rsid w:val="009E73A2"/>
    <w:rsid w:val="009E766A"/>
    <w:rsid w:val="009E767D"/>
    <w:rsid w:val="009F2300"/>
    <w:rsid w:val="009F25C6"/>
    <w:rsid w:val="009F3690"/>
    <w:rsid w:val="009F3699"/>
    <w:rsid w:val="009F3A45"/>
    <w:rsid w:val="009F5BB8"/>
    <w:rsid w:val="009F5EEB"/>
    <w:rsid w:val="009F6212"/>
    <w:rsid w:val="009F6244"/>
    <w:rsid w:val="009F6C8D"/>
    <w:rsid w:val="009F7716"/>
    <w:rsid w:val="00A0070E"/>
    <w:rsid w:val="00A016B4"/>
    <w:rsid w:val="00A02913"/>
    <w:rsid w:val="00A02D85"/>
    <w:rsid w:val="00A0334C"/>
    <w:rsid w:val="00A0368F"/>
    <w:rsid w:val="00A043C7"/>
    <w:rsid w:val="00A0490C"/>
    <w:rsid w:val="00A04E76"/>
    <w:rsid w:val="00A051FD"/>
    <w:rsid w:val="00A05793"/>
    <w:rsid w:val="00A05A75"/>
    <w:rsid w:val="00A066B9"/>
    <w:rsid w:val="00A067DA"/>
    <w:rsid w:val="00A07102"/>
    <w:rsid w:val="00A07340"/>
    <w:rsid w:val="00A076DB"/>
    <w:rsid w:val="00A07799"/>
    <w:rsid w:val="00A077B8"/>
    <w:rsid w:val="00A10A53"/>
    <w:rsid w:val="00A1101B"/>
    <w:rsid w:val="00A11C50"/>
    <w:rsid w:val="00A125F6"/>
    <w:rsid w:val="00A12C39"/>
    <w:rsid w:val="00A139F6"/>
    <w:rsid w:val="00A14A33"/>
    <w:rsid w:val="00A15287"/>
    <w:rsid w:val="00A1598D"/>
    <w:rsid w:val="00A15E83"/>
    <w:rsid w:val="00A167AE"/>
    <w:rsid w:val="00A16D2F"/>
    <w:rsid w:val="00A17D8E"/>
    <w:rsid w:val="00A2017F"/>
    <w:rsid w:val="00A2066A"/>
    <w:rsid w:val="00A20729"/>
    <w:rsid w:val="00A209B7"/>
    <w:rsid w:val="00A21E91"/>
    <w:rsid w:val="00A21FB1"/>
    <w:rsid w:val="00A22A95"/>
    <w:rsid w:val="00A2301C"/>
    <w:rsid w:val="00A23E27"/>
    <w:rsid w:val="00A2436A"/>
    <w:rsid w:val="00A24441"/>
    <w:rsid w:val="00A244FC"/>
    <w:rsid w:val="00A25306"/>
    <w:rsid w:val="00A2626D"/>
    <w:rsid w:val="00A262DD"/>
    <w:rsid w:val="00A2665A"/>
    <w:rsid w:val="00A26868"/>
    <w:rsid w:val="00A268C0"/>
    <w:rsid w:val="00A26FD4"/>
    <w:rsid w:val="00A279C2"/>
    <w:rsid w:val="00A30431"/>
    <w:rsid w:val="00A30580"/>
    <w:rsid w:val="00A315D1"/>
    <w:rsid w:val="00A316A3"/>
    <w:rsid w:val="00A32CCB"/>
    <w:rsid w:val="00A32DB7"/>
    <w:rsid w:val="00A33D22"/>
    <w:rsid w:val="00A33DCB"/>
    <w:rsid w:val="00A34866"/>
    <w:rsid w:val="00A34C61"/>
    <w:rsid w:val="00A350E6"/>
    <w:rsid w:val="00A353FA"/>
    <w:rsid w:val="00A35457"/>
    <w:rsid w:val="00A40ABC"/>
    <w:rsid w:val="00A40D2B"/>
    <w:rsid w:val="00A41136"/>
    <w:rsid w:val="00A41296"/>
    <w:rsid w:val="00A412D8"/>
    <w:rsid w:val="00A417CA"/>
    <w:rsid w:val="00A42919"/>
    <w:rsid w:val="00A43442"/>
    <w:rsid w:val="00A43904"/>
    <w:rsid w:val="00A43FDF"/>
    <w:rsid w:val="00A44847"/>
    <w:rsid w:val="00A44972"/>
    <w:rsid w:val="00A4564C"/>
    <w:rsid w:val="00A456FF"/>
    <w:rsid w:val="00A45A71"/>
    <w:rsid w:val="00A45C95"/>
    <w:rsid w:val="00A46CC1"/>
    <w:rsid w:val="00A46F65"/>
    <w:rsid w:val="00A47818"/>
    <w:rsid w:val="00A50507"/>
    <w:rsid w:val="00A50A56"/>
    <w:rsid w:val="00A510DD"/>
    <w:rsid w:val="00A513E9"/>
    <w:rsid w:val="00A5160F"/>
    <w:rsid w:val="00A51886"/>
    <w:rsid w:val="00A51982"/>
    <w:rsid w:val="00A52B60"/>
    <w:rsid w:val="00A53B74"/>
    <w:rsid w:val="00A53CB7"/>
    <w:rsid w:val="00A547DC"/>
    <w:rsid w:val="00A54F6A"/>
    <w:rsid w:val="00A55524"/>
    <w:rsid w:val="00A555B2"/>
    <w:rsid w:val="00A55A17"/>
    <w:rsid w:val="00A56B09"/>
    <w:rsid w:val="00A575BF"/>
    <w:rsid w:val="00A600D3"/>
    <w:rsid w:val="00A603B1"/>
    <w:rsid w:val="00A603B8"/>
    <w:rsid w:val="00A6047C"/>
    <w:rsid w:val="00A60C49"/>
    <w:rsid w:val="00A61769"/>
    <w:rsid w:val="00A61DB0"/>
    <w:rsid w:val="00A62087"/>
    <w:rsid w:val="00A62982"/>
    <w:rsid w:val="00A62F74"/>
    <w:rsid w:val="00A634FE"/>
    <w:rsid w:val="00A638BA"/>
    <w:rsid w:val="00A6394E"/>
    <w:rsid w:val="00A64EEC"/>
    <w:rsid w:val="00A657F4"/>
    <w:rsid w:val="00A66589"/>
    <w:rsid w:val="00A700F1"/>
    <w:rsid w:val="00A711F6"/>
    <w:rsid w:val="00A71AD0"/>
    <w:rsid w:val="00A71F6C"/>
    <w:rsid w:val="00A71FA7"/>
    <w:rsid w:val="00A7257E"/>
    <w:rsid w:val="00A72DB9"/>
    <w:rsid w:val="00A73000"/>
    <w:rsid w:val="00A73F22"/>
    <w:rsid w:val="00A742A0"/>
    <w:rsid w:val="00A74434"/>
    <w:rsid w:val="00A74627"/>
    <w:rsid w:val="00A75ED8"/>
    <w:rsid w:val="00A75F75"/>
    <w:rsid w:val="00A7752C"/>
    <w:rsid w:val="00A80CCB"/>
    <w:rsid w:val="00A81C28"/>
    <w:rsid w:val="00A82CA4"/>
    <w:rsid w:val="00A82E3F"/>
    <w:rsid w:val="00A83659"/>
    <w:rsid w:val="00A83CA5"/>
    <w:rsid w:val="00A843C2"/>
    <w:rsid w:val="00A84D33"/>
    <w:rsid w:val="00A84E89"/>
    <w:rsid w:val="00A84F79"/>
    <w:rsid w:val="00A85042"/>
    <w:rsid w:val="00A85945"/>
    <w:rsid w:val="00A85A0E"/>
    <w:rsid w:val="00A86661"/>
    <w:rsid w:val="00A872E8"/>
    <w:rsid w:val="00A87A5B"/>
    <w:rsid w:val="00A87B7B"/>
    <w:rsid w:val="00A87C24"/>
    <w:rsid w:val="00A87FD9"/>
    <w:rsid w:val="00A90154"/>
    <w:rsid w:val="00A90891"/>
    <w:rsid w:val="00A90929"/>
    <w:rsid w:val="00A90998"/>
    <w:rsid w:val="00A90C56"/>
    <w:rsid w:val="00A91B82"/>
    <w:rsid w:val="00A91E82"/>
    <w:rsid w:val="00A92D13"/>
    <w:rsid w:val="00A930CF"/>
    <w:rsid w:val="00A934B5"/>
    <w:rsid w:val="00A93DE6"/>
    <w:rsid w:val="00A94252"/>
    <w:rsid w:val="00A9503C"/>
    <w:rsid w:val="00A96234"/>
    <w:rsid w:val="00A96597"/>
    <w:rsid w:val="00A97B32"/>
    <w:rsid w:val="00AA01A4"/>
    <w:rsid w:val="00AA0475"/>
    <w:rsid w:val="00AA05A6"/>
    <w:rsid w:val="00AA0E01"/>
    <w:rsid w:val="00AA1472"/>
    <w:rsid w:val="00AA19B0"/>
    <w:rsid w:val="00AA1FF4"/>
    <w:rsid w:val="00AA278F"/>
    <w:rsid w:val="00AA279D"/>
    <w:rsid w:val="00AA3095"/>
    <w:rsid w:val="00AA3331"/>
    <w:rsid w:val="00AA43FE"/>
    <w:rsid w:val="00AA51D3"/>
    <w:rsid w:val="00AA603E"/>
    <w:rsid w:val="00AB04AB"/>
    <w:rsid w:val="00AB0FA8"/>
    <w:rsid w:val="00AB126D"/>
    <w:rsid w:val="00AB2015"/>
    <w:rsid w:val="00AB3046"/>
    <w:rsid w:val="00AB3050"/>
    <w:rsid w:val="00AB382F"/>
    <w:rsid w:val="00AB40AA"/>
    <w:rsid w:val="00AB4354"/>
    <w:rsid w:val="00AB4FA7"/>
    <w:rsid w:val="00AB55E5"/>
    <w:rsid w:val="00AB5901"/>
    <w:rsid w:val="00AB5A84"/>
    <w:rsid w:val="00AB5E05"/>
    <w:rsid w:val="00AB6521"/>
    <w:rsid w:val="00AB7012"/>
    <w:rsid w:val="00AB7343"/>
    <w:rsid w:val="00AB76ED"/>
    <w:rsid w:val="00AB7B31"/>
    <w:rsid w:val="00AB7EBF"/>
    <w:rsid w:val="00AC020B"/>
    <w:rsid w:val="00AC1FAA"/>
    <w:rsid w:val="00AC24F2"/>
    <w:rsid w:val="00AC252D"/>
    <w:rsid w:val="00AC2EBD"/>
    <w:rsid w:val="00AC2F01"/>
    <w:rsid w:val="00AC3242"/>
    <w:rsid w:val="00AC32D4"/>
    <w:rsid w:val="00AC3A0D"/>
    <w:rsid w:val="00AC508B"/>
    <w:rsid w:val="00AC571E"/>
    <w:rsid w:val="00AC62FF"/>
    <w:rsid w:val="00AC63A7"/>
    <w:rsid w:val="00AC768C"/>
    <w:rsid w:val="00AC7C64"/>
    <w:rsid w:val="00AD012F"/>
    <w:rsid w:val="00AD0582"/>
    <w:rsid w:val="00AD09DD"/>
    <w:rsid w:val="00AD1595"/>
    <w:rsid w:val="00AD1993"/>
    <w:rsid w:val="00AD20CD"/>
    <w:rsid w:val="00AD28BE"/>
    <w:rsid w:val="00AD308D"/>
    <w:rsid w:val="00AD3946"/>
    <w:rsid w:val="00AD49F3"/>
    <w:rsid w:val="00AD4F5E"/>
    <w:rsid w:val="00AD528F"/>
    <w:rsid w:val="00AD57CE"/>
    <w:rsid w:val="00AD5B3D"/>
    <w:rsid w:val="00AD5D31"/>
    <w:rsid w:val="00AD632A"/>
    <w:rsid w:val="00AD7520"/>
    <w:rsid w:val="00AE0333"/>
    <w:rsid w:val="00AE180C"/>
    <w:rsid w:val="00AE228A"/>
    <w:rsid w:val="00AE22E7"/>
    <w:rsid w:val="00AE356D"/>
    <w:rsid w:val="00AE42EF"/>
    <w:rsid w:val="00AE4F9B"/>
    <w:rsid w:val="00AE50B9"/>
    <w:rsid w:val="00AE582E"/>
    <w:rsid w:val="00AE6D60"/>
    <w:rsid w:val="00AE730B"/>
    <w:rsid w:val="00AE792F"/>
    <w:rsid w:val="00AF040C"/>
    <w:rsid w:val="00AF14BE"/>
    <w:rsid w:val="00AF16BB"/>
    <w:rsid w:val="00AF16E5"/>
    <w:rsid w:val="00AF1E5A"/>
    <w:rsid w:val="00AF26B4"/>
    <w:rsid w:val="00AF2904"/>
    <w:rsid w:val="00AF3417"/>
    <w:rsid w:val="00AF384C"/>
    <w:rsid w:val="00AF442A"/>
    <w:rsid w:val="00AF4BA2"/>
    <w:rsid w:val="00AF4EC2"/>
    <w:rsid w:val="00AF580D"/>
    <w:rsid w:val="00AF5E14"/>
    <w:rsid w:val="00AF69BA"/>
    <w:rsid w:val="00AF74FD"/>
    <w:rsid w:val="00AF7778"/>
    <w:rsid w:val="00AF7A8F"/>
    <w:rsid w:val="00B00303"/>
    <w:rsid w:val="00B003F4"/>
    <w:rsid w:val="00B007A9"/>
    <w:rsid w:val="00B00D9A"/>
    <w:rsid w:val="00B01831"/>
    <w:rsid w:val="00B02264"/>
    <w:rsid w:val="00B02688"/>
    <w:rsid w:val="00B02C99"/>
    <w:rsid w:val="00B02EF0"/>
    <w:rsid w:val="00B033CE"/>
    <w:rsid w:val="00B0394A"/>
    <w:rsid w:val="00B042EA"/>
    <w:rsid w:val="00B050E3"/>
    <w:rsid w:val="00B052DD"/>
    <w:rsid w:val="00B052FA"/>
    <w:rsid w:val="00B067F8"/>
    <w:rsid w:val="00B07E28"/>
    <w:rsid w:val="00B10882"/>
    <w:rsid w:val="00B12FC6"/>
    <w:rsid w:val="00B14314"/>
    <w:rsid w:val="00B1441B"/>
    <w:rsid w:val="00B1442B"/>
    <w:rsid w:val="00B144ED"/>
    <w:rsid w:val="00B14AEA"/>
    <w:rsid w:val="00B14B3D"/>
    <w:rsid w:val="00B151AC"/>
    <w:rsid w:val="00B1565B"/>
    <w:rsid w:val="00B15FC9"/>
    <w:rsid w:val="00B16EEC"/>
    <w:rsid w:val="00B16F7B"/>
    <w:rsid w:val="00B218A7"/>
    <w:rsid w:val="00B21EFE"/>
    <w:rsid w:val="00B227C7"/>
    <w:rsid w:val="00B22B6F"/>
    <w:rsid w:val="00B2391F"/>
    <w:rsid w:val="00B240CD"/>
    <w:rsid w:val="00B24854"/>
    <w:rsid w:val="00B24E28"/>
    <w:rsid w:val="00B254A3"/>
    <w:rsid w:val="00B2623F"/>
    <w:rsid w:val="00B267C9"/>
    <w:rsid w:val="00B26BAF"/>
    <w:rsid w:val="00B26C4B"/>
    <w:rsid w:val="00B272D6"/>
    <w:rsid w:val="00B27731"/>
    <w:rsid w:val="00B30161"/>
    <w:rsid w:val="00B3195C"/>
    <w:rsid w:val="00B31C39"/>
    <w:rsid w:val="00B32205"/>
    <w:rsid w:val="00B329D9"/>
    <w:rsid w:val="00B3380F"/>
    <w:rsid w:val="00B33E1F"/>
    <w:rsid w:val="00B33F56"/>
    <w:rsid w:val="00B3405D"/>
    <w:rsid w:val="00B344AA"/>
    <w:rsid w:val="00B34C29"/>
    <w:rsid w:val="00B36E15"/>
    <w:rsid w:val="00B36EF3"/>
    <w:rsid w:val="00B37F7D"/>
    <w:rsid w:val="00B37FCF"/>
    <w:rsid w:val="00B40007"/>
    <w:rsid w:val="00B40237"/>
    <w:rsid w:val="00B415E9"/>
    <w:rsid w:val="00B4168A"/>
    <w:rsid w:val="00B41E4A"/>
    <w:rsid w:val="00B422B1"/>
    <w:rsid w:val="00B425C1"/>
    <w:rsid w:val="00B42744"/>
    <w:rsid w:val="00B42FC4"/>
    <w:rsid w:val="00B43111"/>
    <w:rsid w:val="00B43DBD"/>
    <w:rsid w:val="00B45165"/>
    <w:rsid w:val="00B454A6"/>
    <w:rsid w:val="00B456CB"/>
    <w:rsid w:val="00B47C12"/>
    <w:rsid w:val="00B50481"/>
    <w:rsid w:val="00B50F11"/>
    <w:rsid w:val="00B51567"/>
    <w:rsid w:val="00B522EF"/>
    <w:rsid w:val="00B525BB"/>
    <w:rsid w:val="00B5298E"/>
    <w:rsid w:val="00B5363F"/>
    <w:rsid w:val="00B53C3D"/>
    <w:rsid w:val="00B542FA"/>
    <w:rsid w:val="00B54583"/>
    <w:rsid w:val="00B5538E"/>
    <w:rsid w:val="00B60122"/>
    <w:rsid w:val="00B601A9"/>
    <w:rsid w:val="00B6186F"/>
    <w:rsid w:val="00B6195A"/>
    <w:rsid w:val="00B61AF0"/>
    <w:rsid w:val="00B61DEC"/>
    <w:rsid w:val="00B629F4"/>
    <w:rsid w:val="00B6349C"/>
    <w:rsid w:val="00B63E4F"/>
    <w:rsid w:val="00B647BB"/>
    <w:rsid w:val="00B66657"/>
    <w:rsid w:val="00B66726"/>
    <w:rsid w:val="00B66D18"/>
    <w:rsid w:val="00B6700C"/>
    <w:rsid w:val="00B678C9"/>
    <w:rsid w:val="00B678FA"/>
    <w:rsid w:val="00B67CF6"/>
    <w:rsid w:val="00B704CE"/>
    <w:rsid w:val="00B70C74"/>
    <w:rsid w:val="00B70FB9"/>
    <w:rsid w:val="00B7106B"/>
    <w:rsid w:val="00B716B4"/>
    <w:rsid w:val="00B7239E"/>
    <w:rsid w:val="00B7329A"/>
    <w:rsid w:val="00B73FFA"/>
    <w:rsid w:val="00B754B9"/>
    <w:rsid w:val="00B75552"/>
    <w:rsid w:val="00B75775"/>
    <w:rsid w:val="00B75C19"/>
    <w:rsid w:val="00B760A9"/>
    <w:rsid w:val="00B77BEB"/>
    <w:rsid w:val="00B8027F"/>
    <w:rsid w:val="00B8124B"/>
    <w:rsid w:val="00B81BFC"/>
    <w:rsid w:val="00B827A1"/>
    <w:rsid w:val="00B828EB"/>
    <w:rsid w:val="00B83EEF"/>
    <w:rsid w:val="00B83F30"/>
    <w:rsid w:val="00B841DE"/>
    <w:rsid w:val="00B84E7C"/>
    <w:rsid w:val="00B85A9B"/>
    <w:rsid w:val="00B85AD7"/>
    <w:rsid w:val="00B86C69"/>
    <w:rsid w:val="00B86DDD"/>
    <w:rsid w:val="00B873B9"/>
    <w:rsid w:val="00B877A0"/>
    <w:rsid w:val="00B9057A"/>
    <w:rsid w:val="00B90647"/>
    <w:rsid w:val="00B91083"/>
    <w:rsid w:val="00B91461"/>
    <w:rsid w:val="00B91F5D"/>
    <w:rsid w:val="00B92B29"/>
    <w:rsid w:val="00B92ED5"/>
    <w:rsid w:val="00B93205"/>
    <w:rsid w:val="00B93289"/>
    <w:rsid w:val="00B938B4"/>
    <w:rsid w:val="00B93AC5"/>
    <w:rsid w:val="00B94117"/>
    <w:rsid w:val="00B942DE"/>
    <w:rsid w:val="00B95850"/>
    <w:rsid w:val="00B96423"/>
    <w:rsid w:val="00BA08D7"/>
    <w:rsid w:val="00BA1953"/>
    <w:rsid w:val="00BA1AEE"/>
    <w:rsid w:val="00BA22B1"/>
    <w:rsid w:val="00BA3AA6"/>
    <w:rsid w:val="00BA442A"/>
    <w:rsid w:val="00BA4AFA"/>
    <w:rsid w:val="00BA4DDA"/>
    <w:rsid w:val="00BA5299"/>
    <w:rsid w:val="00BA5F7E"/>
    <w:rsid w:val="00BA6550"/>
    <w:rsid w:val="00BA67E9"/>
    <w:rsid w:val="00BA6926"/>
    <w:rsid w:val="00BA6AA2"/>
    <w:rsid w:val="00BA7471"/>
    <w:rsid w:val="00BA7A8F"/>
    <w:rsid w:val="00BB04BB"/>
    <w:rsid w:val="00BB1F50"/>
    <w:rsid w:val="00BB3166"/>
    <w:rsid w:val="00BB3497"/>
    <w:rsid w:val="00BB38E8"/>
    <w:rsid w:val="00BB3D70"/>
    <w:rsid w:val="00BB4BEA"/>
    <w:rsid w:val="00BB518F"/>
    <w:rsid w:val="00BB55B3"/>
    <w:rsid w:val="00BB594B"/>
    <w:rsid w:val="00BB707E"/>
    <w:rsid w:val="00BB7D13"/>
    <w:rsid w:val="00BC0803"/>
    <w:rsid w:val="00BC2AA7"/>
    <w:rsid w:val="00BC2F36"/>
    <w:rsid w:val="00BC32F2"/>
    <w:rsid w:val="00BC40A7"/>
    <w:rsid w:val="00BC41F8"/>
    <w:rsid w:val="00BC43B2"/>
    <w:rsid w:val="00BC4E92"/>
    <w:rsid w:val="00BC61E4"/>
    <w:rsid w:val="00BC6AB8"/>
    <w:rsid w:val="00BC6FD0"/>
    <w:rsid w:val="00BC76C6"/>
    <w:rsid w:val="00BC7C4D"/>
    <w:rsid w:val="00BD0077"/>
    <w:rsid w:val="00BD0248"/>
    <w:rsid w:val="00BD095D"/>
    <w:rsid w:val="00BD0D65"/>
    <w:rsid w:val="00BD1350"/>
    <w:rsid w:val="00BD15CE"/>
    <w:rsid w:val="00BD176C"/>
    <w:rsid w:val="00BD1A82"/>
    <w:rsid w:val="00BD321A"/>
    <w:rsid w:val="00BD41C1"/>
    <w:rsid w:val="00BD480B"/>
    <w:rsid w:val="00BD483E"/>
    <w:rsid w:val="00BD4C0E"/>
    <w:rsid w:val="00BD50EA"/>
    <w:rsid w:val="00BD6644"/>
    <w:rsid w:val="00BD6702"/>
    <w:rsid w:val="00BD6E85"/>
    <w:rsid w:val="00BD7142"/>
    <w:rsid w:val="00BD7CDE"/>
    <w:rsid w:val="00BE01E4"/>
    <w:rsid w:val="00BE06B1"/>
    <w:rsid w:val="00BE0CB4"/>
    <w:rsid w:val="00BE0F8B"/>
    <w:rsid w:val="00BE165B"/>
    <w:rsid w:val="00BE1C3C"/>
    <w:rsid w:val="00BE1E93"/>
    <w:rsid w:val="00BE22E5"/>
    <w:rsid w:val="00BE263A"/>
    <w:rsid w:val="00BE29EA"/>
    <w:rsid w:val="00BE2A8B"/>
    <w:rsid w:val="00BE308E"/>
    <w:rsid w:val="00BE3373"/>
    <w:rsid w:val="00BE33BA"/>
    <w:rsid w:val="00BE3DAD"/>
    <w:rsid w:val="00BE402A"/>
    <w:rsid w:val="00BE5F6A"/>
    <w:rsid w:val="00BE65BC"/>
    <w:rsid w:val="00BE722C"/>
    <w:rsid w:val="00BF0287"/>
    <w:rsid w:val="00BF02CF"/>
    <w:rsid w:val="00BF1E7E"/>
    <w:rsid w:val="00BF20D3"/>
    <w:rsid w:val="00BF2788"/>
    <w:rsid w:val="00BF2814"/>
    <w:rsid w:val="00BF2EEF"/>
    <w:rsid w:val="00BF307F"/>
    <w:rsid w:val="00BF32B8"/>
    <w:rsid w:val="00BF3C2F"/>
    <w:rsid w:val="00BF49AF"/>
    <w:rsid w:val="00BF4F84"/>
    <w:rsid w:val="00BF4FFF"/>
    <w:rsid w:val="00BF58D1"/>
    <w:rsid w:val="00BF64BC"/>
    <w:rsid w:val="00BF6FB2"/>
    <w:rsid w:val="00BF7249"/>
    <w:rsid w:val="00BF7349"/>
    <w:rsid w:val="00C009DF"/>
    <w:rsid w:val="00C00D91"/>
    <w:rsid w:val="00C046A9"/>
    <w:rsid w:val="00C047A2"/>
    <w:rsid w:val="00C04963"/>
    <w:rsid w:val="00C05509"/>
    <w:rsid w:val="00C05630"/>
    <w:rsid w:val="00C069A5"/>
    <w:rsid w:val="00C06D9C"/>
    <w:rsid w:val="00C06E91"/>
    <w:rsid w:val="00C0748C"/>
    <w:rsid w:val="00C10859"/>
    <w:rsid w:val="00C10C47"/>
    <w:rsid w:val="00C11466"/>
    <w:rsid w:val="00C117A0"/>
    <w:rsid w:val="00C11B74"/>
    <w:rsid w:val="00C12FC6"/>
    <w:rsid w:val="00C1367B"/>
    <w:rsid w:val="00C13CCA"/>
    <w:rsid w:val="00C153E0"/>
    <w:rsid w:val="00C17ACD"/>
    <w:rsid w:val="00C203FB"/>
    <w:rsid w:val="00C209A9"/>
    <w:rsid w:val="00C20A6A"/>
    <w:rsid w:val="00C20AB6"/>
    <w:rsid w:val="00C21A2C"/>
    <w:rsid w:val="00C21EF4"/>
    <w:rsid w:val="00C22C39"/>
    <w:rsid w:val="00C2355B"/>
    <w:rsid w:val="00C238E1"/>
    <w:rsid w:val="00C239F9"/>
    <w:rsid w:val="00C2490B"/>
    <w:rsid w:val="00C2564D"/>
    <w:rsid w:val="00C26FAD"/>
    <w:rsid w:val="00C27A60"/>
    <w:rsid w:val="00C30027"/>
    <w:rsid w:val="00C310C3"/>
    <w:rsid w:val="00C3152F"/>
    <w:rsid w:val="00C31E42"/>
    <w:rsid w:val="00C31FEE"/>
    <w:rsid w:val="00C331C5"/>
    <w:rsid w:val="00C33B0D"/>
    <w:rsid w:val="00C33B51"/>
    <w:rsid w:val="00C349E4"/>
    <w:rsid w:val="00C34BC7"/>
    <w:rsid w:val="00C356F2"/>
    <w:rsid w:val="00C35D74"/>
    <w:rsid w:val="00C3672D"/>
    <w:rsid w:val="00C36B82"/>
    <w:rsid w:val="00C36EB6"/>
    <w:rsid w:val="00C372E2"/>
    <w:rsid w:val="00C373AD"/>
    <w:rsid w:val="00C37409"/>
    <w:rsid w:val="00C37550"/>
    <w:rsid w:val="00C37807"/>
    <w:rsid w:val="00C37A27"/>
    <w:rsid w:val="00C40F63"/>
    <w:rsid w:val="00C427DF"/>
    <w:rsid w:val="00C428AC"/>
    <w:rsid w:val="00C42F03"/>
    <w:rsid w:val="00C43390"/>
    <w:rsid w:val="00C438A3"/>
    <w:rsid w:val="00C4480F"/>
    <w:rsid w:val="00C44A55"/>
    <w:rsid w:val="00C46395"/>
    <w:rsid w:val="00C4718F"/>
    <w:rsid w:val="00C477DA"/>
    <w:rsid w:val="00C504D1"/>
    <w:rsid w:val="00C5092C"/>
    <w:rsid w:val="00C509E3"/>
    <w:rsid w:val="00C50CAA"/>
    <w:rsid w:val="00C514AF"/>
    <w:rsid w:val="00C5153D"/>
    <w:rsid w:val="00C51B92"/>
    <w:rsid w:val="00C51BCD"/>
    <w:rsid w:val="00C52684"/>
    <w:rsid w:val="00C52855"/>
    <w:rsid w:val="00C52922"/>
    <w:rsid w:val="00C531C4"/>
    <w:rsid w:val="00C533B1"/>
    <w:rsid w:val="00C535CE"/>
    <w:rsid w:val="00C5383F"/>
    <w:rsid w:val="00C538F7"/>
    <w:rsid w:val="00C542D8"/>
    <w:rsid w:val="00C54A0D"/>
    <w:rsid w:val="00C5554A"/>
    <w:rsid w:val="00C55864"/>
    <w:rsid w:val="00C559E9"/>
    <w:rsid w:val="00C55CB6"/>
    <w:rsid w:val="00C5603D"/>
    <w:rsid w:val="00C56C86"/>
    <w:rsid w:val="00C572D4"/>
    <w:rsid w:val="00C57902"/>
    <w:rsid w:val="00C601E4"/>
    <w:rsid w:val="00C60E97"/>
    <w:rsid w:val="00C61003"/>
    <w:rsid w:val="00C612B9"/>
    <w:rsid w:val="00C6163A"/>
    <w:rsid w:val="00C6163C"/>
    <w:rsid w:val="00C620A0"/>
    <w:rsid w:val="00C62A97"/>
    <w:rsid w:val="00C62B31"/>
    <w:rsid w:val="00C63738"/>
    <w:rsid w:val="00C649B0"/>
    <w:rsid w:val="00C64DA1"/>
    <w:rsid w:val="00C655FB"/>
    <w:rsid w:val="00C6665C"/>
    <w:rsid w:val="00C67AE7"/>
    <w:rsid w:val="00C70320"/>
    <w:rsid w:val="00C70B08"/>
    <w:rsid w:val="00C724AC"/>
    <w:rsid w:val="00C72ED5"/>
    <w:rsid w:val="00C73050"/>
    <w:rsid w:val="00C73BB3"/>
    <w:rsid w:val="00C73BD0"/>
    <w:rsid w:val="00C745BC"/>
    <w:rsid w:val="00C748DD"/>
    <w:rsid w:val="00C759E3"/>
    <w:rsid w:val="00C76012"/>
    <w:rsid w:val="00C76580"/>
    <w:rsid w:val="00C7697B"/>
    <w:rsid w:val="00C77469"/>
    <w:rsid w:val="00C7796B"/>
    <w:rsid w:val="00C77A9C"/>
    <w:rsid w:val="00C80093"/>
    <w:rsid w:val="00C80B87"/>
    <w:rsid w:val="00C80D76"/>
    <w:rsid w:val="00C828FB"/>
    <w:rsid w:val="00C82936"/>
    <w:rsid w:val="00C82F1A"/>
    <w:rsid w:val="00C8312C"/>
    <w:rsid w:val="00C83FD0"/>
    <w:rsid w:val="00C847C1"/>
    <w:rsid w:val="00C84FBB"/>
    <w:rsid w:val="00C852BF"/>
    <w:rsid w:val="00C863B3"/>
    <w:rsid w:val="00C866AC"/>
    <w:rsid w:val="00C8714C"/>
    <w:rsid w:val="00C8774B"/>
    <w:rsid w:val="00C87FD9"/>
    <w:rsid w:val="00C9034C"/>
    <w:rsid w:val="00C90BB0"/>
    <w:rsid w:val="00C90D39"/>
    <w:rsid w:val="00C911C7"/>
    <w:rsid w:val="00C91D41"/>
    <w:rsid w:val="00C92041"/>
    <w:rsid w:val="00C92072"/>
    <w:rsid w:val="00C92937"/>
    <w:rsid w:val="00C94631"/>
    <w:rsid w:val="00C9469B"/>
    <w:rsid w:val="00C946E1"/>
    <w:rsid w:val="00C9485A"/>
    <w:rsid w:val="00C96A89"/>
    <w:rsid w:val="00C96FCB"/>
    <w:rsid w:val="00C97424"/>
    <w:rsid w:val="00CA02A9"/>
    <w:rsid w:val="00CA0869"/>
    <w:rsid w:val="00CA0A64"/>
    <w:rsid w:val="00CA0FF9"/>
    <w:rsid w:val="00CA165F"/>
    <w:rsid w:val="00CA1DFA"/>
    <w:rsid w:val="00CA2E34"/>
    <w:rsid w:val="00CA377B"/>
    <w:rsid w:val="00CA3A5F"/>
    <w:rsid w:val="00CA3EF1"/>
    <w:rsid w:val="00CA4A8F"/>
    <w:rsid w:val="00CA53AA"/>
    <w:rsid w:val="00CA5B54"/>
    <w:rsid w:val="00CA5BF4"/>
    <w:rsid w:val="00CA7554"/>
    <w:rsid w:val="00CA7DF2"/>
    <w:rsid w:val="00CB32CE"/>
    <w:rsid w:val="00CB4443"/>
    <w:rsid w:val="00CB4FCA"/>
    <w:rsid w:val="00CB58BE"/>
    <w:rsid w:val="00CB6943"/>
    <w:rsid w:val="00CB7B86"/>
    <w:rsid w:val="00CB7FC4"/>
    <w:rsid w:val="00CC057F"/>
    <w:rsid w:val="00CC1807"/>
    <w:rsid w:val="00CC19DF"/>
    <w:rsid w:val="00CC292C"/>
    <w:rsid w:val="00CC3738"/>
    <w:rsid w:val="00CC454D"/>
    <w:rsid w:val="00CC4901"/>
    <w:rsid w:val="00CC5F98"/>
    <w:rsid w:val="00CC6D6B"/>
    <w:rsid w:val="00CC6FB6"/>
    <w:rsid w:val="00CD01F2"/>
    <w:rsid w:val="00CD0C85"/>
    <w:rsid w:val="00CD13C0"/>
    <w:rsid w:val="00CD1540"/>
    <w:rsid w:val="00CD25E6"/>
    <w:rsid w:val="00CD2AE3"/>
    <w:rsid w:val="00CD2CF5"/>
    <w:rsid w:val="00CD2E6D"/>
    <w:rsid w:val="00CD3024"/>
    <w:rsid w:val="00CD3880"/>
    <w:rsid w:val="00CD4DFD"/>
    <w:rsid w:val="00CD51A5"/>
    <w:rsid w:val="00CD52AD"/>
    <w:rsid w:val="00CD5B23"/>
    <w:rsid w:val="00CD65C1"/>
    <w:rsid w:val="00CD68C2"/>
    <w:rsid w:val="00CD732B"/>
    <w:rsid w:val="00CD7A9F"/>
    <w:rsid w:val="00CE064D"/>
    <w:rsid w:val="00CE11E8"/>
    <w:rsid w:val="00CE1C52"/>
    <w:rsid w:val="00CE2449"/>
    <w:rsid w:val="00CE4089"/>
    <w:rsid w:val="00CE40C6"/>
    <w:rsid w:val="00CE4137"/>
    <w:rsid w:val="00CE4804"/>
    <w:rsid w:val="00CE487F"/>
    <w:rsid w:val="00CE4BCD"/>
    <w:rsid w:val="00CE5C32"/>
    <w:rsid w:val="00CE5DBC"/>
    <w:rsid w:val="00CE5E19"/>
    <w:rsid w:val="00CE5E1C"/>
    <w:rsid w:val="00CE769C"/>
    <w:rsid w:val="00CE7D47"/>
    <w:rsid w:val="00CF00BE"/>
    <w:rsid w:val="00CF073B"/>
    <w:rsid w:val="00CF1247"/>
    <w:rsid w:val="00CF133B"/>
    <w:rsid w:val="00CF1F1B"/>
    <w:rsid w:val="00CF23E7"/>
    <w:rsid w:val="00CF25DF"/>
    <w:rsid w:val="00CF276C"/>
    <w:rsid w:val="00CF2A4D"/>
    <w:rsid w:val="00CF2F99"/>
    <w:rsid w:val="00CF34F1"/>
    <w:rsid w:val="00CF36C5"/>
    <w:rsid w:val="00CF3C55"/>
    <w:rsid w:val="00CF3D0C"/>
    <w:rsid w:val="00CF4677"/>
    <w:rsid w:val="00CF4B94"/>
    <w:rsid w:val="00D0077C"/>
    <w:rsid w:val="00D01312"/>
    <w:rsid w:val="00D01704"/>
    <w:rsid w:val="00D01AA8"/>
    <w:rsid w:val="00D01B2B"/>
    <w:rsid w:val="00D01F44"/>
    <w:rsid w:val="00D0245F"/>
    <w:rsid w:val="00D032D1"/>
    <w:rsid w:val="00D034F4"/>
    <w:rsid w:val="00D03EC5"/>
    <w:rsid w:val="00D047C0"/>
    <w:rsid w:val="00D05005"/>
    <w:rsid w:val="00D05D08"/>
    <w:rsid w:val="00D1094A"/>
    <w:rsid w:val="00D10AB2"/>
    <w:rsid w:val="00D10BF2"/>
    <w:rsid w:val="00D10C49"/>
    <w:rsid w:val="00D120F0"/>
    <w:rsid w:val="00D123BF"/>
    <w:rsid w:val="00D1290E"/>
    <w:rsid w:val="00D134E2"/>
    <w:rsid w:val="00D13AB6"/>
    <w:rsid w:val="00D13D11"/>
    <w:rsid w:val="00D1518D"/>
    <w:rsid w:val="00D152F3"/>
    <w:rsid w:val="00D1546A"/>
    <w:rsid w:val="00D1547C"/>
    <w:rsid w:val="00D15D5F"/>
    <w:rsid w:val="00D1613A"/>
    <w:rsid w:val="00D16C2A"/>
    <w:rsid w:val="00D17736"/>
    <w:rsid w:val="00D17CC0"/>
    <w:rsid w:val="00D21531"/>
    <w:rsid w:val="00D22889"/>
    <w:rsid w:val="00D2400C"/>
    <w:rsid w:val="00D24CDA"/>
    <w:rsid w:val="00D26D5A"/>
    <w:rsid w:val="00D26F6D"/>
    <w:rsid w:val="00D27489"/>
    <w:rsid w:val="00D300EA"/>
    <w:rsid w:val="00D30448"/>
    <w:rsid w:val="00D310D4"/>
    <w:rsid w:val="00D323B6"/>
    <w:rsid w:val="00D32823"/>
    <w:rsid w:val="00D32953"/>
    <w:rsid w:val="00D3400A"/>
    <w:rsid w:val="00D34078"/>
    <w:rsid w:val="00D34771"/>
    <w:rsid w:val="00D34EC1"/>
    <w:rsid w:val="00D35714"/>
    <w:rsid w:val="00D369C9"/>
    <w:rsid w:val="00D36B12"/>
    <w:rsid w:val="00D37011"/>
    <w:rsid w:val="00D3734D"/>
    <w:rsid w:val="00D40515"/>
    <w:rsid w:val="00D40B9A"/>
    <w:rsid w:val="00D43A48"/>
    <w:rsid w:val="00D44A0F"/>
    <w:rsid w:val="00D44DCC"/>
    <w:rsid w:val="00D44E4B"/>
    <w:rsid w:val="00D4543F"/>
    <w:rsid w:val="00D45AED"/>
    <w:rsid w:val="00D4664C"/>
    <w:rsid w:val="00D46A1F"/>
    <w:rsid w:val="00D46C7F"/>
    <w:rsid w:val="00D46F98"/>
    <w:rsid w:val="00D476BF"/>
    <w:rsid w:val="00D47C6E"/>
    <w:rsid w:val="00D47DFE"/>
    <w:rsid w:val="00D5000E"/>
    <w:rsid w:val="00D503B8"/>
    <w:rsid w:val="00D507AC"/>
    <w:rsid w:val="00D50A88"/>
    <w:rsid w:val="00D52C91"/>
    <w:rsid w:val="00D539B1"/>
    <w:rsid w:val="00D5416F"/>
    <w:rsid w:val="00D5439D"/>
    <w:rsid w:val="00D550C3"/>
    <w:rsid w:val="00D56B2A"/>
    <w:rsid w:val="00D56C69"/>
    <w:rsid w:val="00D56F46"/>
    <w:rsid w:val="00D60990"/>
    <w:rsid w:val="00D60DC6"/>
    <w:rsid w:val="00D60F40"/>
    <w:rsid w:val="00D6278F"/>
    <w:rsid w:val="00D630BD"/>
    <w:rsid w:val="00D6439A"/>
    <w:rsid w:val="00D64F9F"/>
    <w:rsid w:val="00D650F4"/>
    <w:rsid w:val="00D6531A"/>
    <w:rsid w:val="00D6553E"/>
    <w:rsid w:val="00D65634"/>
    <w:rsid w:val="00D666AE"/>
    <w:rsid w:val="00D67601"/>
    <w:rsid w:val="00D705D7"/>
    <w:rsid w:val="00D715C9"/>
    <w:rsid w:val="00D71B9A"/>
    <w:rsid w:val="00D71F30"/>
    <w:rsid w:val="00D72C1F"/>
    <w:rsid w:val="00D7464E"/>
    <w:rsid w:val="00D75281"/>
    <w:rsid w:val="00D76C73"/>
    <w:rsid w:val="00D77443"/>
    <w:rsid w:val="00D77A8C"/>
    <w:rsid w:val="00D77C1E"/>
    <w:rsid w:val="00D8096D"/>
    <w:rsid w:val="00D80978"/>
    <w:rsid w:val="00D81908"/>
    <w:rsid w:val="00D81F4D"/>
    <w:rsid w:val="00D82B17"/>
    <w:rsid w:val="00D836E7"/>
    <w:rsid w:val="00D83702"/>
    <w:rsid w:val="00D84EF2"/>
    <w:rsid w:val="00D84F2B"/>
    <w:rsid w:val="00D851A1"/>
    <w:rsid w:val="00D85B5D"/>
    <w:rsid w:val="00D85C7D"/>
    <w:rsid w:val="00D86C2C"/>
    <w:rsid w:val="00D86CB5"/>
    <w:rsid w:val="00D870F4"/>
    <w:rsid w:val="00D870FF"/>
    <w:rsid w:val="00D8748F"/>
    <w:rsid w:val="00D90B45"/>
    <w:rsid w:val="00D90F18"/>
    <w:rsid w:val="00D91024"/>
    <w:rsid w:val="00D927E4"/>
    <w:rsid w:val="00D929AB"/>
    <w:rsid w:val="00D93587"/>
    <w:rsid w:val="00D9391C"/>
    <w:rsid w:val="00D93969"/>
    <w:rsid w:val="00D93C28"/>
    <w:rsid w:val="00D93FC8"/>
    <w:rsid w:val="00D940C0"/>
    <w:rsid w:val="00DA0EC3"/>
    <w:rsid w:val="00DA2318"/>
    <w:rsid w:val="00DA2F05"/>
    <w:rsid w:val="00DA32A8"/>
    <w:rsid w:val="00DA3371"/>
    <w:rsid w:val="00DA352A"/>
    <w:rsid w:val="00DA353F"/>
    <w:rsid w:val="00DA4495"/>
    <w:rsid w:val="00DA5300"/>
    <w:rsid w:val="00DA625B"/>
    <w:rsid w:val="00DA70D6"/>
    <w:rsid w:val="00DA76BA"/>
    <w:rsid w:val="00DA7ABF"/>
    <w:rsid w:val="00DA7EDE"/>
    <w:rsid w:val="00DB0394"/>
    <w:rsid w:val="00DB0786"/>
    <w:rsid w:val="00DB079D"/>
    <w:rsid w:val="00DB14A2"/>
    <w:rsid w:val="00DB169D"/>
    <w:rsid w:val="00DB1AC3"/>
    <w:rsid w:val="00DB3B78"/>
    <w:rsid w:val="00DB3D8F"/>
    <w:rsid w:val="00DB468C"/>
    <w:rsid w:val="00DB5454"/>
    <w:rsid w:val="00DB61C4"/>
    <w:rsid w:val="00DB672A"/>
    <w:rsid w:val="00DB6917"/>
    <w:rsid w:val="00DB75AC"/>
    <w:rsid w:val="00DB7A9B"/>
    <w:rsid w:val="00DB7E98"/>
    <w:rsid w:val="00DC010E"/>
    <w:rsid w:val="00DC0250"/>
    <w:rsid w:val="00DC106E"/>
    <w:rsid w:val="00DC184A"/>
    <w:rsid w:val="00DC1870"/>
    <w:rsid w:val="00DC19DA"/>
    <w:rsid w:val="00DC1BC3"/>
    <w:rsid w:val="00DC1FB8"/>
    <w:rsid w:val="00DC224C"/>
    <w:rsid w:val="00DC2F8C"/>
    <w:rsid w:val="00DC388F"/>
    <w:rsid w:val="00DC4321"/>
    <w:rsid w:val="00DC5503"/>
    <w:rsid w:val="00DC56B8"/>
    <w:rsid w:val="00DC5FDC"/>
    <w:rsid w:val="00DC7346"/>
    <w:rsid w:val="00DC7764"/>
    <w:rsid w:val="00DD0356"/>
    <w:rsid w:val="00DD099F"/>
    <w:rsid w:val="00DD0A91"/>
    <w:rsid w:val="00DD0E52"/>
    <w:rsid w:val="00DD0F3D"/>
    <w:rsid w:val="00DD16D4"/>
    <w:rsid w:val="00DD2117"/>
    <w:rsid w:val="00DD2143"/>
    <w:rsid w:val="00DD2EFB"/>
    <w:rsid w:val="00DD3853"/>
    <w:rsid w:val="00DD4333"/>
    <w:rsid w:val="00DD4443"/>
    <w:rsid w:val="00DD477B"/>
    <w:rsid w:val="00DD5A79"/>
    <w:rsid w:val="00DD5FFC"/>
    <w:rsid w:val="00DD6181"/>
    <w:rsid w:val="00DD6532"/>
    <w:rsid w:val="00DD7327"/>
    <w:rsid w:val="00DE09B4"/>
    <w:rsid w:val="00DE153F"/>
    <w:rsid w:val="00DE1593"/>
    <w:rsid w:val="00DE24E9"/>
    <w:rsid w:val="00DE322D"/>
    <w:rsid w:val="00DE39F4"/>
    <w:rsid w:val="00DE3D10"/>
    <w:rsid w:val="00DE3EE0"/>
    <w:rsid w:val="00DE3F62"/>
    <w:rsid w:val="00DE530C"/>
    <w:rsid w:val="00DE59F4"/>
    <w:rsid w:val="00DE5A96"/>
    <w:rsid w:val="00DE63CE"/>
    <w:rsid w:val="00DE66FC"/>
    <w:rsid w:val="00DE6D3B"/>
    <w:rsid w:val="00DE7E96"/>
    <w:rsid w:val="00DF0788"/>
    <w:rsid w:val="00DF0827"/>
    <w:rsid w:val="00DF0B7F"/>
    <w:rsid w:val="00DF16DC"/>
    <w:rsid w:val="00DF213B"/>
    <w:rsid w:val="00DF2678"/>
    <w:rsid w:val="00DF3219"/>
    <w:rsid w:val="00DF3D79"/>
    <w:rsid w:val="00DF4A0D"/>
    <w:rsid w:val="00DF6566"/>
    <w:rsid w:val="00DF7B30"/>
    <w:rsid w:val="00E0025E"/>
    <w:rsid w:val="00E015AC"/>
    <w:rsid w:val="00E01A31"/>
    <w:rsid w:val="00E02B35"/>
    <w:rsid w:val="00E02CA1"/>
    <w:rsid w:val="00E0318B"/>
    <w:rsid w:val="00E03C6A"/>
    <w:rsid w:val="00E04E7A"/>
    <w:rsid w:val="00E0500B"/>
    <w:rsid w:val="00E0582F"/>
    <w:rsid w:val="00E05B09"/>
    <w:rsid w:val="00E067F0"/>
    <w:rsid w:val="00E0797C"/>
    <w:rsid w:val="00E07D32"/>
    <w:rsid w:val="00E10423"/>
    <w:rsid w:val="00E11553"/>
    <w:rsid w:val="00E12207"/>
    <w:rsid w:val="00E129CA"/>
    <w:rsid w:val="00E13186"/>
    <w:rsid w:val="00E13448"/>
    <w:rsid w:val="00E13A19"/>
    <w:rsid w:val="00E15E22"/>
    <w:rsid w:val="00E16D49"/>
    <w:rsid w:val="00E1744F"/>
    <w:rsid w:val="00E17A6A"/>
    <w:rsid w:val="00E17CCB"/>
    <w:rsid w:val="00E20694"/>
    <w:rsid w:val="00E208D7"/>
    <w:rsid w:val="00E20F6B"/>
    <w:rsid w:val="00E21801"/>
    <w:rsid w:val="00E21C8A"/>
    <w:rsid w:val="00E22DC9"/>
    <w:rsid w:val="00E23666"/>
    <w:rsid w:val="00E23B2B"/>
    <w:rsid w:val="00E24156"/>
    <w:rsid w:val="00E24717"/>
    <w:rsid w:val="00E248D7"/>
    <w:rsid w:val="00E252F6"/>
    <w:rsid w:val="00E25393"/>
    <w:rsid w:val="00E25871"/>
    <w:rsid w:val="00E262F5"/>
    <w:rsid w:val="00E264BC"/>
    <w:rsid w:val="00E268DA"/>
    <w:rsid w:val="00E26BE1"/>
    <w:rsid w:val="00E26EDC"/>
    <w:rsid w:val="00E26F09"/>
    <w:rsid w:val="00E27AA6"/>
    <w:rsid w:val="00E30354"/>
    <w:rsid w:val="00E304DE"/>
    <w:rsid w:val="00E30A9C"/>
    <w:rsid w:val="00E30DCA"/>
    <w:rsid w:val="00E32F72"/>
    <w:rsid w:val="00E33911"/>
    <w:rsid w:val="00E33CF2"/>
    <w:rsid w:val="00E33E52"/>
    <w:rsid w:val="00E34416"/>
    <w:rsid w:val="00E34826"/>
    <w:rsid w:val="00E35A0F"/>
    <w:rsid w:val="00E36603"/>
    <w:rsid w:val="00E366BF"/>
    <w:rsid w:val="00E36969"/>
    <w:rsid w:val="00E36A7E"/>
    <w:rsid w:val="00E37209"/>
    <w:rsid w:val="00E37804"/>
    <w:rsid w:val="00E37EDA"/>
    <w:rsid w:val="00E40BFE"/>
    <w:rsid w:val="00E40DAD"/>
    <w:rsid w:val="00E41C66"/>
    <w:rsid w:val="00E42A24"/>
    <w:rsid w:val="00E44552"/>
    <w:rsid w:val="00E4474C"/>
    <w:rsid w:val="00E448DA"/>
    <w:rsid w:val="00E45697"/>
    <w:rsid w:val="00E45A25"/>
    <w:rsid w:val="00E45B32"/>
    <w:rsid w:val="00E467DE"/>
    <w:rsid w:val="00E47387"/>
    <w:rsid w:val="00E500A6"/>
    <w:rsid w:val="00E50555"/>
    <w:rsid w:val="00E5083F"/>
    <w:rsid w:val="00E51370"/>
    <w:rsid w:val="00E519FC"/>
    <w:rsid w:val="00E54928"/>
    <w:rsid w:val="00E54E8D"/>
    <w:rsid w:val="00E55058"/>
    <w:rsid w:val="00E55346"/>
    <w:rsid w:val="00E560D8"/>
    <w:rsid w:val="00E573F4"/>
    <w:rsid w:val="00E57EEA"/>
    <w:rsid w:val="00E603EF"/>
    <w:rsid w:val="00E6041F"/>
    <w:rsid w:val="00E61596"/>
    <w:rsid w:val="00E6222D"/>
    <w:rsid w:val="00E62C6D"/>
    <w:rsid w:val="00E62FF3"/>
    <w:rsid w:val="00E63304"/>
    <w:rsid w:val="00E63A19"/>
    <w:rsid w:val="00E63D7B"/>
    <w:rsid w:val="00E64591"/>
    <w:rsid w:val="00E64713"/>
    <w:rsid w:val="00E65156"/>
    <w:rsid w:val="00E65AFE"/>
    <w:rsid w:val="00E65D32"/>
    <w:rsid w:val="00E66902"/>
    <w:rsid w:val="00E673A1"/>
    <w:rsid w:val="00E67426"/>
    <w:rsid w:val="00E675FC"/>
    <w:rsid w:val="00E677BE"/>
    <w:rsid w:val="00E707B1"/>
    <w:rsid w:val="00E7089C"/>
    <w:rsid w:val="00E70F5B"/>
    <w:rsid w:val="00E71758"/>
    <w:rsid w:val="00E723DE"/>
    <w:rsid w:val="00E7298E"/>
    <w:rsid w:val="00E739D4"/>
    <w:rsid w:val="00E73D88"/>
    <w:rsid w:val="00E73F80"/>
    <w:rsid w:val="00E74245"/>
    <w:rsid w:val="00E74C84"/>
    <w:rsid w:val="00E75583"/>
    <w:rsid w:val="00E763A2"/>
    <w:rsid w:val="00E7651F"/>
    <w:rsid w:val="00E76AE6"/>
    <w:rsid w:val="00E77246"/>
    <w:rsid w:val="00E774F7"/>
    <w:rsid w:val="00E77DE5"/>
    <w:rsid w:val="00E80B4C"/>
    <w:rsid w:val="00E81551"/>
    <w:rsid w:val="00E81754"/>
    <w:rsid w:val="00E824BF"/>
    <w:rsid w:val="00E8337B"/>
    <w:rsid w:val="00E8426F"/>
    <w:rsid w:val="00E853F8"/>
    <w:rsid w:val="00E8590B"/>
    <w:rsid w:val="00E85A4B"/>
    <w:rsid w:val="00E85B3F"/>
    <w:rsid w:val="00E865BF"/>
    <w:rsid w:val="00E86D4A"/>
    <w:rsid w:val="00E872FC"/>
    <w:rsid w:val="00E87730"/>
    <w:rsid w:val="00E905B4"/>
    <w:rsid w:val="00E9133E"/>
    <w:rsid w:val="00E92031"/>
    <w:rsid w:val="00E931B2"/>
    <w:rsid w:val="00E93429"/>
    <w:rsid w:val="00E93569"/>
    <w:rsid w:val="00E94D13"/>
    <w:rsid w:val="00E94DAF"/>
    <w:rsid w:val="00E9571D"/>
    <w:rsid w:val="00E962F0"/>
    <w:rsid w:val="00E97111"/>
    <w:rsid w:val="00E97870"/>
    <w:rsid w:val="00E978BA"/>
    <w:rsid w:val="00EA01BE"/>
    <w:rsid w:val="00EA10A6"/>
    <w:rsid w:val="00EA1DE7"/>
    <w:rsid w:val="00EA2807"/>
    <w:rsid w:val="00EA28A4"/>
    <w:rsid w:val="00EA2AED"/>
    <w:rsid w:val="00EA2F5C"/>
    <w:rsid w:val="00EA32AD"/>
    <w:rsid w:val="00EA388A"/>
    <w:rsid w:val="00EA44F9"/>
    <w:rsid w:val="00EA4557"/>
    <w:rsid w:val="00EA517A"/>
    <w:rsid w:val="00EA56C7"/>
    <w:rsid w:val="00EA6BBD"/>
    <w:rsid w:val="00EA797A"/>
    <w:rsid w:val="00EB0451"/>
    <w:rsid w:val="00EB1648"/>
    <w:rsid w:val="00EB1997"/>
    <w:rsid w:val="00EB1C45"/>
    <w:rsid w:val="00EB20A6"/>
    <w:rsid w:val="00EB20F7"/>
    <w:rsid w:val="00EB2613"/>
    <w:rsid w:val="00EB299F"/>
    <w:rsid w:val="00EB29CA"/>
    <w:rsid w:val="00EB34A2"/>
    <w:rsid w:val="00EB3D9C"/>
    <w:rsid w:val="00EB4360"/>
    <w:rsid w:val="00EB44CD"/>
    <w:rsid w:val="00EB48B9"/>
    <w:rsid w:val="00EB5606"/>
    <w:rsid w:val="00EB6318"/>
    <w:rsid w:val="00EB63DF"/>
    <w:rsid w:val="00EB6606"/>
    <w:rsid w:val="00EB6C3B"/>
    <w:rsid w:val="00EB6D31"/>
    <w:rsid w:val="00EC05E5"/>
    <w:rsid w:val="00EC061A"/>
    <w:rsid w:val="00EC0A85"/>
    <w:rsid w:val="00EC0CF9"/>
    <w:rsid w:val="00EC1868"/>
    <w:rsid w:val="00EC1903"/>
    <w:rsid w:val="00EC2979"/>
    <w:rsid w:val="00EC47B8"/>
    <w:rsid w:val="00EC4D1D"/>
    <w:rsid w:val="00EC51A4"/>
    <w:rsid w:val="00EC5741"/>
    <w:rsid w:val="00EC620B"/>
    <w:rsid w:val="00EC6B13"/>
    <w:rsid w:val="00EC6FBB"/>
    <w:rsid w:val="00EC754F"/>
    <w:rsid w:val="00EC7A74"/>
    <w:rsid w:val="00ED0EA1"/>
    <w:rsid w:val="00ED1254"/>
    <w:rsid w:val="00ED1467"/>
    <w:rsid w:val="00ED1CD9"/>
    <w:rsid w:val="00ED21A6"/>
    <w:rsid w:val="00ED21E7"/>
    <w:rsid w:val="00ED29E6"/>
    <w:rsid w:val="00ED2F68"/>
    <w:rsid w:val="00ED3656"/>
    <w:rsid w:val="00ED39B8"/>
    <w:rsid w:val="00ED3C54"/>
    <w:rsid w:val="00ED3D32"/>
    <w:rsid w:val="00ED42E1"/>
    <w:rsid w:val="00ED48C0"/>
    <w:rsid w:val="00ED75D0"/>
    <w:rsid w:val="00ED7B71"/>
    <w:rsid w:val="00ED7BF4"/>
    <w:rsid w:val="00EE09DA"/>
    <w:rsid w:val="00EE0CDE"/>
    <w:rsid w:val="00EE0D99"/>
    <w:rsid w:val="00EE0E10"/>
    <w:rsid w:val="00EE1211"/>
    <w:rsid w:val="00EE1C42"/>
    <w:rsid w:val="00EE2782"/>
    <w:rsid w:val="00EE31B6"/>
    <w:rsid w:val="00EE3AAF"/>
    <w:rsid w:val="00EE3E2E"/>
    <w:rsid w:val="00EE45A6"/>
    <w:rsid w:val="00EE49B6"/>
    <w:rsid w:val="00EE52CF"/>
    <w:rsid w:val="00EE600A"/>
    <w:rsid w:val="00EE6182"/>
    <w:rsid w:val="00EE68D0"/>
    <w:rsid w:val="00EE701A"/>
    <w:rsid w:val="00EF00B1"/>
    <w:rsid w:val="00EF01F7"/>
    <w:rsid w:val="00EF0979"/>
    <w:rsid w:val="00EF160A"/>
    <w:rsid w:val="00EF32EB"/>
    <w:rsid w:val="00EF37F8"/>
    <w:rsid w:val="00EF38AF"/>
    <w:rsid w:val="00EF47E7"/>
    <w:rsid w:val="00EF4A6E"/>
    <w:rsid w:val="00EF60AE"/>
    <w:rsid w:val="00EF689E"/>
    <w:rsid w:val="00EF6AB6"/>
    <w:rsid w:val="00EF6C12"/>
    <w:rsid w:val="00EF6D7F"/>
    <w:rsid w:val="00EF6DB2"/>
    <w:rsid w:val="00EF6E9C"/>
    <w:rsid w:val="00EF7001"/>
    <w:rsid w:val="00F0005F"/>
    <w:rsid w:val="00F005A0"/>
    <w:rsid w:val="00F006F7"/>
    <w:rsid w:val="00F00933"/>
    <w:rsid w:val="00F00C2E"/>
    <w:rsid w:val="00F00FED"/>
    <w:rsid w:val="00F013DA"/>
    <w:rsid w:val="00F01627"/>
    <w:rsid w:val="00F0178F"/>
    <w:rsid w:val="00F027DE"/>
    <w:rsid w:val="00F02FFB"/>
    <w:rsid w:val="00F033D5"/>
    <w:rsid w:val="00F038A1"/>
    <w:rsid w:val="00F03C1D"/>
    <w:rsid w:val="00F040DB"/>
    <w:rsid w:val="00F04982"/>
    <w:rsid w:val="00F07797"/>
    <w:rsid w:val="00F10CCA"/>
    <w:rsid w:val="00F112D3"/>
    <w:rsid w:val="00F116E0"/>
    <w:rsid w:val="00F117D2"/>
    <w:rsid w:val="00F12281"/>
    <w:rsid w:val="00F12394"/>
    <w:rsid w:val="00F12492"/>
    <w:rsid w:val="00F12724"/>
    <w:rsid w:val="00F12931"/>
    <w:rsid w:val="00F13DF7"/>
    <w:rsid w:val="00F14030"/>
    <w:rsid w:val="00F147B6"/>
    <w:rsid w:val="00F15A5B"/>
    <w:rsid w:val="00F1692A"/>
    <w:rsid w:val="00F16A5A"/>
    <w:rsid w:val="00F16C7B"/>
    <w:rsid w:val="00F17966"/>
    <w:rsid w:val="00F2096F"/>
    <w:rsid w:val="00F21483"/>
    <w:rsid w:val="00F21686"/>
    <w:rsid w:val="00F227EB"/>
    <w:rsid w:val="00F2324A"/>
    <w:rsid w:val="00F23ECE"/>
    <w:rsid w:val="00F2447F"/>
    <w:rsid w:val="00F252F4"/>
    <w:rsid w:val="00F25984"/>
    <w:rsid w:val="00F25A17"/>
    <w:rsid w:val="00F25CAC"/>
    <w:rsid w:val="00F26636"/>
    <w:rsid w:val="00F26720"/>
    <w:rsid w:val="00F26777"/>
    <w:rsid w:val="00F26EDB"/>
    <w:rsid w:val="00F276BF"/>
    <w:rsid w:val="00F27C86"/>
    <w:rsid w:val="00F27F16"/>
    <w:rsid w:val="00F30C04"/>
    <w:rsid w:val="00F30D8B"/>
    <w:rsid w:val="00F30DC3"/>
    <w:rsid w:val="00F30F22"/>
    <w:rsid w:val="00F3124A"/>
    <w:rsid w:val="00F31692"/>
    <w:rsid w:val="00F318E7"/>
    <w:rsid w:val="00F320FC"/>
    <w:rsid w:val="00F3287D"/>
    <w:rsid w:val="00F33ABD"/>
    <w:rsid w:val="00F340ED"/>
    <w:rsid w:val="00F35470"/>
    <w:rsid w:val="00F35939"/>
    <w:rsid w:val="00F3657B"/>
    <w:rsid w:val="00F36D8D"/>
    <w:rsid w:val="00F37760"/>
    <w:rsid w:val="00F37D4F"/>
    <w:rsid w:val="00F37DEF"/>
    <w:rsid w:val="00F37F84"/>
    <w:rsid w:val="00F4050D"/>
    <w:rsid w:val="00F411CE"/>
    <w:rsid w:val="00F41259"/>
    <w:rsid w:val="00F4227E"/>
    <w:rsid w:val="00F426BF"/>
    <w:rsid w:val="00F43482"/>
    <w:rsid w:val="00F43E7F"/>
    <w:rsid w:val="00F445F2"/>
    <w:rsid w:val="00F44C42"/>
    <w:rsid w:val="00F4549F"/>
    <w:rsid w:val="00F45697"/>
    <w:rsid w:val="00F468EE"/>
    <w:rsid w:val="00F475D2"/>
    <w:rsid w:val="00F47952"/>
    <w:rsid w:val="00F47EE5"/>
    <w:rsid w:val="00F50505"/>
    <w:rsid w:val="00F50D65"/>
    <w:rsid w:val="00F50ED1"/>
    <w:rsid w:val="00F50F12"/>
    <w:rsid w:val="00F53286"/>
    <w:rsid w:val="00F538E5"/>
    <w:rsid w:val="00F53AC8"/>
    <w:rsid w:val="00F54420"/>
    <w:rsid w:val="00F54B0C"/>
    <w:rsid w:val="00F554D7"/>
    <w:rsid w:val="00F557B3"/>
    <w:rsid w:val="00F559D8"/>
    <w:rsid w:val="00F5670D"/>
    <w:rsid w:val="00F57423"/>
    <w:rsid w:val="00F57850"/>
    <w:rsid w:val="00F57A0F"/>
    <w:rsid w:val="00F60260"/>
    <w:rsid w:val="00F60906"/>
    <w:rsid w:val="00F60987"/>
    <w:rsid w:val="00F6191D"/>
    <w:rsid w:val="00F624B1"/>
    <w:rsid w:val="00F62803"/>
    <w:rsid w:val="00F6339C"/>
    <w:rsid w:val="00F63630"/>
    <w:rsid w:val="00F63A01"/>
    <w:rsid w:val="00F63A17"/>
    <w:rsid w:val="00F64EC1"/>
    <w:rsid w:val="00F651BF"/>
    <w:rsid w:val="00F659A0"/>
    <w:rsid w:val="00F66536"/>
    <w:rsid w:val="00F708DE"/>
    <w:rsid w:val="00F717A9"/>
    <w:rsid w:val="00F72426"/>
    <w:rsid w:val="00F7254F"/>
    <w:rsid w:val="00F7406D"/>
    <w:rsid w:val="00F743EA"/>
    <w:rsid w:val="00F7689B"/>
    <w:rsid w:val="00F76932"/>
    <w:rsid w:val="00F76DDB"/>
    <w:rsid w:val="00F7713F"/>
    <w:rsid w:val="00F777C3"/>
    <w:rsid w:val="00F77E22"/>
    <w:rsid w:val="00F80A98"/>
    <w:rsid w:val="00F823D7"/>
    <w:rsid w:val="00F8291E"/>
    <w:rsid w:val="00F82A5D"/>
    <w:rsid w:val="00F841AB"/>
    <w:rsid w:val="00F841FF"/>
    <w:rsid w:val="00F856AC"/>
    <w:rsid w:val="00F85A9E"/>
    <w:rsid w:val="00F86657"/>
    <w:rsid w:val="00F868A1"/>
    <w:rsid w:val="00F86DD9"/>
    <w:rsid w:val="00F902F5"/>
    <w:rsid w:val="00F90AF6"/>
    <w:rsid w:val="00F91407"/>
    <w:rsid w:val="00F91A68"/>
    <w:rsid w:val="00F91C93"/>
    <w:rsid w:val="00F91E8C"/>
    <w:rsid w:val="00F92ACE"/>
    <w:rsid w:val="00F931CC"/>
    <w:rsid w:val="00F9385A"/>
    <w:rsid w:val="00F93883"/>
    <w:rsid w:val="00F94F07"/>
    <w:rsid w:val="00F95CA2"/>
    <w:rsid w:val="00F9664F"/>
    <w:rsid w:val="00F967F4"/>
    <w:rsid w:val="00F96BDC"/>
    <w:rsid w:val="00F974A6"/>
    <w:rsid w:val="00F97D5C"/>
    <w:rsid w:val="00F97E77"/>
    <w:rsid w:val="00FA0972"/>
    <w:rsid w:val="00FA0C3D"/>
    <w:rsid w:val="00FA11E0"/>
    <w:rsid w:val="00FA1A6F"/>
    <w:rsid w:val="00FA21B4"/>
    <w:rsid w:val="00FA279A"/>
    <w:rsid w:val="00FA3FDE"/>
    <w:rsid w:val="00FA4E4A"/>
    <w:rsid w:val="00FA5313"/>
    <w:rsid w:val="00FA58CD"/>
    <w:rsid w:val="00FA5C06"/>
    <w:rsid w:val="00FA5E54"/>
    <w:rsid w:val="00FA6364"/>
    <w:rsid w:val="00FA7542"/>
    <w:rsid w:val="00FA798E"/>
    <w:rsid w:val="00FA7F13"/>
    <w:rsid w:val="00FA7F23"/>
    <w:rsid w:val="00FB0112"/>
    <w:rsid w:val="00FB09F1"/>
    <w:rsid w:val="00FB0C51"/>
    <w:rsid w:val="00FB1F58"/>
    <w:rsid w:val="00FB29DE"/>
    <w:rsid w:val="00FB3BA6"/>
    <w:rsid w:val="00FB5A58"/>
    <w:rsid w:val="00FB612E"/>
    <w:rsid w:val="00FB6503"/>
    <w:rsid w:val="00FB6B9A"/>
    <w:rsid w:val="00FB6E1E"/>
    <w:rsid w:val="00FC0DD0"/>
    <w:rsid w:val="00FC1451"/>
    <w:rsid w:val="00FC1A8F"/>
    <w:rsid w:val="00FC1EB7"/>
    <w:rsid w:val="00FC29E5"/>
    <w:rsid w:val="00FC32FE"/>
    <w:rsid w:val="00FC39C0"/>
    <w:rsid w:val="00FC410E"/>
    <w:rsid w:val="00FC43DA"/>
    <w:rsid w:val="00FC44CE"/>
    <w:rsid w:val="00FC4820"/>
    <w:rsid w:val="00FC60C5"/>
    <w:rsid w:val="00FC61F7"/>
    <w:rsid w:val="00FC7699"/>
    <w:rsid w:val="00FD0088"/>
    <w:rsid w:val="00FD13F0"/>
    <w:rsid w:val="00FD198E"/>
    <w:rsid w:val="00FD19EA"/>
    <w:rsid w:val="00FD2271"/>
    <w:rsid w:val="00FD3972"/>
    <w:rsid w:val="00FD3E13"/>
    <w:rsid w:val="00FD48F1"/>
    <w:rsid w:val="00FD59E9"/>
    <w:rsid w:val="00FD5D61"/>
    <w:rsid w:val="00FD6076"/>
    <w:rsid w:val="00FD6151"/>
    <w:rsid w:val="00FD6301"/>
    <w:rsid w:val="00FD679E"/>
    <w:rsid w:val="00FD6A6D"/>
    <w:rsid w:val="00FD6FFE"/>
    <w:rsid w:val="00FD76BE"/>
    <w:rsid w:val="00FE02C7"/>
    <w:rsid w:val="00FE072E"/>
    <w:rsid w:val="00FE078C"/>
    <w:rsid w:val="00FE0DBA"/>
    <w:rsid w:val="00FE1715"/>
    <w:rsid w:val="00FE1EEF"/>
    <w:rsid w:val="00FE1F52"/>
    <w:rsid w:val="00FE3D3C"/>
    <w:rsid w:val="00FE3E0C"/>
    <w:rsid w:val="00FE45AD"/>
    <w:rsid w:val="00FE4F80"/>
    <w:rsid w:val="00FE5B3C"/>
    <w:rsid w:val="00FE613B"/>
    <w:rsid w:val="00FE6B0A"/>
    <w:rsid w:val="00FE6F43"/>
    <w:rsid w:val="00FE75D3"/>
    <w:rsid w:val="00FE78BB"/>
    <w:rsid w:val="00FF04E5"/>
    <w:rsid w:val="00FF06EC"/>
    <w:rsid w:val="00FF1F72"/>
    <w:rsid w:val="00FF1FA0"/>
    <w:rsid w:val="00FF27E8"/>
    <w:rsid w:val="00FF39A2"/>
    <w:rsid w:val="00FF3B55"/>
    <w:rsid w:val="00FF4FDF"/>
    <w:rsid w:val="00FF61D0"/>
    <w:rsid w:val="00FF6DFE"/>
    <w:rsid w:val="00FF700F"/>
    <w:rsid w:val="00FF7182"/>
    <w:rsid w:val="00FF74CD"/>
    <w:rsid w:val="00FF7A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12998B"/>
  <w15:chartTrackingRefBased/>
  <w15:docId w15:val="{8604F058-EA85-4E05-BBD3-57F4C2E855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qFormat="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2955EA"/>
    <w:rPr>
      <w:lang w:val="uk-UA"/>
    </w:rPr>
  </w:style>
  <w:style w:type="paragraph" w:styleId="1">
    <w:name w:val="heading 1"/>
    <w:basedOn w:val="a0"/>
    <w:next w:val="a0"/>
    <w:link w:val="10"/>
    <w:qFormat/>
    <w:rsid w:val="000B063F"/>
    <w:pPr>
      <w:keepNext/>
      <w:keepLines/>
      <w:widowControl w:val="0"/>
      <w:tabs>
        <w:tab w:val="left" w:pos="1134"/>
      </w:tabs>
      <w:spacing w:before="80" w:after="80"/>
      <w:ind w:left="360" w:hanging="360"/>
      <w:jc w:val="center"/>
      <w:outlineLvl w:val="0"/>
    </w:pPr>
    <w:rPr>
      <w:rFonts w:cs="Helvetica"/>
      <w:b/>
      <w:color w:val="000000"/>
      <w:sz w:val="28"/>
      <w:szCs w:val="32"/>
      <w:lang w:eastAsia="en-US"/>
    </w:rPr>
  </w:style>
  <w:style w:type="paragraph" w:styleId="2">
    <w:name w:val="heading 2"/>
    <w:basedOn w:val="a0"/>
    <w:next w:val="a0"/>
    <w:link w:val="20"/>
    <w:semiHidden/>
    <w:unhideWhenUsed/>
    <w:qFormat/>
    <w:rsid w:val="007570E7"/>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0"/>
    <w:next w:val="a0"/>
    <w:link w:val="30"/>
    <w:unhideWhenUsed/>
    <w:qFormat/>
    <w:rsid w:val="0051268C"/>
    <w:pPr>
      <w:keepNext/>
      <w:spacing w:before="240" w:after="60"/>
      <w:outlineLvl w:val="2"/>
    </w:pPr>
    <w:rPr>
      <w:rFonts w:ascii="Calibri Light" w:hAnsi="Calibri Light"/>
      <w:b/>
      <w:bCs/>
      <w:sz w:val="26"/>
      <w:szCs w:val="26"/>
      <w:lang w:val="x-none"/>
    </w:rPr>
  </w:style>
  <w:style w:type="paragraph" w:styleId="4">
    <w:name w:val="heading 4"/>
    <w:basedOn w:val="a0"/>
    <w:next w:val="a0"/>
    <w:qFormat/>
    <w:rsid w:val="009150DF"/>
    <w:pPr>
      <w:keepNext/>
      <w:spacing w:before="240" w:after="60"/>
      <w:outlineLvl w:val="3"/>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iPriority w:val="99"/>
    <w:pPr>
      <w:tabs>
        <w:tab w:val="center" w:pos="4536"/>
        <w:tab w:val="right" w:pos="9072"/>
      </w:tabs>
    </w:pPr>
  </w:style>
  <w:style w:type="paragraph" w:styleId="a6">
    <w:name w:val="footer"/>
    <w:basedOn w:val="a0"/>
    <w:link w:val="a7"/>
    <w:uiPriority w:val="99"/>
    <w:pPr>
      <w:tabs>
        <w:tab w:val="center" w:pos="4536"/>
        <w:tab w:val="right" w:pos="9072"/>
      </w:tabs>
    </w:pPr>
  </w:style>
  <w:style w:type="table" w:styleId="a8">
    <w:name w:val="Table Grid"/>
    <w:basedOn w:val="a2"/>
    <w:rsid w:val="000F1E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page number"/>
    <w:basedOn w:val="a1"/>
    <w:rsid w:val="00AC2EBD"/>
  </w:style>
  <w:style w:type="paragraph" w:styleId="aa">
    <w:name w:val="Balloon Text"/>
    <w:basedOn w:val="a0"/>
    <w:link w:val="ab"/>
    <w:uiPriority w:val="99"/>
    <w:semiHidden/>
    <w:rsid w:val="00D369C9"/>
    <w:rPr>
      <w:rFonts w:ascii="Tahoma" w:hAnsi="Tahoma" w:cs="Tahoma"/>
      <w:sz w:val="16"/>
      <w:szCs w:val="16"/>
    </w:rPr>
  </w:style>
  <w:style w:type="paragraph" w:styleId="21">
    <w:name w:val="Body Text 2"/>
    <w:basedOn w:val="a0"/>
    <w:link w:val="22"/>
    <w:rsid w:val="008A13C4"/>
    <w:pPr>
      <w:jc w:val="both"/>
    </w:pPr>
    <w:rPr>
      <w:sz w:val="28"/>
      <w:lang w:eastAsia="x-none"/>
    </w:rPr>
  </w:style>
  <w:style w:type="paragraph" w:customStyle="1" w:styleId="ac">
    <w:name w:val="Знак Знак Знак Знак"/>
    <w:basedOn w:val="a0"/>
    <w:rsid w:val="00735DCE"/>
    <w:rPr>
      <w:rFonts w:ascii="Verdana" w:hAnsi="Verdana" w:cs="Verdana"/>
      <w:lang w:val="en-US" w:eastAsia="en-US"/>
    </w:rPr>
  </w:style>
  <w:style w:type="character" w:styleId="ad">
    <w:name w:val="Hyperlink"/>
    <w:uiPriority w:val="99"/>
    <w:rsid w:val="008C4BDD"/>
    <w:rPr>
      <w:color w:val="0000FF"/>
      <w:u w:val="single"/>
    </w:rPr>
  </w:style>
  <w:style w:type="paragraph" w:customStyle="1" w:styleId="ae">
    <w:name w:val="Знак Знак Знак Знак Знак Знак Знак"/>
    <w:basedOn w:val="a0"/>
    <w:rsid w:val="00A64EEC"/>
    <w:rPr>
      <w:rFonts w:ascii="Verdana" w:hAnsi="Verdana" w:cs="Verdana"/>
      <w:lang w:val="en-US" w:eastAsia="en-US"/>
    </w:rPr>
  </w:style>
  <w:style w:type="character" w:styleId="af">
    <w:name w:val="annotation reference"/>
    <w:uiPriority w:val="99"/>
    <w:rsid w:val="00615583"/>
    <w:rPr>
      <w:sz w:val="16"/>
      <w:szCs w:val="16"/>
    </w:rPr>
  </w:style>
  <w:style w:type="paragraph" w:styleId="af0">
    <w:name w:val="annotation text"/>
    <w:basedOn w:val="a0"/>
    <w:link w:val="af1"/>
    <w:uiPriority w:val="99"/>
    <w:rsid w:val="00615583"/>
    <w:rPr>
      <w:lang w:val="x-none"/>
    </w:rPr>
  </w:style>
  <w:style w:type="character" w:customStyle="1" w:styleId="af1">
    <w:name w:val="Текст примітки Знак"/>
    <w:link w:val="af0"/>
    <w:uiPriority w:val="99"/>
    <w:rsid w:val="00615583"/>
    <w:rPr>
      <w:lang w:eastAsia="ru-RU"/>
    </w:rPr>
  </w:style>
  <w:style w:type="paragraph" w:styleId="af2">
    <w:name w:val="annotation subject"/>
    <w:basedOn w:val="af0"/>
    <w:next w:val="af0"/>
    <w:link w:val="af3"/>
    <w:uiPriority w:val="99"/>
    <w:rsid w:val="00615583"/>
    <w:rPr>
      <w:b/>
      <w:bCs/>
    </w:rPr>
  </w:style>
  <w:style w:type="character" w:customStyle="1" w:styleId="af3">
    <w:name w:val="Тема примітки Знак"/>
    <w:link w:val="af2"/>
    <w:uiPriority w:val="99"/>
    <w:rsid w:val="00615583"/>
    <w:rPr>
      <w:b/>
      <w:bCs/>
      <w:lang w:eastAsia="ru-RU"/>
    </w:rPr>
  </w:style>
  <w:style w:type="paragraph" w:customStyle="1" w:styleId="11">
    <w:name w:val="Знак Знак1 Знак Знак Знак Знак Знак Знак Знак Знак"/>
    <w:basedOn w:val="a0"/>
    <w:rsid w:val="00F01627"/>
    <w:rPr>
      <w:rFonts w:ascii="Verdana" w:hAnsi="Verdana" w:cs="Verdana"/>
      <w:lang w:val="en-US" w:eastAsia="en-US"/>
    </w:rPr>
  </w:style>
  <w:style w:type="character" w:customStyle="1" w:styleId="22">
    <w:name w:val="Основний текст 2 Знак"/>
    <w:link w:val="21"/>
    <w:rsid w:val="004A77E9"/>
    <w:rPr>
      <w:sz w:val="28"/>
      <w:lang w:val="uk-UA"/>
    </w:rPr>
  </w:style>
  <w:style w:type="character" w:customStyle="1" w:styleId="30">
    <w:name w:val="Заголовок 3 Знак"/>
    <w:link w:val="3"/>
    <w:rsid w:val="0051268C"/>
    <w:rPr>
      <w:rFonts w:ascii="Calibri Light" w:eastAsia="Times New Roman" w:hAnsi="Calibri Light" w:cs="Times New Roman"/>
      <w:b/>
      <w:bCs/>
      <w:sz w:val="26"/>
      <w:szCs w:val="26"/>
      <w:lang w:eastAsia="ru-RU"/>
    </w:rPr>
  </w:style>
  <w:style w:type="character" w:customStyle="1" w:styleId="af4">
    <w:name w:val="Звичайний (веб) Знак"/>
    <w:aliases w:val="Обычный (веб) Знак Знак Знак,Знак1 Знак Знак1 Знак,Знак1 Знак1 Знак,Знак1 Знак Знак Знак Знак Знак Знак Знак Знак Знак,Знак1 Знак Знак Знак Знак Знак,Обычный (веб) Знак2 Знак Знак,Обычный (веб) Знак1 Знак Знак Знак,Знак1 Знак Знак"/>
    <w:link w:val="af5"/>
    <w:locked/>
    <w:rsid w:val="007A1E8C"/>
    <w:rPr>
      <w:sz w:val="24"/>
      <w:szCs w:val="24"/>
      <w:lang w:val="uk-UA" w:eastAsia="uk-UA"/>
    </w:rPr>
  </w:style>
  <w:style w:type="paragraph" w:styleId="af5">
    <w:name w:val="Normal (Web)"/>
    <w:aliases w:val="Обычный (веб) Знак Знак,Знак1 Знак Знак1,Знак1 Знак1,Знак1 Знак Знак Знак Знак Знак Знак Знак Знак,Знак1 Знак Знак Знак Знак,Обычный (веб) Знак2 Знак,Обычный (веб) Знак1 Знак Знак,Обычный (веб) Знак Знак Знак Знак,Знак1 Знак,Знак1"/>
    <w:basedOn w:val="a0"/>
    <w:link w:val="af4"/>
    <w:unhideWhenUsed/>
    <w:qFormat/>
    <w:rsid w:val="007A1E8C"/>
    <w:pPr>
      <w:spacing w:before="100" w:beforeAutospacing="1" w:after="100" w:afterAutospacing="1"/>
    </w:pPr>
    <w:rPr>
      <w:sz w:val="24"/>
      <w:szCs w:val="24"/>
      <w:lang w:eastAsia="uk-UA"/>
    </w:rPr>
  </w:style>
  <w:style w:type="paragraph" w:styleId="HTML">
    <w:name w:val="HTML Preformatted"/>
    <w:basedOn w:val="a0"/>
    <w:link w:val="HTML0"/>
    <w:uiPriority w:val="99"/>
    <w:unhideWhenUsed/>
    <w:rsid w:val="00227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lang w:val="x-none" w:eastAsia="x-none"/>
    </w:rPr>
  </w:style>
  <w:style w:type="character" w:customStyle="1" w:styleId="HTML0">
    <w:name w:val="Стандартний HTML Знак"/>
    <w:link w:val="HTML"/>
    <w:uiPriority w:val="99"/>
    <w:rsid w:val="00227C25"/>
    <w:rPr>
      <w:rFonts w:ascii="Courier New" w:hAnsi="Courier New" w:cs="Courier New"/>
    </w:rPr>
  </w:style>
  <w:style w:type="paragraph" w:customStyle="1" w:styleId="rvps2">
    <w:name w:val="rvps2"/>
    <w:basedOn w:val="a0"/>
    <w:link w:val="rvps2Char"/>
    <w:qFormat/>
    <w:rsid w:val="00953F77"/>
    <w:pPr>
      <w:spacing w:before="100" w:beforeAutospacing="1" w:after="100" w:afterAutospacing="1"/>
    </w:pPr>
    <w:rPr>
      <w:sz w:val="24"/>
      <w:szCs w:val="24"/>
      <w:lang w:val="ru-RU"/>
    </w:rPr>
  </w:style>
  <w:style w:type="paragraph" w:styleId="af6">
    <w:name w:val="List Paragraph"/>
    <w:basedOn w:val="a0"/>
    <w:link w:val="af7"/>
    <w:uiPriority w:val="1"/>
    <w:qFormat/>
    <w:rsid w:val="00816FED"/>
    <w:pPr>
      <w:spacing w:after="160" w:line="259" w:lineRule="auto"/>
      <w:ind w:left="720"/>
      <w:contextualSpacing/>
    </w:pPr>
    <w:rPr>
      <w:rFonts w:ascii="Calibri" w:eastAsia="Calibri" w:hAnsi="Calibri"/>
      <w:sz w:val="22"/>
      <w:szCs w:val="22"/>
      <w:lang w:val="x-none" w:eastAsia="en-US"/>
    </w:rPr>
  </w:style>
  <w:style w:type="character" w:customStyle="1" w:styleId="af7">
    <w:name w:val="Абзац списку Знак"/>
    <w:link w:val="af6"/>
    <w:uiPriority w:val="34"/>
    <w:rsid w:val="00816FED"/>
    <w:rPr>
      <w:rFonts w:ascii="Calibri" w:eastAsia="Calibri" w:hAnsi="Calibri"/>
      <w:sz w:val="22"/>
      <w:szCs w:val="22"/>
      <w:lang w:eastAsia="en-US"/>
    </w:rPr>
  </w:style>
  <w:style w:type="paragraph" w:styleId="af8">
    <w:name w:val="Revision"/>
    <w:hidden/>
    <w:uiPriority w:val="99"/>
    <w:semiHidden/>
    <w:rsid w:val="006C0613"/>
    <w:rPr>
      <w:lang w:val="uk-UA"/>
    </w:rPr>
  </w:style>
  <w:style w:type="character" w:customStyle="1" w:styleId="bx-messenger-message">
    <w:name w:val="bx-messenger-message"/>
    <w:rsid w:val="000C042A"/>
  </w:style>
  <w:style w:type="character" w:customStyle="1" w:styleId="bx-messenger-content-item-date">
    <w:name w:val="bx-messenger-content-item-date"/>
    <w:rsid w:val="000C042A"/>
  </w:style>
  <w:style w:type="character" w:customStyle="1" w:styleId="bx-messenger-content-like-button">
    <w:name w:val="bx-messenger-content-like-button"/>
    <w:rsid w:val="000C042A"/>
  </w:style>
  <w:style w:type="character" w:customStyle="1" w:styleId="ab">
    <w:name w:val="Текст у виносці Знак"/>
    <w:link w:val="aa"/>
    <w:uiPriority w:val="99"/>
    <w:semiHidden/>
    <w:rsid w:val="00076A8A"/>
    <w:rPr>
      <w:rFonts w:ascii="Tahoma" w:hAnsi="Tahoma" w:cs="Tahoma"/>
      <w:sz w:val="16"/>
      <w:szCs w:val="16"/>
      <w:lang w:eastAsia="ru-RU"/>
    </w:rPr>
  </w:style>
  <w:style w:type="character" w:customStyle="1" w:styleId="a5">
    <w:name w:val="Верхній колонтитул Знак"/>
    <w:link w:val="a4"/>
    <w:uiPriority w:val="99"/>
    <w:rsid w:val="00076A8A"/>
    <w:rPr>
      <w:lang w:eastAsia="ru-RU"/>
    </w:rPr>
  </w:style>
  <w:style w:type="character" w:customStyle="1" w:styleId="a7">
    <w:name w:val="Нижній колонтитул Знак"/>
    <w:link w:val="a6"/>
    <w:uiPriority w:val="99"/>
    <w:rsid w:val="00076A8A"/>
    <w:rPr>
      <w:lang w:eastAsia="ru-RU"/>
    </w:rPr>
  </w:style>
  <w:style w:type="character" w:styleId="af9">
    <w:name w:val="Strong"/>
    <w:uiPriority w:val="22"/>
    <w:qFormat/>
    <w:rsid w:val="008502D0"/>
    <w:rPr>
      <w:b/>
      <w:bCs/>
    </w:rPr>
  </w:style>
  <w:style w:type="paragraph" w:customStyle="1" w:styleId="12">
    <w:name w:val="Основной текст1"/>
    <w:basedOn w:val="a0"/>
    <w:rsid w:val="004B6255"/>
    <w:pPr>
      <w:suppressAutoHyphens/>
      <w:spacing w:after="600" w:line="288" w:lineRule="auto"/>
      <w:jc w:val="center"/>
    </w:pPr>
    <w:rPr>
      <w:sz w:val="28"/>
      <w:szCs w:val="28"/>
      <w:lang w:eastAsia="zh-CN"/>
    </w:rPr>
  </w:style>
  <w:style w:type="paragraph" w:customStyle="1" w:styleId="rvps7">
    <w:name w:val="rvps7"/>
    <w:basedOn w:val="a0"/>
    <w:rsid w:val="00BC2F36"/>
    <w:pPr>
      <w:spacing w:before="100" w:beforeAutospacing="1" w:after="100" w:afterAutospacing="1"/>
    </w:pPr>
    <w:rPr>
      <w:sz w:val="24"/>
      <w:szCs w:val="24"/>
      <w:lang w:eastAsia="uk-UA"/>
    </w:rPr>
  </w:style>
  <w:style w:type="character" w:customStyle="1" w:styleId="rvts0">
    <w:name w:val="rvts0"/>
    <w:rsid w:val="00BC2F36"/>
  </w:style>
  <w:style w:type="paragraph" w:styleId="afa">
    <w:name w:val="Body Text Indent"/>
    <w:basedOn w:val="a0"/>
    <w:link w:val="afb"/>
    <w:rsid w:val="00AF16E5"/>
    <w:pPr>
      <w:ind w:firstLine="708"/>
      <w:jc w:val="both"/>
    </w:pPr>
    <w:rPr>
      <w:sz w:val="28"/>
    </w:rPr>
  </w:style>
  <w:style w:type="character" w:customStyle="1" w:styleId="afb">
    <w:name w:val="Основний текст з відступом Знак"/>
    <w:basedOn w:val="a1"/>
    <w:link w:val="afa"/>
    <w:rsid w:val="00AF16E5"/>
    <w:rPr>
      <w:sz w:val="28"/>
      <w:lang w:val="uk-UA"/>
    </w:rPr>
  </w:style>
  <w:style w:type="paragraph" w:customStyle="1" w:styleId="Normalnumbering">
    <w:name w:val="Normal numbering"/>
    <w:basedOn w:val="a0"/>
    <w:link w:val="NormalnumberingChar"/>
    <w:uiPriority w:val="99"/>
    <w:rsid w:val="000B063F"/>
    <w:pPr>
      <w:widowControl w:val="0"/>
      <w:tabs>
        <w:tab w:val="left" w:pos="1701"/>
        <w:tab w:val="num" w:pos="2211"/>
      </w:tabs>
      <w:spacing w:before="120" w:after="120"/>
      <w:ind w:firstLine="851"/>
      <w:jc w:val="both"/>
      <w:outlineLvl w:val="0"/>
    </w:pPr>
    <w:rPr>
      <w:rFonts w:eastAsia="Calibri" w:cs="Helvetica"/>
      <w:sz w:val="28"/>
      <w:szCs w:val="24"/>
      <w:lang w:val="ru-RU" w:eastAsia="en-US"/>
    </w:rPr>
  </w:style>
  <w:style w:type="character" w:customStyle="1" w:styleId="NormalnumberingChar">
    <w:name w:val="Normal numbering Char"/>
    <w:link w:val="Normalnumbering"/>
    <w:uiPriority w:val="99"/>
    <w:locked/>
    <w:rsid w:val="000B063F"/>
    <w:rPr>
      <w:rFonts w:eastAsia="Calibri" w:cs="Helvetica"/>
      <w:sz w:val="28"/>
      <w:szCs w:val="24"/>
      <w:lang w:eastAsia="en-US"/>
    </w:rPr>
  </w:style>
  <w:style w:type="character" w:customStyle="1" w:styleId="10">
    <w:name w:val="Заголовок 1 Знак"/>
    <w:basedOn w:val="a1"/>
    <w:link w:val="1"/>
    <w:rsid w:val="000B063F"/>
    <w:rPr>
      <w:rFonts w:cs="Helvetica"/>
      <w:b/>
      <w:color w:val="000000"/>
      <w:sz w:val="28"/>
      <w:szCs w:val="32"/>
      <w:lang w:val="uk-UA" w:eastAsia="en-US"/>
    </w:rPr>
  </w:style>
  <w:style w:type="paragraph" w:styleId="afc">
    <w:name w:val="No Spacing"/>
    <w:link w:val="afd"/>
    <w:uiPriority w:val="1"/>
    <w:qFormat/>
    <w:rsid w:val="00026909"/>
    <w:rPr>
      <w:rFonts w:asciiTheme="minorHAnsi" w:eastAsiaTheme="minorHAnsi" w:hAnsiTheme="minorHAnsi" w:cstheme="minorBidi"/>
      <w:sz w:val="22"/>
      <w:szCs w:val="22"/>
      <w:lang w:val="uk-UA" w:eastAsia="en-US"/>
    </w:rPr>
  </w:style>
  <w:style w:type="paragraph" w:customStyle="1" w:styleId="Normalwithoutnum">
    <w:name w:val="Normal without num"/>
    <w:basedOn w:val="a0"/>
    <w:qFormat/>
    <w:rsid w:val="00E42A24"/>
    <w:pPr>
      <w:widowControl w:val="0"/>
      <w:ind w:firstLine="851"/>
      <w:jc w:val="both"/>
      <w:outlineLvl w:val="2"/>
    </w:pPr>
    <w:rPr>
      <w:rFonts w:eastAsia="Calibri"/>
      <w:sz w:val="28"/>
      <w:szCs w:val="28"/>
      <w:lang w:eastAsia="en-US"/>
    </w:rPr>
  </w:style>
  <w:style w:type="paragraph" w:customStyle="1" w:styleId="afe">
    <w:name w:val="Обычный формула"/>
    <w:basedOn w:val="a0"/>
    <w:uiPriority w:val="99"/>
    <w:rsid w:val="00E42A24"/>
    <w:pPr>
      <w:widowControl w:val="0"/>
      <w:tabs>
        <w:tab w:val="left" w:pos="1701"/>
      </w:tabs>
      <w:spacing w:before="120" w:after="120"/>
      <w:jc w:val="center"/>
      <w:outlineLvl w:val="2"/>
    </w:pPr>
    <w:rPr>
      <w:rFonts w:cs="Helvetica"/>
      <w:sz w:val="28"/>
      <w:szCs w:val="24"/>
      <w:lang w:val="ru-RU" w:eastAsia="en-US"/>
    </w:rPr>
  </w:style>
  <w:style w:type="character" w:customStyle="1" w:styleId="xfm68768843">
    <w:name w:val="xfm_68768843"/>
    <w:basedOn w:val="a1"/>
    <w:rsid w:val="004A4537"/>
  </w:style>
  <w:style w:type="paragraph" w:styleId="31">
    <w:name w:val="Body Text Indent 3"/>
    <w:basedOn w:val="a0"/>
    <w:link w:val="32"/>
    <w:rsid w:val="006B3BFF"/>
    <w:pPr>
      <w:spacing w:after="120"/>
      <w:ind w:left="283"/>
    </w:pPr>
    <w:rPr>
      <w:rFonts w:eastAsia="SimSun" w:cs="Latha"/>
      <w:sz w:val="16"/>
      <w:szCs w:val="16"/>
      <w:lang w:bidi="ta-IN"/>
    </w:rPr>
  </w:style>
  <w:style w:type="character" w:customStyle="1" w:styleId="32">
    <w:name w:val="Основний текст з відступом 3 Знак"/>
    <w:basedOn w:val="a1"/>
    <w:link w:val="31"/>
    <w:rsid w:val="006B3BFF"/>
    <w:rPr>
      <w:rFonts w:eastAsia="SimSun" w:cs="Latha"/>
      <w:sz w:val="16"/>
      <w:szCs w:val="16"/>
      <w:lang w:val="uk-UA" w:bidi="ta-IN"/>
    </w:rPr>
  </w:style>
  <w:style w:type="character" w:customStyle="1" w:styleId="23">
    <w:name w:val="Основной текст (2)_"/>
    <w:link w:val="24"/>
    <w:rsid w:val="00A21FB1"/>
    <w:rPr>
      <w:shd w:val="clear" w:color="auto" w:fill="FFFFFF"/>
    </w:rPr>
  </w:style>
  <w:style w:type="paragraph" w:customStyle="1" w:styleId="24">
    <w:name w:val="Основной текст (2)"/>
    <w:basedOn w:val="a0"/>
    <w:link w:val="23"/>
    <w:rsid w:val="00A21FB1"/>
    <w:pPr>
      <w:widowControl w:val="0"/>
      <w:shd w:val="clear" w:color="auto" w:fill="FFFFFF"/>
      <w:spacing w:before="120" w:after="2880" w:line="269" w:lineRule="exact"/>
      <w:jc w:val="center"/>
    </w:pPr>
    <w:rPr>
      <w:lang w:val="ru-RU"/>
    </w:rPr>
  </w:style>
  <w:style w:type="character" w:customStyle="1" w:styleId="rvts80">
    <w:name w:val="rvts80"/>
    <w:basedOn w:val="a1"/>
    <w:rsid w:val="00856276"/>
  </w:style>
  <w:style w:type="paragraph" w:customStyle="1" w:styleId="rvps12">
    <w:name w:val="rvps12"/>
    <w:basedOn w:val="a0"/>
    <w:rsid w:val="00856276"/>
    <w:pPr>
      <w:spacing w:before="100" w:beforeAutospacing="1" w:after="100" w:afterAutospacing="1"/>
    </w:pPr>
    <w:rPr>
      <w:sz w:val="24"/>
      <w:szCs w:val="24"/>
      <w:lang w:eastAsia="uk-UA"/>
    </w:rPr>
  </w:style>
  <w:style w:type="character" w:customStyle="1" w:styleId="rvts40">
    <w:name w:val="rvts40"/>
    <w:basedOn w:val="a1"/>
    <w:rsid w:val="00856276"/>
  </w:style>
  <w:style w:type="paragraph" w:customStyle="1" w:styleId="rvps11">
    <w:name w:val="rvps11"/>
    <w:basedOn w:val="a0"/>
    <w:rsid w:val="00856276"/>
    <w:pPr>
      <w:spacing w:before="100" w:beforeAutospacing="1" w:after="100" w:afterAutospacing="1"/>
    </w:pPr>
    <w:rPr>
      <w:sz w:val="24"/>
      <w:szCs w:val="24"/>
      <w:lang w:eastAsia="uk-UA"/>
    </w:rPr>
  </w:style>
  <w:style w:type="paragraph" w:customStyle="1" w:styleId="rvps14">
    <w:name w:val="rvps14"/>
    <w:basedOn w:val="a0"/>
    <w:rsid w:val="00856276"/>
    <w:pPr>
      <w:spacing w:before="100" w:beforeAutospacing="1" w:after="100" w:afterAutospacing="1"/>
    </w:pPr>
    <w:rPr>
      <w:sz w:val="24"/>
      <w:szCs w:val="24"/>
      <w:lang w:eastAsia="uk-UA"/>
    </w:rPr>
  </w:style>
  <w:style w:type="paragraph" w:customStyle="1" w:styleId="aff">
    <w:name w:val="Обычный додатки"/>
    <w:basedOn w:val="a0"/>
    <w:qFormat/>
    <w:rsid w:val="00D310D4"/>
    <w:pPr>
      <w:widowControl w:val="0"/>
      <w:tabs>
        <w:tab w:val="left" w:pos="1701"/>
      </w:tabs>
      <w:spacing w:before="120" w:after="120"/>
      <w:jc w:val="both"/>
      <w:outlineLvl w:val="2"/>
    </w:pPr>
    <w:rPr>
      <w:rFonts w:eastAsia="Calibri" w:cs="Helvetica"/>
      <w:sz w:val="28"/>
      <w:szCs w:val="24"/>
      <w:lang w:eastAsia="en-US"/>
    </w:rPr>
  </w:style>
  <w:style w:type="paragraph" w:customStyle="1" w:styleId="pf0">
    <w:name w:val="pf0"/>
    <w:basedOn w:val="a0"/>
    <w:rsid w:val="00D310D4"/>
    <w:pPr>
      <w:spacing w:before="100" w:beforeAutospacing="1" w:after="100" w:afterAutospacing="1"/>
    </w:pPr>
    <w:rPr>
      <w:sz w:val="24"/>
      <w:szCs w:val="24"/>
      <w:lang w:val="ru-RU"/>
    </w:rPr>
  </w:style>
  <w:style w:type="character" w:customStyle="1" w:styleId="cf01">
    <w:name w:val="cf01"/>
    <w:basedOn w:val="a1"/>
    <w:rsid w:val="00D310D4"/>
    <w:rPr>
      <w:rFonts w:ascii="Segoe UI" w:hAnsi="Segoe UI" w:cs="Segoe UI" w:hint="default"/>
      <w:sz w:val="18"/>
      <w:szCs w:val="18"/>
    </w:rPr>
  </w:style>
  <w:style w:type="character" w:customStyle="1" w:styleId="cf11">
    <w:name w:val="cf11"/>
    <w:basedOn w:val="a1"/>
    <w:rsid w:val="00D310D4"/>
    <w:rPr>
      <w:rFonts w:ascii="Segoe UI" w:hAnsi="Segoe UI" w:cs="Segoe UI" w:hint="default"/>
      <w:sz w:val="18"/>
      <w:szCs w:val="18"/>
    </w:rPr>
  </w:style>
  <w:style w:type="character" w:customStyle="1" w:styleId="rvts15">
    <w:name w:val="rvts15"/>
    <w:rsid w:val="00675FFB"/>
  </w:style>
  <w:style w:type="paragraph" w:customStyle="1" w:styleId="tj">
    <w:name w:val="tj"/>
    <w:basedOn w:val="a0"/>
    <w:rsid w:val="00210C5C"/>
    <w:pPr>
      <w:spacing w:before="100" w:beforeAutospacing="1" w:after="100" w:afterAutospacing="1"/>
    </w:pPr>
    <w:rPr>
      <w:sz w:val="24"/>
      <w:szCs w:val="24"/>
      <w:lang w:eastAsia="uk-UA"/>
    </w:rPr>
  </w:style>
  <w:style w:type="character" w:customStyle="1" w:styleId="hard-blue-color">
    <w:name w:val="hard-blue-color"/>
    <w:basedOn w:val="a1"/>
    <w:rsid w:val="00210C5C"/>
  </w:style>
  <w:style w:type="paragraph" w:customStyle="1" w:styleId="List11">
    <w:name w:val="List 1.1"/>
    <w:basedOn w:val="rvps2"/>
    <w:link w:val="List11Char"/>
    <w:qFormat/>
    <w:rsid w:val="00BB1F50"/>
    <w:pPr>
      <w:tabs>
        <w:tab w:val="left" w:pos="990"/>
      </w:tabs>
      <w:spacing w:before="120" w:beforeAutospacing="0" w:after="120" w:afterAutospacing="0"/>
      <w:ind w:firstLine="432"/>
      <w:jc w:val="both"/>
    </w:pPr>
    <w:rPr>
      <w:rFonts w:eastAsiaTheme="minorEastAsia"/>
      <w:sz w:val="28"/>
      <w:lang w:val="uk-UA" w:eastAsia="uk-UA"/>
    </w:rPr>
  </w:style>
  <w:style w:type="character" w:customStyle="1" w:styleId="List11Char">
    <w:name w:val="List 1.1 Char"/>
    <w:basedOn w:val="a1"/>
    <w:link w:val="List11"/>
    <w:rsid w:val="00BB1F50"/>
    <w:rPr>
      <w:rFonts w:eastAsiaTheme="minorEastAsia"/>
      <w:sz w:val="28"/>
      <w:szCs w:val="24"/>
      <w:lang w:val="uk-UA" w:eastAsia="uk-UA"/>
    </w:rPr>
  </w:style>
  <w:style w:type="character" w:customStyle="1" w:styleId="rvps2Char">
    <w:name w:val="rvps2 Char"/>
    <w:basedOn w:val="a1"/>
    <w:link w:val="rvps2"/>
    <w:rsid w:val="00BB1F50"/>
    <w:rPr>
      <w:sz w:val="24"/>
      <w:szCs w:val="24"/>
    </w:rPr>
  </w:style>
  <w:style w:type="character" w:customStyle="1" w:styleId="20">
    <w:name w:val="Заголовок 2 Знак"/>
    <w:basedOn w:val="a1"/>
    <w:link w:val="2"/>
    <w:semiHidden/>
    <w:rsid w:val="007570E7"/>
    <w:rPr>
      <w:rFonts w:asciiTheme="majorHAnsi" w:eastAsiaTheme="majorEastAsia" w:hAnsiTheme="majorHAnsi" w:cstheme="majorBidi"/>
      <w:color w:val="2E74B5" w:themeColor="accent1" w:themeShade="BF"/>
      <w:sz w:val="26"/>
      <w:szCs w:val="26"/>
      <w:lang w:val="uk-UA"/>
    </w:rPr>
  </w:style>
  <w:style w:type="character" w:customStyle="1" w:styleId="rvts23">
    <w:name w:val="rvts23"/>
    <w:rsid w:val="00490420"/>
  </w:style>
  <w:style w:type="paragraph" w:customStyle="1" w:styleId="TableParagraph">
    <w:name w:val="Table Paragraph"/>
    <w:basedOn w:val="a0"/>
    <w:uiPriority w:val="1"/>
    <w:qFormat/>
    <w:rsid w:val="000549A8"/>
    <w:pPr>
      <w:widowControl w:val="0"/>
      <w:autoSpaceDE w:val="0"/>
      <w:autoSpaceDN w:val="0"/>
      <w:ind w:left="107"/>
    </w:pPr>
    <w:rPr>
      <w:sz w:val="22"/>
      <w:szCs w:val="22"/>
      <w:lang w:val="en-US" w:eastAsia="en-US"/>
    </w:rPr>
  </w:style>
  <w:style w:type="character" w:customStyle="1" w:styleId="rvts44">
    <w:name w:val="rvts44"/>
    <w:rsid w:val="000549A8"/>
  </w:style>
  <w:style w:type="paragraph" w:customStyle="1" w:styleId="tl">
    <w:name w:val="tl"/>
    <w:basedOn w:val="a0"/>
    <w:rsid w:val="00921E0C"/>
    <w:pPr>
      <w:spacing w:before="100" w:beforeAutospacing="1" w:after="100" w:afterAutospacing="1"/>
    </w:pPr>
    <w:rPr>
      <w:sz w:val="24"/>
      <w:szCs w:val="24"/>
      <w:lang w:eastAsia="uk-UA"/>
    </w:rPr>
  </w:style>
  <w:style w:type="character" w:styleId="aff0">
    <w:name w:val="Emphasis"/>
    <w:basedOn w:val="a1"/>
    <w:qFormat/>
    <w:rsid w:val="00121E98"/>
    <w:rPr>
      <w:i/>
      <w:iCs/>
    </w:rPr>
  </w:style>
  <w:style w:type="character" w:customStyle="1" w:styleId="fontstyle01">
    <w:name w:val="fontstyle01"/>
    <w:rsid w:val="00595ACE"/>
    <w:rPr>
      <w:rFonts w:ascii="TimesNewRoman" w:hAnsi="TimesNewRoman" w:hint="default"/>
      <w:b w:val="0"/>
      <w:bCs w:val="0"/>
      <w:i w:val="0"/>
      <w:iCs w:val="0"/>
      <w:color w:val="000000"/>
      <w:sz w:val="24"/>
      <w:szCs w:val="24"/>
    </w:rPr>
  </w:style>
  <w:style w:type="character" w:customStyle="1" w:styleId="rvts46">
    <w:name w:val="rvts46"/>
    <w:basedOn w:val="a1"/>
    <w:rsid w:val="005D4483"/>
  </w:style>
  <w:style w:type="character" w:customStyle="1" w:styleId="rvts11">
    <w:name w:val="rvts11"/>
    <w:basedOn w:val="a1"/>
    <w:rsid w:val="005D4483"/>
  </w:style>
  <w:style w:type="character" w:customStyle="1" w:styleId="rvts37">
    <w:name w:val="rvts37"/>
    <w:basedOn w:val="a1"/>
    <w:rsid w:val="005D4483"/>
  </w:style>
  <w:style w:type="character" w:customStyle="1" w:styleId="st42">
    <w:name w:val="st42"/>
    <w:uiPriority w:val="99"/>
    <w:rsid w:val="003D5C84"/>
    <w:rPr>
      <w:color w:val="000000"/>
    </w:rPr>
  </w:style>
  <w:style w:type="paragraph" w:customStyle="1" w:styleId="13">
    <w:name w:val="Абзац списка1"/>
    <w:basedOn w:val="a0"/>
    <w:rsid w:val="00732861"/>
    <w:pPr>
      <w:ind w:left="720"/>
    </w:pPr>
    <w:rPr>
      <w:rFonts w:eastAsia="Calibri"/>
      <w:sz w:val="24"/>
      <w:szCs w:val="24"/>
      <w:lang w:val="ru-RU"/>
    </w:rPr>
  </w:style>
  <w:style w:type="paragraph" w:customStyle="1" w:styleId="110">
    <w:name w:val="Абзац списка11"/>
    <w:basedOn w:val="a0"/>
    <w:rsid w:val="00CE4089"/>
    <w:pPr>
      <w:ind w:left="720"/>
    </w:pPr>
    <w:rPr>
      <w:rFonts w:eastAsia="Calibri"/>
      <w:sz w:val="24"/>
      <w:szCs w:val="24"/>
      <w:lang w:val="ru-RU"/>
    </w:rPr>
  </w:style>
  <w:style w:type="paragraph" w:styleId="a">
    <w:name w:val="List Bullet"/>
    <w:basedOn w:val="a0"/>
    <w:unhideWhenUsed/>
    <w:rsid w:val="00CE4089"/>
    <w:pPr>
      <w:numPr>
        <w:numId w:val="1"/>
      </w:numPr>
      <w:spacing w:after="200" w:line="276" w:lineRule="auto"/>
      <w:ind w:left="0" w:firstLine="0"/>
      <w:jc w:val="both"/>
    </w:pPr>
    <w:rPr>
      <w:rFonts w:ascii="Arial" w:hAnsi="Arial"/>
      <w:lang w:val="en-US" w:eastAsia="en-US"/>
    </w:rPr>
  </w:style>
  <w:style w:type="paragraph" w:customStyle="1" w:styleId="14">
    <w:name w:val="Абзац списку1"/>
    <w:basedOn w:val="a0"/>
    <w:rsid w:val="00A6047C"/>
    <w:pPr>
      <w:ind w:left="720"/>
    </w:pPr>
    <w:rPr>
      <w:rFonts w:eastAsia="Calibri"/>
      <w:sz w:val="24"/>
      <w:szCs w:val="24"/>
      <w:lang w:val="ru-RU"/>
    </w:rPr>
  </w:style>
  <w:style w:type="character" w:customStyle="1" w:styleId="15">
    <w:name w:val="Текст примітки Знак1"/>
    <w:basedOn w:val="a1"/>
    <w:uiPriority w:val="99"/>
    <w:semiHidden/>
    <w:rsid w:val="001E027E"/>
    <w:rPr>
      <w:sz w:val="20"/>
      <w:szCs w:val="20"/>
      <w:lang w:val="ru-RU"/>
    </w:rPr>
  </w:style>
  <w:style w:type="character" w:customStyle="1" w:styleId="16">
    <w:name w:val="Тема примітки Знак1"/>
    <w:basedOn w:val="15"/>
    <w:uiPriority w:val="99"/>
    <w:semiHidden/>
    <w:rsid w:val="001E027E"/>
    <w:rPr>
      <w:b/>
      <w:bCs/>
      <w:sz w:val="20"/>
      <w:szCs w:val="20"/>
      <w:lang w:val="ru-RU"/>
    </w:rPr>
  </w:style>
  <w:style w:type="character" w:customStyle="1" w:styleId="17">
    <w:name w:val="Верхній колонтитул Знак1"/>
    <w:basedOn w:val="a1"/>
    <w:uiPriority w:val="99"/>
    <w:semiHidden/>
    <w:rsid w:val="001E027E"/>
    <w:rPr>
      <w:lang w:val="ru-RU"/>
    </w:rPr>
  </w:style>
  <w:style w:type="character" w:customStyle="1" w:styleId="apple-tab-span">
    <w:name w:val="apple-tab-span"/>
    <w:basedOn w:val="a1"/>
    <w:rsid w:val="001E027E"/>
  </w:style>
  <w:style w:type="character" w:customStyle="1" w:styleId="contentpasted2">
    <w:name w:val="contentpasted2"/>
    <w:basedOn w:val="a1"/>
    <w:rsid w:val="003A5748"/>
  </w:style>
  <w:style w:type="paragraph" w:customStyle="1" w:styleId="Normalnumberingapplication">
    <w:name w:val="Normal numbering application"/>
    <w:basedOn w:val="a0"/>
    <w:rsid w:val="00003C27"/>
    <w:pPr>
      <w:widowControl w:val="0"/>
      <w:numPr>
        <w:ilvl w:val="3"/>
        <w:numId w:val="3"/>
      </w:numPr>
      <w:spacing w:before="240" w:after="240"/>
      <w:jc w:val="both"/>
      <w:outlineLvl w:val="2"/>
    </w:pPr>
    <w:rPr>
      <w:rFonts w:eastAsia="Calibri" w:cs="Helvetica"/>
      <w:sz w:val="28"/>
      <w:szCs w:val="24"/>
      <w:lang w:eastAsia="en-US"/>
    </w:rPr>
  </w:style>
  <w:style w:type="paragraph" w:customStyle="1" w:styleId="Heading2application">
    <w:name w:val="Heading 2 application"/>
    <w:basedOn w:val="2"/>
    <w:qFormat/>
    <w:rsid w:val="00003C27"/>
    <w:pPr>
      <w:widowControl w:val="0"/>
      <w:numPr>
        <w:ilvl w:val="1"/>
        <w:numId w:val="3"/>
      </w:numPr>
      <w:tabs>
        <w:tab w:val="clear" w:pos="851"/>
        <w:tab w:val="num" w:pos="360"/>
        <w:tab w:val="left" w:pos="1418"/>
      </w:tabs>
      <w:spacing w:before="120" w:after="120"/>
      <w:ind w:left="1440" w:firstLine="0"/>
      <w:jc w:val="center"/>
    </w:pPr>
    <w:rPr>
      <w:rFonts w:ascii="Times New Roman" w:eastAsia="Calibri" w:hAnsi="Times New Roman" w:cs="Times New Roman"/>
      <w:b/>
      <w:color w:val="000000"/>
      <w:sz w:val="28"/>
      <w:lang w:eastAsia="en-US"/>
    </w:rPr>
  </w:style>
  <w:style w:type="paragraph" w:customStyle="1" w:styleId="Heading1application">
    <w:name w:val="Heading 1 application"/>
    <w:basedOn w:val="1"/>
    <w:qFormat/>
    <w:rsid w:val="00003C27"/>
    <w:pPr>
      <w:numPr>
        <w:numId w:val="3"/>
      </w:numPr>
      <w:tabs>
        <w:tab w:val="clear" w:pos="851"/>
        <w:tab w:val="clear" w:pos="1134"/>
        <w:tab w:val="num" w:pos="360"/>
        <w:tab w:val="num" w:pos="720"/>
      </w:tabs>
      <w:spacing w:before="120" w:after="120"/>
      <w:ind w:left="720" w:firstLine="0"/>
    </w:pPr>
    <w:rPr>
      <w:rFonts w:eastAsia="Calibri"/>
    </w:rPr>
  </w:style>
  <w:style w:type="paragraph" w:customStyle="1" w:styleId="Normalapplication">
    <w:name w:val="Normal application"/>
    <w:basedOn w:val="a0"/>
    <w:qFormat/>
    <w:rsid w:val="00003C27"/>
    <w:pPr>
      <w:widowControl w:val="0"/>
      <w:numPr>
        <w:ilvl w:val="2"/>
        <w:numId w:val="3"/>
      </w:numPr>
      <w:tabs>
        <w:tab w:val="left" w:pos="1701"/>
      </w:tabs>
      <w:spacing w:before="120" w:after="120"/>
      <w:jc w:val="both"/>
      <w:outlineLvl w:val="2"/>
    </w:pPr>
    <w:rPr>
      <w:rFonts w:eastAsia="Calibri" w:cs="Helvetica"/>
      <w:sz w:val="28"/>
      <w:szCs w:val="24"/>
      <w:lang w:eastAsia="en-US"/>
    </w:rPr>
  </w:style>
  <w:style w:type="numbering" w:customStyle="1" w:styleId="newnumberingapplications">
    <w:name w:val="new numbering applications"/>
    <w:rsid w:val="00003C27"/>
    <w:pPr>
      <w:numPr>
        <w:numId w:val="2"/>
      </w:numPr>
    </w:pPr>
  </w:style>
  <w:style w:type="character" w:customStyle="1" w:styleId="markedcontent">
    <w:name w:val="markedcontent"/>
    <w:basedOn w:val="a1"/>
    <w:rsid w:val="000C5CA0"/>
  </w:style>
  <w:style w:type="character" w:customStyle="1" w:styleId="6">
    <w:name w:val="Заголовок №6_"/>
    <w:link w:val="60"/>
    <w:uiPriority w:val="99"/>
    <w:locked/>
    <w:rsid w:val="00D93587"/>
    <w:rPr>
      <w:rFonts w:ascii="Arial" w:hAnsi="Arial"/>
      <w:sz w:val="19"/>
    </w:rPr>
  </w:style>
  <w:style w:type="paragraph" w:customStyle="1" w:styleId="60">
    <w:name w:val="Заголовок №6"/>
    <w:basedOn w:val="a0"/>
    <w:link w:val="6"/>
    <w:uiPriority w:val="99"/>
    <w:rsid w:val="00D93587"/>
    <w:pPr>
      <w:spacing w:after="180" w:line="230" w:lineRule="exact"/>
      <w:ind w:hanging="1360"/>
      <w:outlineLvl w:val="5"/>
    </w:pPr>
    <w:rPr>
      <w:rFonts w:ascii="Arial" w:hAnsi="Arial"/>
      <w:sz w:val="19"/>
      <w:lang w:val="ru-RU"/>
    </w:rPr>
  </w:style>
  <w:style w:type="paragraph" w:customStyle="1" w:styleId="tr">
    <w:name w:val="tr"/>
    <w:basedOn w:val="a0"/>
    <w:rsid w:val="007356ED"/>
    <w:pPr>
      <w:spacing w:before="100" w:beforeAutospacing="1" w:after="100" w:afterAutospacing="1"/>
    </w:pPr>
    <w:rPr>
      <w:sz w:val="24"/>
      <w:szCs w:val="24"/>
      <w:lang w:eastAsia="uk-UA"/>
    </w:rPr>
  </w:style>
  <w:style w:type="character" w:customStyle="1" w:styleId="ui-provider">
    <w:name w:val="ui-provider"/>
    <w:basedOn w:val="a1"/>
    <w:rsid w:val="00330DB9"/>
  </w:style>
  <w:style w:type="paragraph" w:customStyle="1" w:styleId="tc">
    <w:name w:val="tc"/>
    <w:basedOn w:val="a0"/>
    <w:rsid w:val="001E11FF"/>
    <w:pPr>
      <w:spacing w:before="100" w:beforeAutospacing="1" w:after="100" w:afterAutospacing="1"/>
    </w:pPr>
    <w:rPr>
      <w:sz w:val="24"/>
      <w:szCs w:val="24"/>
      <w:lang w:eastAsia="uk-UA"/>
    </w:rPr>
  </w:style>
  <w:style w:type="character" w:styleId="aff1">
    <w:name w:val="Placeholder Text"/>
    <w:basedOn w:val="a1"/>
    <w:uiPriority w:val="99"/>
    <w:semiHidden/>
    <w:rsid w:val="001C1205"/>
    <w:rPr>
      <w:color w:val="666666"/>
    </w:rPr>
  </w:style>
  <w:style w:type="paragraph" w:customStyle="1" w:styleId="st2">
    <w:name w:val="st2"/>
    <w:rsid w:val="0085258E"/>
    <w:pPr>
      <w:autoSpaceDE w:val="0"/>
      <w:autoSpaceDN w:val="0"/>
      <w:adjustRightInd w:val="0"/>
      <w:spacing w:after="150"/>
      <w:ind w:firstLine="450"/>
      <w:jc w:val="both"/>
    </w:pPr>
    <w:rPr>
      <w:sz w:val="24"/>
      <w:szCs w:val="24"/>
      <w:lang w:val="uk-UA" w:eastAsia="uk-UA"/>
    </w:rPr>
  </w:style>
  <w:style w:type="paragraph" w:customStyle="1" w:styleId="st14">
    <w:name w:val="st14"/>
    <w:rsid w:val="0085258E"/>
    <w:pPr>
      <w:autoSpaceDE w:val="0"/>
      <w:autoSpaceDN w:val="0"/>
      <w:adjustRightInd w:val="0"/>
      <w:spacing w:before="150" w:after="150"/>
    </w:pPr>
    <w:rPr>
      <w:sz w:val="24"/>
      <w:szCs w:val="24"/>
      <w:lang w:val="uk-UA"/>
    </w:rPr>
  </w:style>
  <w:style w:type="character" w:customStyle="1" w:styleId="st101">
    <w:name w:val="st101"/>
    <w:rsid w:val="0085258E"/>
    <w:rPr>
      <w:b/>
      <w:bCs/>
      <w:color w:val="000000"/>
    </w:rPr>
  </w:style>
  <w:style w:type="character" w:customStyle="1" w:styleId="st40">
    <w:name w:val="st40"/>
    <w:rsid w:val="0085258E"/>
    <w:rPr>
      <w:b/>
      <w:bCs/>
      <w:color w:val="000000"/>
      <w:sz w:val="32"/>
      <w:szCs w:val="32"/>
      <w:vertAlign w:val="subscript"/>
    </w:rPr>
  </w:style>
  <w:style w:type="paragraph" w:styleId="aff2">
    <w:name w:val="Body Text"/>
    <w:basedOn w:val="a0"/>
    <w:link w:val="aff3"/>
    <w:rsid w:val="00C620A0"/>
    <w:pPr>
      <w:suppressAutoHyphens/>
      <w:spacing w:after="140" w:line="276" w:lineRule="auto"/>
    </w:pPr>
    <w:rPr>
      <w:lang w:eastAsia="zh-CN"/>
    </w:rPr>
  </w:style>
  <w:style w:type="character" w:customStyle="1" w:styleId="aff3">
    <w:name w:val="Основний текст Знак"/>
    <w:basedOn w:val="a1"/>
    <w:link w:val="aff2"/>
    <w:rsid w:val="00C620A0"/>
    <w:rPr>
      <w:lang w:val="uk-UA" w:eastAsia="zh-CN"/>
    </w:rPr>
  </w:style>
  <w:style w:type="character" w:customStyle="1" w:styleId="afd">
    <w:name w:val="Без інтервалів Знак"/>
    <w:basedOn w:val="a1"/>
    <w:link w:val="afc"/>
    <w:uiPriority w:val="1"/>
    <w:locked/>
    <w:rsid w:val="003E0173"/>
    <w:rPr>
      <w:rFonts w:asciiTheme="minorHAnsi" w:eastAsiaTheme="minorHAnsi" w:hAnsiTheme="minorHAnsi" w:cstheme="minorBidi"/>
      <w:sz w:val="22"/>
      <w:szCs w:val="22"/>
      <w:lang w:val="uk-U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54752">
      <w:bodyDiv w:val="1"/>
      <w:marLeft w:val="0"/>
      <w:marRight w:val="0"/>
      <w:marTop w:val="0"/>
      <w:marBottom w:val="0"/>
      <w:divBdr>
        <w:top w:val="none" w:sz="0" w:space="0" w:color="auto"/>
        <w:left w:val="none" w:sz="0" w:space="0" w:color="auto"/>
        <w:bottom w:val="none" w:sz="0" w:space="0" w:color="auto"/>
        <w:right w:val="none" w:sz="0" w:space="0" w:color="auto"/>
      </w:divBdr>
    </w:div>
    <w:div w:id="7877715">
      <w:bodyDiv w:val="1"/>
      <w:marLeft w:val="0"/>
      <w:marRight w:val="0"/>
      <w:marTop w:val="0"/>
      <w:marBottom w:val="0"/>
      <w:divBdr>
        <w:top w:val="none" w:sz="0" w:space="0" w:color="auto"/>
        <w:left w:val="none" w:sz="0" w:space="0" w:color="auto"/>
        <w:bottom w:val="none" w:sz="0" w:space="0" w:color="auto"/>
        <w:right w:val="none" w:sz="0" w:space="0" w:color="auto"/>
      </w:divBdr>
    </w:div>
    <w:div w:id="27949094">
      <w:bodyDiv w:val="1"/>
      <w:marLeft w:val="0"/>
      <w:marRight w:val="0"/>
      <w:marTop w:val="0"/>
      <w:marBottom w:val="0"/>
      <w:divBdr>
        <w:top w:val="none" w:sz="0" w:space="0" w:color="auto"/>
        <w:left w:val="none" w:sz="0" w:space="0" w:color="auto"/>
        <w:bottom w:val="none" w:sz="0" w:space="0" w:color="auto"/>
        <w:right w:val="none" w:sz="0" w:space="0" w:color="auto"/>
      </w:divBdr>
    </w:div>
    <w:div w:id="32270949">
      <w:bodyDiv w:val="1"/>
      <w:marLeft w:val="0"/>
      <w:marRight w:val="0"/>
      <w:marTop w:val="0"/>
      <w:marBottom w:val="0"/>
      <w:divBdr>
        <w:top w:val="none" w:sz="0" w:space="0" w:color="auto"/>
        <w:left w:val="none" w:sz="0" w:space="0" w:color="auto"/>
        <w:bottom w:val="none" w:sz="0" w:space="0" w:color="auto"/>
        <w:right w:val="none" w:sz="0" w:space="0" w:color="auto"/>
      </w:divBdr>
    </w:div>
    <w:div w:id="55126871">
      <w:bodyDiv w:val="1"/>
      <w:marLeft w:val="0"/>
      <w:marRight w:val="0"/>
      <w:marTop w:val="0"/>
      <w:marBottom w:val="0"/>
      <w:divBdr>
        <w:top w:val="none" w:sz="0" w:space="0" w:color="auto"/>
        <w:left w:val="none" w:sz="0" w:space="0" w:color="auto"/>
        <w:bottom w:val="none" w:sz="0" w:space="0" w:color="auto"/>
        <w:right w:val="none" w:sz="0" w:space="0" w:color="auto"/>
      </w:divBdr>
    </w:div>
    <w:div w:id="89356962">
      <w:bodyDiv w:val="1"/>
      <w:marLeft w:val="0"/>
      <w:marRight w:val="0"/>
      <w:marTop w:val="0"/>
      <w:marBottom w:val="0"/>
      <w:divBdr>
        <w:top w:val="none" w:sz="0" w:space="0" w:color="auto"/>
        <w:left w:val="none" w:sz="0" w:space="0" w:color="auto"/>
        <w:bottom w:val="none" w:sz="0" w:space="0" w:color="auto"/>
        <w:right w:val="none" w:sz="0" w:space="0" w:color="auto"/>
      </w:divBdr>
      <w:divsChild>
        <w:div w:id="1076585285">
          <w:marLeft w:val="0"/>
          <w:marRight w:val="0"/>
          <w:marTop w:val="0"/>
          <w:marBottom w:val="0"/>
          <w:divBdr>
            <w:top w:val="none" w:sz="0" w:space="0" w:color="auto"/>
            <w:left w:val="none" w:sz="0" w:space="0" w:color="auto"/>
            <w:bottom w:val="none" w:sz="0" w:space="0" w:color="auto"/>
            <w:right w:val="none" w:sz="0" w:space="0" w:color="auto"/>
          </w:divBdr>
        </w:div>
        <w:div w:id="2010595506">
          <w:marLeft w:val="0"/>
          <w:marRight w:val="0"/>
          <w:marTop w:val="0"/>
          <w:marBottom w:val="0"/>
          <w:divBdr>
            <w:top w:val="none" w:sz="0" w:space="0" w:color="auto"/>
            <w:left w:val="none" w:sz="0" w:space="0" w:color="auto"/>
            <w:bottom w:val="none" w:sz="0" w:space="0" w:color="auto"/>
            <w:right w:val="none" w:sz="0" w:space="0" w:color="auto"/>
          </w:divBdr>
        </w:div>
      </w:divsChild>
    </w:div>
    <w:div w:id="96603434">
      <w:bodyDiv w:val="1"/>
      <w:marLeft w:val="0"/>
      <w:marRight w:val="0"/>
      <w:marTop w:val="0"/>
      <w:marBottom w:val="0"/>
      <w:divBdr>
        <w:top w:val="none" w:sz="0" w:space="0" w:color="auto"/>
        <w:left w:val="none" w:sz="0" w:space="0" w:color="auto"/>
        <w:bottom w:val="none" w:sz="0" w:space="0" w:color="auto"/>
        <w:right w:val="none" w:sz="0" w:space="0" w:color="auto"/>
      </w:divBdr>
    </w:div>
    <w:div w:id="137964911">
      <w:bodyDiv w:val="1"/>
      <w:marLeft w:val="0"/>
      <w:marRight w:val="0"/>
      <w:marTop w:val="0"/>
      <w:marBottom w:val="0"/>
      <w:divBdr>
        <w:top w:val="none" w:sz="0" w:space="0" w:color="auto"/>
        <w:left w:val="none" w:sz="0" w:space="0" w:color="auto"/>
        <w:bottom w:val="none" w:sz="0" w:space="0" w:color="auto"/>
        <w:right w:val="none" w:sz="0" w:space="0" w:color="auto"/>
      </w:divBdr>
    </w:div>
    <w:div w:id="138765234">
      <w:bodyDiv w:val="1"/>
      <w:marLeft w:val="0"/>
      <w:marRight w:val="0"/>
      <w:marTop w:val="0"/>
      <w:marBottom w:val="0"/>
      <w:divBdr>
        <w:top w:val="none" w:sz="0" w:space="0" w:color="auto"/>
        <w:left w:val="none" w:sz="0" w:space="0" w:color="auto"/>
        <w:bottom w:val="none" w:sz="0" w:space="0" w:color="auto"/>
        <w:right w:val="none" w:sz="0" w:space="0" w:color="auto"/>
      </w:divBdr>
    </w:div>
    <w:div w:id="149370299">
      <w:bodyDiv w:val="1"/>
      <w:marLeft w:val="0"/>
      <w:marRight w:val="0"/>
      <w:marTop w:val="0"/>
      <w:marBottom w:val="0"/>
      <w:divBdr>
        <w:top w:val="none" w:sz="0" w:space="0" w:color="auto"/>
        <w:left w:val="none" w:sz="0" w:space="0" w:color="auto"/>
        <w:bottom w:val="none" w:sz="0" w:space="0" w:color="auto"/>
        <w:right w:val="none" w:sz="0" w:space="0" w:color="auto"/>
      </w:divBdr>
    </w:div>
    <w:div w:id="160703573">
      <w:bodyDiv w:val="1"/>
      <w:marLeft w:val="0"/>
      <w:marRight w:val="0"/>
      <w:marTop w:val="0"/>
      <w:marBottom w:val="0"/>
      <w:divBdr>
        <w:top w:val="none" w:sz="0" w:space="0" w:color="auto"/>
        <w:left w:val="none" w:sz="0" w:space="0" w:color="auto"/>
        <w:bottom w:val="none" w:sz="0" w:space="0" w:color="auto"/>
        <w:right w:val="none" w:sz="0" w:space="0" w:color="auto"/>
      </w:divBdr>
    </w:div>
    <w:div w:id="173302506">
      <w:bodyDiv w:val="1"/>
      <w:marLeft w:val="0"/>
      <w:marRight w:val="0"/>
      <w:marTop w:val="0"/>
      <w:marBottom w:val="0"/>
      <w:divBdr>
        <w:top w:val="none" w:sz="0" w:space="0" w:color="auto"/>
        <w:left w:val="none" w:sz="0" w:space="0" w:color="auto"/>
        <w:bottom w:val="none" w:sz="0" w:space="0" w:color="auto"/>
        <w:right w:val="none" w:sz="0" w:space="0" w:color="auto"/>
      </w:divBdr>
    </w:div>
    <w:div w:id="219708301">
      <w:bodyDiv w:val="1"/>
      <w:marLeft w:val="0"/>
      <w:marRight w:val="0"/>
      <w:marTop w:val="0"/>
      <w:marBottom w:val="0"/>
      <w:divBdr>
        <w:top w:val="none" w:sz="0" w:space="0" w:color="auto"/>
        <w:left w:val="none" w:sz="0" w:space="0" w:color="auto"/>
        <w:bottom w:val="none" w:sz="0" w:space="0" w:color="auto"/>
        <w:right w:val="none" w:sz="0" w:space="0" w:color="auto"/>
      </w:divBdr>
    </w:div>
    <w:div w:id="225530221">
      <w:bodyDiv w:val="1"/>
      <w:marLeft w:val="0"/>
      <w:marRight w:val="0"/>
      <w:marTop w:val="0"/>
      <w:marBottom w:val="0"/>
      <w:divBdr>
        <w:top w:val="none" w:sz="0" w:space="0" w:color="auto"/>
        <w:left w:val="none" w:sz="0" w:space="0" w:color="auto"/>
        <w:bottom w:val="none" w:sz="0" w:space="0" w:color="auto"/>
        <w:right w:val="none" w:sz="0" w:space="0" w:color="auto"/>
      </w:divBdr>
    </w:div>
    <w:div w:id="234975626">
      <w:bodyDiv w:val="1"/>
      <w:marLeft w:val="0"/>
      <w:marRight w:val="0"/>
      <w:marTop w:val="0"/>
      <w:marBottom w:val="0"/>
      <w:divBdr>
        <w:top w:val="none" w:sz="0" w:space="0" w:color="auto"/>
        <w:left w:val="none" w:sz="0" w:space="0" w:color="auto"/>
        <w:bottom w:val="none" w:sz="0" w:space="0" w:color="auto"/>
        <w:right w:val="none" w:sz="0" w:space="0" w:color="auto"/>
      </w:divBdr>
    </w:div>
    <w:div w:id="237250366">
      <w:bodyDiv w:val="1"/>
      <w:marLeft w:val="0"/>
      <w:marRight w:val="0"/>
      <w:marTop w:val="0"/>
      <w:marBottom w:val="0"/>
      <w:divBdr>
        <w:top w:val="none" w:sz="0" w:space="0" w:color="auto"/>
        <w:left w:val="none" w:sz="0" w:space="0" w:color="auto"/>
        <w:bottom w:val="none" w:sz="0" w:space="0" w:color="auto"/>
        <w:right w:val="none" w:sz="0" w:space="0" w:color="auto"/>
      </w:divBdr>
    </w:div>
    <w:div w:id="245771224">
      <w:bodyDiv w:val="1"/>
      <w:marLeft w:val="0"/>
      <w:marRight w:val="0"/>
      <w:marTop w:val="0"/>
      <w:marBottom w:val="0"/>
      <w:divBdr>
        <w:top w:val="none" w:sz="0" w:space="0" w:color="auto"/>
        <w:left w:val="none" w:sz="0" w:space="0" w:color="auto"/>
        <w:bottom w:val="none" w:sz="0" w:space="0" w:color="auto"/>
        <w:right w:val="none" w:sz="0" w:space="0" w:color="auto"/>
      </w:divBdr>
    </w:div>
    <w:div w:id="324862008">
      <w:bodyDiv w:val="1"/>
      <w:marLeft w:val="0"/>
      <w:marRight w:val="0"/>
      <w:marTop w:val="0"/>
      <w:marBottom w:val="0"/>
      <w:divBdr>
        <w:top w:val="none" w:sz="0" w:space="0" w:color="auto"/>
        <w:left w:val="none" w:sz="0" w:space="0" w:color="auto"/>
        <w:bottom w:val="none" w:sz="0" w:space="0" w:color="auto"/>
        <w:right w:val="none" w:sz="0" w:space="0" w:color="auto"/>
      </w:divBdr>
    </w:div>
    <w:div w:id="330720538">
      <w:bodyDiv w:val="1"/>
      <w:marLeft w:val="0"/>
      <w:marRight w:val="0"/>
      <w:marTop w:val="0"/>
      <w:marBottom w:val="0"/>
      <w:divBdr>
        <w:top w:val="none" w:sz="0" w:space="0" w:color="auto"/>
        <w:left w:val="none" w:sz="0" w:space="0" w:color="auto"/>
        <w:bottom w:val="none" w:sz="0" w:space="0" w:color="auto"/>
        <w:right w:val="none" w:sz="0" w:space="0" w:color="auto"/>
      </w:divBdr>
    </w:div>
    <w:div w:id="338459970">
      <w:bodyDiv w:val="1"/>
      <w:marLeft w:val="0"/>
      <w:marRight w:val="0"/>
      <w:marTop w:val="0"/>
      <w:marBottom w:val="0"/>
      <w:divBdr>
        <w:top w:val="none" w:sz="0" w:space="0" w:color="auto"/>
        <w:left w:val="none" w:sz="0" w:space="0" w:color="auto"/>
        <w:bottom w:val="none" w:sz="0" w:space="0" w:color="auto"/>
        <w:right w:val="none" w:sz="0" w:space="0" w:color="auto"/>
      </w:divBdr>
    </w:div>
    <w:div w:id="368797910">
      <w:bodyDiv w:val="1"/>
      <w:marLeft w:val="0"/>
      <w:marRight w:val="0"/>
      <w:marTop w:val="0"/>
      <w:marBottom w:val="0"/>
      <w:divBdr>
        <w:top w:val="none" w:sz="0" w:space="0" w:color="auto"/>
        <w:left w:val="none" w:sz="0" w:space="0" w:color="auto"/>
        <w:bottom w:val="none" w:sz="0" w:space="0" w:color="auto"/>
        <w:right w:val="none" w:sz="0" w:space="0" w:color="auto"/>
      </w:divBdr>
    </w:div>
    <w:div w:id="387653691">
      <w:bodyDiv w:val="1"/>
      <w:marLeft w:val="0"/>
      <w:marRight w:val="0"/>
      <w:marTop w:val="0"/>
      <w:marBottom w:val="0"/>
      <w:divBdr>
        <w:top w:val="none" w:sz="0" w:space="0" w:color="auto"/>
        <w:left w:val="none" w:sz="0" w:space="0" w:color="auto"/>
        <w:bottom w:val="none" w:sz="0" w:space="0" w:color="auto"/>
        <w:right w:val="none" w:sz="0" w:space="0" w:color="auto"/>
      </w:divBdr>
    </w:div>
    <w:div w:id="424149559">
      <w:bodyDiv w:val="1"/>
      <w:marLeft w:val="0"/>
      <w:marRight w:val="0"/>
      <w:marTop w:val="0"/>
      <w:marBottom w:val="0"/>
      <w:divBdr>
        <w:top w:val="none" w:sz="0" w:space="0" w:color="auto"/>
        <w:left w:val="none" w:sz="0" w:space="0" w:color="auto"/>
        <w:bottom w:val="none" w:sz="0" w:space="0" w:color="auto"/>
        <w:right w:val="none" w:sz="0" w:space="0" w:color="auto"/>
      </w:divBdr>
    </w:div>
    <w:div w:id="430441680">
      <w:bodyDiv w:val="1"/>
      <w:marLeft w:val="0"/>
      <w:marRight w:val="0"/>
      <w:marTop w:val="0"/>
      <w:marBottom w:val="0"/>
      <w:divBdr>
        <w:top w:val="none" w:sz="0" w:space="0" w:color="auto"/>
        <w:left w:val="none" w:sz="0" w:space="0" w:color="auto"/>
        <w:bottom w:val="none" w:sz="0" w:space="0" w:color="auto"/>
        <w:right w:val="none" w:sz="0" w:space="0" w:color="auto"/>
      </w:divBdr>
    </w:div>
    <w:div w:id="455221393">
      <w:bodyDiv w:val="1"/>
      <w:marLeft w:val="0"/>
      <w:marRight w:val="0"/>
      <w:marTop w:val="0"/>
      <w:marBottom w:val="0"/>
      <w:divBdr>
        <w:top w:val="none" w:sz="0" w:space="0" w:color="auto"/>
        <w:left w:val="none" w:sz="0" w:space="0" w:color="auto"/>
        <w:bottom w:val="none" w:sz="0" w:space="0" w:color="auto"/>
        <w:right w:val="none" w:sz="0" w:space="0" w:color="auto"/>
      </w:divBdr>
      <w:divsChild>
        <w:div w:id="993139285">
          <w:marLeft w:val="0"/>
          <w:marRight w:val="0"/>
          <w:marTop w:val="0"/>
          <w:marBottom w:val="0"/>
          <w:divBdr>
            <w:top w:val="none" w:sz="0" w:space="0" w:color="auto"/>
            <w:left w:val="none" w:sz="0" w:space="0" w:color="auto"/>
            <w:bottom w:val="none" w:sz="0" w:space="0" w:color="auto"/>
            <w:right w:val="none" w:sz="0" w:space="0" w:color="auto"/>
          </w:divBdr>
        </w:div>
        <w:div w:id="867527398">
          <w:marLeft w:val="0"/>
          <w:marRight w:val="0"/>
          <w:marTop w:val="0"/>
          <w:marBottom w:val="0"/>
          <w:divBdr>
            <w:top w:val="none" w:sz="0" w:space="0" w:color="auto"/>
            <w:left w:val="none" w:sz="0" w:space="0" w:color="auto"/>
            <w:bottom w:val="none" w:sz="0" w:space="0" w:color="auto"/>
            <w:right w:val="none" w:sz="0" w:space="0" w:color="auto"/>
          </w:divBdr>
        </w:div>
        <w:div w:id="796996876">
          <w:marLeft w:val="0"/>
          <w:marRight w:val="0"/>
          <w:marTop w:val="0"/>
          <w:marBottom w:val="0"/>
          <w:divBdr>
            <w:top w:val="none" w:sz="0" w:space="0" w:color="auto"/>
            <w:left w:val="none" w:sz="0" w:space="0" w:color="auto"/>
            <w:bottom w:val="none" w:sz="0" w:space="0" w:color="auto"/>
            <w:right w:val="none" w:sz="0" w:space="0" w:color="auto"/>
          </w:divBdr>
        </w:div>
      </w:divsChild>
    </w:div>
    <w:div w:id="476921615">
      <w:bodyDiv w:val="1"/>
      <w:marLeft w:val="0"/>
      <w:marRight w:val="0"/>
      <w:marTop w:val="0"/>
      <w:marBottom w:val="0"/>
      <w:divBdr>
        <w:top w:val="none" w:sz="0" w:space="0" w:color="auto"/>
        <w:left w:val="none" w:sz="0" w:space="0" w:color="auto"/>
        <w:bottom w:val="none" w:sz="0" w:space="0" w:color="auto"/>
        <w:right w:val="none" w:sz="0" w:space="0" w:color="auto"/>
      </w:divBdr>
    </w:div>
    <w:div w:id="505292388">
      <w:bodyDiv w:val="1"/>
      <w:marLeft w:val="0"/>
      <w:marRight w:val="0"/>
      <w:marTop w:val="0"/>
      <w:marBottom w:val="0"/>
      <w:divBdr>
        <w:top w:val="none" w:sz="0" w:space="0" w:color="auto"/>
        <w:left w:val="none" w:sz="0" w:space="0" w:color="auto"/>
        <w:bottom w:val="none" w:sz="0" w:space="0" w:color="auto"/>
        <w:right w:val="none" w:sz="0" w:space="0" w:color="auto"/>
      </w:divBdr>
    </w:div>
    <w:div w:id="516313291">
      <w:bodyDiv w:val="1"/>
      <w:marLeft w:val="0"/>
      <w:marRight w:val="0"/>
      <w:marTop w:val="0"/>
      <w:marBottom w:val="0"/>
      <w:divBdr>
        <w:top w:val="none" w:sz="0" w:space="0" w:color="auto"/>
        <w:left w:val="none" w:sz="0" w:space="0" w:color="auto"/>
        <w:bottom w:val="none" w:sz="0" w:space="0" w:color="auto"/>
        <w:right w:val="none" w:sz="0" w:space="0" w:color="auto"/>
      </w:divBdr>
    </w:div>
    <w:div w:id="539054145">
      <w:bodyDiv w:val="1"/>
      <w:marLeft w:val="0"/>
      <w:marRight w:val="0"/>
      <w:marTop w:val="0"/>
      <w:marBottom w:val="0"/>
      <w:divBdr>
        <w:top w:val="none" w:sz="0" w:space="0" w:color="auto"/>
        <w:left w:val="none" w:sz="0" w:space="0" w:color="auto"/>
        <w:bottom w:val="none" w:sz="0" w:space="0" w:color="auto"/>
        <w:right w:val="none" w:sz="0" w:space="0" w:color="auto"/>
      </w:divBdr>
    </w:div>
    <w:div w:id="545600908">
      <w:bodyDiv w:val="1"/>
      <w:marLeft w:val="0"/>
      <w:marRight w:val="0"/>
      <w:marTop w:val="0"/>
      <w:marBottom w:val="0"/>
      <w:divBdr>
        <w:top w:val="none" w:sz="0" w:space="0" w:color="auto"/>
        <w:left w:val="none" w:sz="0" w:space="0" w:color="auto"/>
        <w:bottom w:val="none" w:sz="0" w:space="0" w:color="auto"/>
        <w:right w:val="none" w:sz="0" w:space="0" w:color="auto"/>
      </w:divBdr>
    </w:div>
    <w:div w:id="557940081">
      <w:bodyDiv w:val="1"/>
      <w:marLeft w:val="0"/>
      <w:marRight w:val="0"/>
      <w:marTop w:val="0"/>
      <w:marBottom w:val="0"/>
      <w:divBdr>
        <w:top w:val="none" w:sz="0" w:space="0" w:color="auto"/>
        <w:left w:val="none" w:sz="0" w:space="0" w:color="auto"/>
        <w:bottom w:val="none" w:sz="0" w:space="0" w:color="auto"/>
        <w:right w:val="none" w:sz="0" w:space="0" w:color="auto"/>
      </w:divBdr>
    </w:div>
    <w:div w:id="586497362">
      <w:bodyDiv w:val="1"/>
      <w:marLeft w:val="0"/>
      <w:marRight w:val="0"/>
      <w:marTop w:val="0"/>
      <w:marBottom w:val="0"/>
      <w:divBdr>
        <w:top w:val="none" w:sz="0" w:space="0" w:color="auto"/>
        <w:left w:val="none" w:sz="0" w:space="0" w:color="auto"/>
        <w:bottom w:val="none" w:sz="0" w:space="0" w:color="auto"/>
        <w:right w:val="none" w:sz="0" w:space="0" w:color="auto"/>
      </w:divBdr>
    </w:div>
    <w:div w:id="589239443">
      <w:bodyDiv w:val="1"/>
      <w:marLeft w:val="0"/>
      <w:marRight w:val="0"/>
      <w:marTop w:val="0"/>
      <w:marBottom w:val="0"/>
      <w:divBdr>
        <w:top w:val="none" w:sz="0" w:space="0" w:color="auto"/>
        <w:left w:val="none" w:sz="0" w:space="0" w:color="auto"/>
        <w:bottom w:val="none" w:sz="0" w:space="0" w:color="auto"/>
        <w:right w:val="none" w:sz="0" w:space="0" w:color="auto"/>
      </w:divBdr>
    </w:div>
    <w:div w:id="601647484">
      <w:bodyDiv w:val="1"/>
      <w:marLeft w:val="0"/>
      <w:marRight w:val="0"/>
      <w:marTop w:val="0"/>
      <w:marBottom w:val="0"/>
      <w:divBdr>
        <w:top w:val="none" w:sz="0" w:space="0" w:color="auto"/>
        <w:left w:val="none" w:sz="0" w:space="0" w:color="auto"/>
        <w:bottom w:val="none" w:sz="0" w:space="0" w:color="auto"/>
        <w:right w:val="none" w:sz="0" w:space="0" w:color="auto"/>
      </w:divBdr>
    </w:div>
    <w:div w:id="616525503">
      <w:bodyDiv w:val="1"/>
      <w:marLeft w:val="0"/>
      <w:marRight w:val="0"/>
      <w:marTop w:val="0"/>
      <w:marBottom w:val="0"/>
      <w:divBdr>
        <w:top w:val="none" w:sz="0" w:space="0" w:color="auto"/>
        <w:left w:val="none" w:sz="0" w:space="0" w:color="auto"/>
        <w:bottom w:val="none" w:sz="0" w:space="0" w:color="auto"/>
        <w:right w:val="none" w:sz="0" w:space="0" w:color="auto"/>
      </w:divBdr>
    </w:div>
    <w:div w:id="637877698">
      <w:bodyDiv w:val="1"/>
      <w:marLeft w:val="0"/>
      <w:marRight w:val="0"/>
      <w:marTop w:val="0"/>
      <w:marBottom w:val="0"/>
      <w:divBdr>
        <w:top w:val="none" w:sz="0" w:space="0" w:color="auto"/>
        <w:left w:val="none" w:sz="0" w:space="0" w:color="auto"/>
        <w:bottom w:val="none" w:sz="0" w:space="0" w:color="auto"/>
        <w:right w:val="none" w:sz="0" w:space="0" w:color="auto"/>
      </w:divBdr>
    </w:div>
    <w:div w:id="648707142">
      <w:bodyDiv w:val="1"/>
      <w:marLeft w:val="0"/>
      <w:marRight w:val="0"/>
      <w:marTop w:val="0"/>
      <w:marBottom w:val="0"/>
      <w:divBdr>
        <w:top w:val="none" w:sz="0" w:space="0" w:color="auto"/>
        <w:left w:val="none" w:sz="0" w:space="0" w:color="auto"/>
        <w:bottom w:val="none" w:sz="0" w:space="0" w:color="auto"/>
        <w:right w:val="none" w:sz="0" w:space="0" w:color="auto"/>
      </w:divBdr>
    </w:div>
    <w:div w:id="656954859">
      <w:bodyDiv w:val="1"/>
      <w:marLeft w:val="0"/>
      <w:marRight w:val="0"/>
      <w:marTop w:val="0"/>
      <w:marBottom w:val="0"/>
      <w:divBdr>
        <w:top w:val="none" w:sz="0" w:space="0" w:color="auto"/>
        <w:left w:val="none" w:sz="0" w:space="0" w:color="auto"/>
        <w:bottom w:val="none" w:sz="0" w:space="0" w:color="auto"/>
        <w:right w:val="none" w:sz="0" w:space="0" w:color="auto"/>
      </w:divBdr>
    </w:div>
    <w:div w:id="659886104">
      <w:bodyDiv w:val="1"/>
      <w:marLeft w:val="0"/>
      <w:marRight w:val="0"/>
      <w:marTop w:val="0"/>
      <w:marBottom w:val="0"/>
      <w:divBdr>
        <w:top w:val="none" w:sz="0" w:space="0" w:color="auto"/>
        <w:left w:val="none" w:sz="0" w:space="0" w:color="auto"/>
        <w:bottom w:val="none" w:sz="0" w:space="0" w:color="auto"/>
        <w:right w:val="none" w:sz="0" w:space="0" w:color="auto"/>
      </w:divBdr>
    </w:div>
    <w:div w:id="672268842">
      <w:bodyDiv w:val="1"/>
      <w:marLeft w:val="0"/>
      <w:marRight w:val="0"/>
      <w:marTop w:val="0"/>
      <w:marBottom w:val="0"/>
      <w:divBdr>
        <w:top w:val="none" w:sz="0" w:space="0" w:color="auto"/>
        <w:left w:val="none" w:sz="0" w:space="0" w:color="auto"/>
        <w:bottom w:val="none" w:sz="0" w:space="0" w:color="auto"/>
        <w:right w:val="none" w:sz="0" w:space="0" w:color="auto"/>
      </w:divBdr>
    </w:div>
    <w:div w:id="696274087">
      <w:bodyDiv w:val="1"/>
      <w:marLeft w:val="0"/>
      <w:marRight w:val="0"/>
      <w:marTop w:val="0"/>
      <w:marBottom w:val="0"/>
      <w:divBdr>
        <w:top w:val="none" w:sz="0" w:space="0" w:color="auto"/>
        <w:left w:val="none" w:sz="0" w:space="0" w:color="auto"/>
        <w:bottom w:val="none" w:sz="0" w:space="0" w:color="auto"/>
        <w:right w:val="none" w:sz="0" w:space="0" w:color="auto"/>
      </w:divBdr>
    </w:div>
    <w:div w:id="704524817">
      <w:bodyDiv w:val="1"/>
      <w:marLeft w:val="0"/>
      <w:marRight w:val="0"/>
      <w:marTop w:val="0"/>
      <w:marBottom w:val="0"/>
      <w:divBdr>
        <w:top w:val="none" w:sz="0" w:space="0" w:color="auto"/>
        <w:left w:val="none" w:sz="0" w:space="0" w:color="auto"/>
        <w:bottom w:val="none" w:sz="0" w:space="0" w:color="auto"/>
        <w:right w:val="none" w:sz="0" w:space="0" w:color="auto"/>
      </w:divBdr>
    </w:div>
    <w:div w:id="706880267">
      <w:bodyDiv w:val="1"/>
      <w:marLeft w:val="0"/>
      <w:marRight w:val="0"/>
      <w:marTop w:val="0"/>
      <w:marBottom w:val="0"/>
      <w:divBdr>
        <w:top w:val="none" w:sz="0" w:space="0" w:color="auto"/>
        <w:left w:val="none" w:sz="0" w:space="0" w:color="auto"/>
        <w:bottom w:val="none" w:sz="0" w:space="0" w:color="auto"/>
        <w:right w:val="none" w:sz="0" w:space="0" w:color="auto"/>
      </w:divBdr>
    </w:div>
    <w:div w:id="750812534">
      <w:bodyDiv w:val="1"/>
      <w:marLeft w:val="0"/>
      <w:marRight w:val="0"/>
      <w:marTop w:val="0"/>
      <w:marBottom w:val="0"/>
      <w:divBdr>
        <w:top w:val="none" w:sz="0" w:space="0" w:color="auto"/>
        <w:left w:val="none" w:sz="0" w:space="0" w:color="auto"/>
        <w:bottom w:val="none" w:sz="0" w:space="0" w:color="auto"/>
        <w:right w:val="none" w:sz="0" w:space="0" w:color="auto"/>
      </w:divBdr>
    </w:div>
    <w:div w:id="756100750">
      <w:bodyDiv w:val="1"/>
      <w:marLeft w:val="0"/>
      <w:marRight w:val="0"/>
      <w:marTop w:val="0"/>
      <w:marBottom w:val="0"/>
      <w:divBdr>
        <w:top w:val="none" w:sz="0" w:space="0" w:color="auto"/>
        <w:left w:val="none" w:sz="0" w:space="0" w:color="auto"/>
        <w:bottom w:val="none" w:sz="0" w:space="0" w:color="auto"/>
        <w:right w:val="none" w:sz="0" w:space="0" w:color="auto"/>
      </w:divBdr>
    </w:div>
    <w:div w:id="768353480">
      <w:bodyDiv w:val="1"/>
      <w:marLeft w:val="0"/>
      <w:marRight w:val="0"/>
      <w:marTop w:val="0"/>
      <w:marBottom w:val="0"/>
      <w:divBdr>
        <w:top w:val="none" w:sz="0" w:space="0" w:color="auto"/>
        <w:left w:val="none" w:sz="0" w:space="0" w:color="auto"/>
        <w:bottom w:val="none" w:sz="0" w:space="0" w:color="auto"/>
        <w:right w:val="none" w:sz="0" w:space="0" w:color="auto"/>
      </w:divBdr>
    </w:div>
    <w:div w:id="840854010">
      <w:bodyDiv w:val="1"/>
      <w:marLeft w:val="0"/>
      <w:marRight w:val="0"/>
      <w:marTop w:val="0"/>
      <w:marBottom w:val="0"/>
      <w:divBdr>
        <w:top w:val="none" w:sz="0" w:space="0" w:color="auto"/>
        <w:left w:val="none" w:sz="0" w:space="0" w:color="auto"/>
        <w:bottom w:val="none" w:sz="0" w:space="0" w:color="auto"/>
        <w:right w:val="none" w:sz="0" w:space="0" w:color="auto"/>
      </w:divBdr>
    </w:div>
    <w:div w:id="844251675">
      <w:bodyDiv w:val="1"/>
      <w:marLeft w:val="0"/>
      <w:marRight w:val="0"/>
      <w:marTop w:val="0"/>
      <w:marBottom w:val="0"/>
      <w:divBdr>
        <w:top w:val="none" w:sz="0" w:space="0" w:color="auto"/>
        <w:left w:val="none" w:sz="0" w:space="0" w:color="auto"/>
        <w:bottom w:val="none" w:sz="0" w:space="0" w:color="auto"/>
        <w:right w:val="none" w:sz="0" w:space="0" w:color="auto"/>
      </w:divBdr>
    </w:div>
    <w:div w:id="864713958">
      <w:bodyDiv w:val="1"/>
      <w:marLeft w:val="0"/>
      <w:marRight w:val="0"/>
      <w:marTop w:val="0"/>
      <w:marBottom w:val="0"/>
      <w:divBdr>
        <w:top w:val="none" w:sz="0" w:space="0" w:color="auto"/>
        <w:left w:val="none" w:sz="0" w:space="0" w:color="auto"/>
        <w:bottom w:val="none" w:sz="0" w:space="0" w:color="auto"/>
        <w:right w:val="none" w:sz="0" w:space="0" w:color="auto"/>
      </w:divBdr>
    </w:div>
    <w:div w:id="880090260">
      <w:bodyDiv w:val="1"/>
      <w:marLeft w:val="0"/>
      <w:marRight w:val="0"/>
      <w:marTop w:val="0"/>
      <w:marBottom w:val="0"/>
      <w:divBdr>
        <w:top w:val="none" w:sz="0" w:space="0" w:color="auto"/>
        <w:left w:val="none" w:sz="0" w:space="0" w:color="auto"/>
        <w:bottom w:val="none" w:sz="0" w:space="0" w:color="auto"/>
        <w:right w:val="none" w:sz="0" w:space="0" w:color="auto"/>
      </w:divBdr>
    </w:div>
    <w:div w:id="881357023">
      <w:bodyDiv w:val="1"/>
      <w:marLeft w:val="0"/>
      <w:marRight w:val="0"/>
      <w:marTop w:val="0"/>
      <w:marBottom w:val="0"/>
      <w:divBdr>
        <w:top w:val="none" w:sz="0" w:space="0" w:color="auto"/>
        <w:left w:val="none" w:sz="0" w:space="0" w:color="auto"/>
        <w:bottom w:val="none" w:sz="0" w:space="0" w:color="auto"/>
        <w:right w:val="none" w:sz="0" w:space="0" w:color="auto"/>
      </w:divBdr>
    </w:div>
    <w:div w:id="904607397">
      <w:bodyDiv w:val="1"/>
      <w:marLeft w:val="0"/>
      <w:marRight w:val="0"/>
      <w:marTop w:val="0"/>
      <w:marBottom w:val="0"/>
      <w:divBdr>
        <w:top w:val="none" w:sz="0" w:space="0" w:color="auto"/>
        <w:left w:val="none" w:sz="0" w:space="0" w:color="auto"/>
        <w:bottom w:val="none" w:sz="0" w:space="0" w:color="auto"/>
        <w:right w:val="none" w:sz="0" w:space="0" w:color="auto"/>
      </w:divBdr>
    </w:div>
    <w:div w:id="960772020">
      <w:bodyDiv w:val="1"/>
      <w:marLeft w:val="0"/>
      <w:marRight w:val="0"/>
      <w:marTop w:val="0"/>
      <w:marBottom w:val="0"/>
      <w:divBdr>
        <w:top w:val="none" w:sz="0" w:space="0" w:color="auto"/>
        <w:left w:val="none" w:sz="0" w:space="0" w:color="auto"/>
        <w:bottom w:val="none" w:sz="0" w:space="0" w:color="auto"/>
        <w:right w:val="none" w:sz="0" w:space="0" w:color="auto"/>
      </w:divBdr>
    </w:div>
    <w:div w:id="961958935">
      <w:bodyDiv w:val="1"/>
      <w:marLeft w:val="0"/>
      <w:marRight w:val="0"/>
      <w:marTop w:val="0"/>
      <w:marBottom w:val="0"/>
      <w:divBdr>
        <w:top w:val="none" w:sz="0" w:space="0" w:color="auto"/>
        <w:left w:val="none" w:sz="0" w:space="0" w:color="auto"/>
        <w:bottom w:val="none" w:sz="0" w:space="0" w:color="auto"/>
        <w:right w:val="none" w:sz="0" w:space="0" w:color="auto"/>
      </w:divBdr>
    </w:div>
    <w:div w:id="978025676">
      <w:bodyDiv w:val="1"/>
      <w:marLeft w:val="0"/>
      <w:marRight w:val="0"/>
      <w:marTop w:val="0"/>
      <w:marBottom w:val="0"/>
      <w:divBdr>
        <w:top w:val="none" w:sz="0" w:space="0" w:color="auto"/>
        <w:left w:val="none" w:sz="0" w:space="0" w:color="auto"/>
        <w:bottom w:val="none" w:sz="0" w:space="0" w:color="auto"/>
        <w:right w:val="none" w:sz="0" w:space="0" w:color="auto"/>
      </w:divBdr>
    </w:div>
    <w:div w:id="991175802">
      <w:bodyDiv w:val="1"/>
      <w:marLeft w:val="0"/>
      <w:marRight w:val="0"/>
      <w:marTop w:val="0"/>
      <w:marBottom w:val="0"/>
      <w:divBdr>
        <w:top w:val="none" w:sz="0" w:space="0" w:color="auto"/>
        <w:left w:val="none" w:sz="0" w:space="0" w:color="auto"/>
        <w:bottom w:val="none" w:sz="0" w:space="0" w:color="auto"/>
        <w:right w:val="none" w:sz="0" w:space="0" w:color="auto"/>
      </w:divBdr>
    </w:div>
    <w:div w:id="1022051509">
      <w:bodyDiv w:val="1"/>
      <w:marLeft w:val="0"/>
      <w:marRight w:val="0"/>
      <w:marTop w:val="0"/>
      <w:marBottom w:val="0"/>
      <w:divBdr>
        <w:top w:val="none" w:sz="0" w:space="0" w:color="auto"/>
        <w:left w:val="none" w:sz="0" w:space="0" w:color="auto"/>
        <w:bottom w:val="none" w:sz="0" w:space="0" w:color="auto"/>
        <w:right w:val="none" w:sz="0" w:space="0" w:color="auto"/>
      </w:divBdr>
    </w:div>
    <w:div w:id="1033190471">
      <w:bodyDiv w:val="1"/>
      <w:marLeft w:val="0"/>
      <w:marRight w:val="0"/>
      <w:marTop w:val="0"/>
      <w:marBottom w:val="0"/>
      <w:divBdr>
        <w:top w:val="none" w:sz="0" w:space="0" w:color="auto"/>
        <w:left w:val="none" w:sz="0" w:space="0" w:color="auto"/>
        <w:bottom w:val="none" w:sz="0" w:space="0" w:color="auto"/>
        <w:right w:val="none" w:sz="0" w:space="0" w:color="auto"/>
      </w:divBdr>
    </w:div>
    <w:div w:id="1043289731">
      <w:bodyDiv w:val="1"/>
      <w:marLeft w:val="0"/>
      <w:marRight w:val="0"/>
      <w:marTop w:val="0"/>
      <w:marBottom w:val="0"/>
      <w:divBdr>
        <w:top w:val="none" w:sz="0" w:space="0" w:color="auto"/>
        <w:left w:val="none" w:sz="0" w:space="0" w:color="auto"/>
        <w:bottom w:val="none" w:sz="0" w:space="0" w:color="auto"/>
        <w:right w:val="none" w:sz="0" w:space="0" w:color="auto"/>
      </w:divBdr>
    </w:div>
    <w:div w:id="1122384764">
      <w:bodyDiv w:val="1"/>
      <w:marLeft w:val="0"/>
      <w:marRight w:val="0"/>
      <w:marTop w:val="0"/>
      <w:marBottom w:val="0"/>
      <w:divBdr>
        <w:top w:val="none" w:sz="0" w:space="0" w:color="auto"/>
        <w:left w:val="none" w:sz="0" w:space="0" w:color="auto"/>
        <w:bottom w:val="none" w:sz="0" w:space="0" w:color="auto"/>
        <w:right w:val="none" w:sz="0" w:space="0" w:color="auto"/>
      </w:divBdr>
    </w:div>
    <w:div w:id="1135753601">
      <w:bodyDiv w:val="1"/>
      <w:marLeft w:val="0"/>
      <w:marRight w:val="0"/>
      <w:marTop w:val="0"/>
      <w:marBottom w:val="0"/>
      <w:divBdr>
        <w:top w:val="none" w:sz="0" w:space="0" w:color="auto"/>
        <w:left w:val="none" w:sz="0" w:space="0" w:color="auto"/>
        <w:bottom w:val="none" w:sz="0" w:space="0" w:color="auto"/>
        <w:right w:val="none" w:sz="0" w:space="0" w:color="auto"/>
      </w:divBdr>
    </w:div>
    <w:div w:id="1153449579">
      <w:bodyDiv w:val="1"/>
      <w:marLeft w:val="0"/>
      <w:marRight w:val="0"/>
      <w:marTop w:val="0"/>
      <w:marBottom w:val="0"/>
      <w:divBdr>
        <w:top w:val="none" w:sz="0" w:space="0" w:color="auto"/>
        <w:left w:val="none" w:sz="0" w:space="0" w:color="auto"/>
        <w:bottom w:val="none" w:sz="0" w:space="0" w:color="auto"/>
        <w:right w:val="none" w:sz="0" w:space="0" w:color="auto"/>
      </w:divBdr>
    </w:div>
    <w:div w:id="1158497346">
      <w:bodyDiv w:val="1"/>
      <w:marLeft w:val="0"/>
      <w:marRight w:val="0"/>
      <w:marTop w:val="0"/>
      <w:marBottom w:val="0"/>
      <w:divBdr>
        <w:top w:val="none" w:sz="0" w:space="0" w:color="auto"/>
        <w:left w:val="none" w:sz="0" w:space="0" w:color="auto"/>
        <w:bottom w:val="none" w:sz="0" w:space="0" w:color="auto"/>
        <w:right w:val="none" w:sz="0" w:space="0" w:color="auto"/>
      </w:divBdr>
    </w:div>
    <w:div w:id="1170869428">
      <w:bodyDiv w:val="1"/>
      <w:marLeft w:val="0"/>
      <w:marRight w:val="0"/>
      <w:marTop w:val="0"/>
      <w:marBottom w:val="0"/>
      <w:divBdr>
        <w:top w:val="none" w:sz="0" w:space="0" w:color="auto"/>
        <w:left w:val="none" w:sz="0" w:space="0" w:color="auto"/>
        <w:bottom w:val="none" w:sz="0" w:space="0" w:color="auto"/>
        <w:right w:val="none" w:sz="0" w:space="0" w:color="auto"/>
      </w:divBdr>
    </w:div>
    <w:div w:id="1190684081">
      <w:bodyDiv w:val="1"/>
      <w:marLeft w:val="0"/>
      <w:marRight w:val="0"/>
      <w:marTop w:val="0"/>
      <w:marBottom w:val="0"/>
      <w:divBdr>
        <w:top w:val="none" w:sz="0" w:space="0" w:color="auto"/>
        <w:left w:val="none" w:sz="0" w:space="0" w:color="auto"/>
        <w:bottom w:val="none" w:sz="0" w:space="0" w:color="auto"/>
        <w:right w:val="none" w:sz="0" w:space="0" w:color="auto"/>
      </w:divBdr>
    </w:div>
    <w:div w:id="1212960372">
      <w:bodyDiv w:val="1"/>
      <w:marLeft w:val="0"/>
      <w:marRight w:val="0"/>
      <w:marTop w:val="0"/>
      <w:marBottom w:val="0"/>
      <w:divBdr>
        <w:top w:val="none" w:sz="0" w:space="0" w:color="auto"/>
        <w:left w:val="none" w:sz="0" w:space="0" w:color="auto"/>
        <w:bottom w:val="none" w:sz="0" w:space="0" w:color="auto"/>
        <w:right w:val="none" w:sz="0" w:space="0" w:color="auto"/>
      </w:divBdr>
    </w:div>
    <w:div w:id="1231306590">
      <w:bodyDiv w:val="1"/>
      <w:marLeft w:val="0"/>
      <w:marRight w:val="0"/>
      <w:marTop w:val="0"/>
      <w:marBottom w:val="0"/>
      <w:divBdr>
        <w:top w:val="none" w:sz="0" w:space="0" w:color="auto"/>
        <w:left w:val="none" w:sz="0" w:space="0" w:color="auto"/>
        <w:bottom w:val="none" w:sz="0" w:space="0" w:color="auto"/>
        <w:right w:val="none" w:sz="0" w:space="0" w:color="auto"/>
      </w:divBdr>
    </w:div>
    <w:div w:id="1232734594">
      <w:bodyDiv w:val="1"/>
      <w:marLeft w:val="0"/>
      <w:marRight w:val="0"/>
      <w:marTop w:val="0"/>
      <w:marBottom w:val="0"/>
      <w:divBdr>
        <w:top w:val="none" w:sz="0" w:space="0" w:color="auto"/>
        <w:left w:val="none" w:sz="0" w:space="0" w:color="auto"/>
        <w:bottom w:val="none" w:sz="0" w:space="0" w:color="auto"/>
        <w:right w:val="none" w:sz="0" w:space="0" w:color="auto"/>
      </w:divBdr>
    </w:div>
    <w:div w:id="1239899592">
      <w:bodyDiv w:val="1"/>
      <w:marLeft w:val="0"/>
      <w:marRight w:val="0"/>
      <w:marTop w:val="0"/>
      <w:marBottom w:val="0"/>
      <w:divBdr>
        <w:top w:val="none" w:sz="0" w:space="0" w:color="auto"/>
        <w:left w:val="none" w:sz="0" w:space="0" w:color="auto"/>
        <w:bottom w:val="none" w:sz="0" w:space="0" w:color="auto"/>
        <w:right w:val="none" w:sz="0" w:space="0" w:color="auto"/>
      </w:divBdr>
    </w:div>
    <w:div w:id="1289236407">
      <w:bodyDiv w:val="1"/>
      <w:marLeft w:val="0"/>
      <w:marRight w:val="0"/>
      <w:marTop w:val="0"/>
      <w:marBottom w:val="0"/>
      <w:divBdr>
        <w:top w:val="none" w:sz="0" w:space="0" w:color="auto"/>
        <w:left w:val="none" w:sz="0" w:space="0" w:color="auto"/>
        <w:bottom w:val="none" w:sz="0" w:space="0" w:color="auto"/>
        <w:right w:val="none" w:sz="0" w:space="0" w:color="auto"/>
      </w:divBdr>
    </w:div>
    <w:div w:id="1289436654">
      <w:bodyDiv w:val="1"/>
      <w:marLeft w:val="0"/>
      <w:marRight w:val="0"/>
      <w:marTop w:val="0"/>
      <w:marBottom w:val="0"/>
      <w:divBdr>
        <w:top w:val="none" w:sz="0" w:space="0" w:color="auto"/>
        <w:left w:val="none" w:sz="0" w:space="0" w:color="auto"/>
        <w:bottom w:val="none" w:sz="0" w:space="0" w:color="auto"/>
        <w:right w:val="none" w:sz="0" w:space="0" w:color="auto"/>
      </w:divBdr>
    </w:div>
    <w:div w:id="1298754156">
      <w:bodyDiv w:val="1"/>
      <w:marLeft w:val="0"/>
      <w:marRight w:val="0"/>
      <w:marTop w:val="0"/>
      <w:marBottom w:val="0"/>
      <w:divBdr>
        <w:top w:val="none" w:sz="0" w:space="0" w:color="auto"/>
        <w:left w:val="none" w:sz="0" w:space="0" w:color="auto"/>
        <w:bottom w:val="none" w:sz="0" w:space="0" w:color="auto"/>
        <w:right w:val="none" w:sz="0" w:space="0" w:color="auto"/>
      </w:divBdr>
    </w:div>
    <w:div w:id="1308776848">
      <w:bodyDiv w:val="1"/>
      <w:marLeft w:val="0"/>
      <w:marRight w:val="0"/>
      <w:marTop w:val="0"/>
      <w:marBottom w:val="0"/>
      <w:divBdr>
        <w:top w:val="none" w:sz="0" w:space="0" w:color="auto"/>
        <w:left w:val="none" w:sz="0" w:space="0" w:color="auto"/>
        <w:bottom w:val="none" w:sz="0" w:space="0" w:color="auto"/>
        <w:right w:val="none" w:sz="0" w:space="0" w:color="auto"/>
      </w:divBdr>
    </w:div>
    <w:div w:id="1328022157">
      <w:bodyDiv w:val="1"/>
      <w:marLeft w:val="0"/>
      <w:marRight w:val="0"/>
      <w:marTop w:val="0"/>
      <w:marBottom w:val="0"/>
      <w:divBdr>
        <w:top w:val="none" w:sz="0" w:space="0" w:color="auto"/>
        <w:left w:val="none" w:sz="0" w:space="0" w:color="auto"/>
        <w:bottom w:val="none" w:sz="0" w:space="0" w:color="auto"/>
        <w:right w:val="none" w:sz="0" w:space="0" w:color="auto"/>
      </w:divBdr>
    </w:div>
    <w:div w:id="1333339226">
      <w:bodyDiv w:val="1"/>
      <w:marLeft w:val="0"/>
      <w:marRight w:val="0"/>
      <w:marTop w:val="0"/>
      <w:marBottom w:val="0"/>
      <w:divBdr>
        <w:top w:val="none" w:sz="0" w:space="0" w:color="auto"/>
        <w:left w:val="none" w:sz="0" w:space="0" w:color="auto"/>
        <w:bottom w:val="none" w:sz="0" w:space="0" w:color="auto"/>
        <w:right w:val="none" w:sz="0" w:space="0" w:color="auto"/>
      </w:divBdr>
    </w:div>
    <w:div w:id="1339229951">
      <w:bodyDiv w:val="1"/>
      <w:marLeft w:val="0"/>
      <w:marRight w:val="0"/>
      <w:marTop w:val="0"/>
      <w:marBottom w:val="0"/>
      <w:divBdr>
        <w:top w:val="none" w:sz="0" w:space="0" w:color="auto"/>
        <w:left w:val="none" w:sz="0" w:space="0" w:color="auto"/>
        <w:bottom w:val="none" w:sz="0" w:space="0" w:color="auto"/>
        <w:right w:val="none" w:sz="0" w:space="0" w:color="auto"/>
      </w:divBdr>
    </w:div>
    <w:div w:id="1342273147">
      <w:bodyDiv w:val="1"/>
      <w:marLeft w:val="0"/>
      <w:marRight w:val="0"/>
      <w:marTop w:val="0"/>
      <w:marBottom w:val="0"/>
      <w:divBdr>
        <w:top w:val="none" w:sz="0" w:space="0" w:color="auto"/>
        <w:left w:val="none" w:sz="0" w:space="0" w:color="auto"/>
        <w:bottom w:val="none" w:sz="0" w:space="0" w:color="auto"/>
        <w:right w:val="none" w:sz="0" w:space="0" w:color="auto"/>
      </w:divBdr>
    </w:div>
    <w:div w:id="1383752445">
      <w:bodyDiv w:val="1"/>
      <w:marLeft w:val="0"/>
      <w:marRight w:val="0"/>
      <w:marTop w:val="0"/>
      <w:marBottom w:val="0"/>
      <w:divBdr>
        <w:top w:val="none" w:sz="0" w:space="0" w:color="auto"/>
        <w:left w:val="none" w:sz="0" w:space="0" w:color="auto"/>
        <w:bottom w:val="none" w:sz="0" w:space="0" w:color="auto"/>
        <w:right w:val="none" w:sz="0" w:space="0" w:color="auto"/>
      </w:divBdr>
    </w:div>
    <w:div w:id="1406486474">
      <w:bodyDiv w:val="1"/>
      <w:marLeft w:val="0"/>
      <w:marRight w:val="0"/>
      <w:marTop w:val="0"/>
      <w:marBottom w:val="0"/>
      <w:divBdr>
        <w:top w:val="none" w:sz="0" w:space="0" w:color="auto"/>
        <w:left w:val="none" w:sz="0" w:space="0" w:color="auto"/>
        <w:bottom w:val="none" w:sz="0" w:space="0" w:color="auto"/>
        <w:right w:val="none" w:sz="0" w:space="0" w:color="auto"/>
      </w:divBdr>
    </w:div>
    <w:div w:id="1417288746">
      <w:bodyDiv w:val="1"/>
      <w:marLeft w:val="0"/>
      <w:marRight w:val="0"/>
      <w:marTop w:val="0"/>
      <w:marBottom w:val="0"/>
      <w:divBdr>
        <w:top w:val="none" w:sz="0" w:space="0" w:color="auto"/>
        <w:left w:val="none" w:sz="0" w:space="0" w:color="auto"/>
        <w:bottom w:val="none" w:sz="0" w:space="0" w:color="auto"/>
        <w:right w:val="none" w:sz="0" w:space="0" w:color="auto"/>
      </w:divBdr>
    </w:div>
    <w:div w:id="1426998616">
      <w:bodyDiv w:val="1"/>
      <w:marLeft w:val="0"/>
      <w:marRight w:val="0"/>
      <w:marTop w:val="0"/>
      <w:marBottom w:val="0"/>
      <w:divBdr>
        <w:top w:val="none" w:sz="0" w:space="0" w:color="auto"/>
        <w:left w:val="none" w:sz="0" w:space="0" w:color="auto"/>
        <w:bottom w:val="none" w:sz="0" w:space="0" w:color="auto"/>
        <w:right w:val="none" w:sz="0" w:space="0" w:color="auto"/>
      </w:divBdr>
    </w:div>
    <w:div w:id="1431659297">
      <w:bodyDiv w:val="1"/>
      <w:marLeft w:val="0"/>
      <w:marRight w:val="0"/>
      <w:marTop w:val="0"/>
      <w:marBottom w:val="0"/>
      <w:divBdr>
        <w:top w:val="none" w:sz="0" w:space="0" w:color="auto"/>
        <w:left w:val="none" w:sz="0" w:space="0" w:color="auto"/>
        <w:bottom w:val="none" w:sz="0" w:space="0" w:color="auto"/>
        <w:right w:val="none" w:sz="0" w:space="0" w:color="auto"/>
      </w:divBdr>
    </w:div>
    <w:div w:id="1433546603">
      <w:bodyDiv w:val="1"/>
      <w:marLeft w:val="0"/>
      <w:marRight w:val="0"/>
      <w:marTop w:val="0"/>
      <w:marBottom w:val="0"/>
      <w:divBdr>
        <w:top w:val="none" w:sz="0" w:space="0" w:color="auto"/>
        <w:left w:val="none" w:sz="0" w:space="0" w:color="auto"/>
        <w:bottom w:val="none" w:sz="0" w:space="0" w:color="auto"/>
        <w:right w:val="none" w:sz="0" w:space="0" w:color="auto"/>
      </w:divBdr>
    </w:div>
    <w:div w:id="1444304378">
      <w:bodyDiv w:val="1"/>
      <w:marLeft w:val="0"/>
      <w:marRight w:val="0"/>
      <w:marTop w:val="0"/>
      <w:marBottom w:val="0"/>
      <w:divBdr>
        <w:top w:val="none" w:sz="0" w:space="0" w:color="auto"/>
        <w:left w:val="none" w:sz="0" w:space="0" w:color="auto"/>
        <w:bottom w:val="none" w:sz="0" w:space="0" w:color="auto"/>
        <w:right w:val="none" w:sz="0" w:space="0" w:color="auto"/>
      </w:divBdr>
    </w:div>
    <w:div w:id="1476333676">
      <w:bodyDiv w:val="1"/>
      <w:marLeft w:val="0"/>
      <w:marRight w:val="0"/>
      <w:marTop w:val="0"/>
      <w:marBottom w:val="0"/>
      <w:divBdr>
        <w:top w:val="none" w:sz="0" w:space="0" w:color="auto"/>
        <w:left w:val="none" w:sz="0" w:space="0" w:color="auto"/>
        <w:bottom w:val="none" w:sz="0" w:space="0" w:color="auto"/>
        <w:right w:val="none" w:sz="0" w:space="0" w:color="auto"/>
      </w:divBdr>
    </w:div>
    <w:div w:id="1490363777">
      <w:bodyDiv w:val="1"/>
      <w:marLeft w:val="0"/>
      <w:marRight w:val="0"/>
      <w:marTop w:val="0"/>
      <w:marBottom w:val="0"/>
      <w:divBdr>
        <w:top w:val="none" w:sz="0" w:space="0" w:color="auto"/>
        <w:left w:val="none" w:sz="0" w:space="0" w:color="auto"/>
        <w:bottom w:val="none" w:sz="0" w:space="0" w:color="auto"/>
        <w:right w:val="none" w:sz="0" w:space="0" w:color="auto"/>
      </w:divBdr>
    </w:div>
    <w:div w:id="1499737203">
      <w:bodyDiv w:val="1"/>
      <w:marLeft w:val="0"/>
      <w:marRight w:val="0"/>
      <w:marTop w:val="0"/>
      <w:marBottom w:val="0"/>
      <w:divBdr>
        <w:top w:val="none" w:sz="0" w:space="0" w:color="auto"/>
        <w:left w:val="none" w:sz="0" w:space="0" w:color="auto"/>
        <w:bottom w:val="none" w:sz="0" w:space="0" w:color="auto"/>
        <w:right w:val="none" w:sz="0" w:space="0" w:color="auto"/>
      </w:divBdr>
    </w:div>
    <w:div w:id="1505977964">
      <w:bodyDiv w:val="1"/>
      <w:marLeft w:val="0"/>
      <w:marRight w:val="0"/>
      <w:marTop w:val="0"/>
      <w:marBottom w:val="0"/>
      <w:divBdr>
        <w:top w:val="none" w:sz="0" w:space="0" w:color="auto"/>
        <w:left w:val="none" w:sz="0" w:space="0" w:color="auto"/>
        <w:bottom w:val="none" w:sz="0" w:space="0" w:color="auto"/>
        <w:right w:val="none" w:sz="0" w:space="0" w:color="auto"/>
      </w:divBdr>
    </w:div>
    <w:div w:id="1522083198">
      <w:bodyDiv w:val="1"/>
      <w:marLeft w:val="0"/>
      <w:marRight w:val="0"/>
      <w:marTop w:val="0"/>
      <w:marBottom w:val="0"/>
      <w:divBdr>
        <w:top w:val="none" w:sz="0" w:space="0" w:color="auto"/>
        <w:left w:val="none" w:sz="0" w:space="0" w:color="auto"/>
        <w:bottom w:val="none" w:sz="0" w:space="0" w:color="auto"/>
        <w:right w:val="none" w:sz="0" w:space="0" w:color="auto"/>
      </w:divBdr>
    </w:div>
    <w:div w:id="1558055649">
      <w:bodyDiv w:val="1"/>
      <w:marLeft w:val="0"/>
      <w:marRight w:val="0"/>
      <w:marTop w:val="0"/>
      <w:marBottom w:val="0"/>
      <w:divBdr>
        <w:top w:val="none" w:sz="0" w:space="0" w:color="auto"/>
        <w:left w:val="none" w:sz="0" w:space="0" w:color="auto"/>
        <w:bottom w:val="none" w:sz="0" w:space="0" w:color="auto"/>
        <w:right w:val="none" w:sz="0" w:space="0" w:color="auto"/>
      </w:divBdr>
      <w:divsChild>
        <w:div w:id="452141210">
          <w:marLeft w:val="0"/>
          <w:marRight w:val="0"/>
          <w:marTop w:val="0"/>
          <w:marBottom w:val="0"/>
          <w:divBdr>
            <w:top w:val="none" w:sz="0" w:space="0" w:color="auto"/>
            <w:left w:val="none" w:sz="0" w:space="0" w:color="auto"/>
            <w:bottom w:val="none" w:sz="0" w:space="0" w:color="auto"/>
            <w:right w:val="none" w:sz="0" w:space="0" w:color="auto"/>
          </w:divBdr>
        </w:div>
        <w:div w:id="935404887">
          <w:marLeft w:val="0"/>
          <w:marRight w:val="0"/>
          <w:marTop w:val="0"/>
          <w:marBottom w:val="0"/>
          <w:divBdr>
            <w:top w:val="none" w:sz="0" w:space="0" w:color="auto"/>
            <w:left w:val="none" w:sz="0" w:space="0" w:color="auto"/>
            <w:bottom w:val="none" w:sz="0" w:space="0" w:color="auto"/>
            <w:right w:val="none" w:sz="0" w:space="0" w:color="auto"/>
          </w:divBdr>
        </w:div>
        <w:div w:id="332688574">
          <w:marLeft w:val="0"/>
          <w:marRight w:val="0"/>
          <w:marTop w:val="0"/>
          <w:marBottom w:val="0"/>
          <w:divBdr>
            <w:top w:val="none" w:sz="0" w:space="0" w:color="auto"/>
            <w:left w:val="none" w:sz="0" w:space="0" w:color="auto"/>
            <w:bottom w:val="none" w:sz="0" w:space="0" w:color="auto"/>
            <w:right w:val="none" w:sz="0" w:space="0" w:color="auto"/>
          </w:divBdr>
        </w:div>
        <w:div w:id="1783331396">
          <w:marLeft w:val="0"/>
          <w:marRight w:val="0"/>
          <w:marTop w:val="0"/>
          <w:marBottom w:val="0"/>
          <w:divBdr>
            <w:top w:val="none" w:sz="0" w:space="0" w:color="auto"/>
            <w:left w:val="none" w:sz="0" w:space="0" w:color="auto"/>
            <w:bottom w:val="none" w:sz="0" w:space="0" w:color="auto"/>
            <w:right w:val="none" w:sz="0" w:space="0" w:color="auto"/>
          </w:divBdr>
        </w:div>
        <w:div w:id="527649133">
          <w:marLeft w:val="0"/>
          <w:marRight w:val="0"/>
          <w:marTop w:val="0"/>
          <w:marBottom w:val="0"/>
          <w:divBdr>
            <w:top w:val="none" w:sz="0" w:space="0" w:color="auto"/>
            <w:left w:val="none" w:sz="0" w:space="0" w:color="auto"/>
            <w:bottom w:val="none" w:sz="0" w:space="0" w:color="auto"/>
            <w:right w:val="none" w:sz="0" w:space="0" w:color="auto"/>
          </w:divBdr>
        </w:div>
        <w:div w:id="2143888921">
          <w:marLeft w:val="0"/>
          <w:marRight w:val="0"/>
          <w:marTop w:val="0"/>
          <w:marBottom w:val="0"/>
          <w:divBdr>
            <w:top w:val="none" w:sz="0" w:space="0" w:color="auto"/>
            <w:left w:val="none" w:sz="0" w:space="0" w:color="auto"/>
            <w:bottom w:val="none" w:sz="0" w:space="0" w:color="auto"/>
            <w:right w:val="none" w:sz="0" w:space="0" w:color="auto"/>
          </w:divBdr>
        </w:div>
        <w:div w:id="669720468">
          <w:marLeft w:val="0"/>
          <w:marRight w:val="0"/>
          <w:marTop w:val="0"/>
          <w:marBottom w:val="0"/>
          <w:divBdr>
            <w:top w:val="none" w:sz="0" w:space="0" w:color="auto"/>
            <w:left w:val="none" w:sz="0" w:space="0" w:color="auto"/>
            <w:bottom w:val="none" w:sz="0" w:space="0" w:color="auto"/>
            <w:right w:val="none" w:sz="0" w:space="0" w:color="auto"/>
          </w:divBdr>
        </w:div>
        <w:div w:id="1866794277">
          <w:marLeft w:val="0"/>
          <w:marRight w:val="0"/>
          <w:marTop w:val="0"/>
          <w:marBottom w:val="0"/>
          <w:divBdr>
            <w:top w:val="none" w:sz="0" w:space="0" w:color="auto"/>
            <w:left w:val="none" w:sz="0" w:space="0" w:color="auto"/>
            <w:bottom w:val="none" w:sz="0" w:space="0" w:color="auto"/>
            <w:right w:val="none" w:sz="0" w:space="0" w:color="auto"/>
          </w:divBdr>
        </w:div>
      </w:divsChild>
    </w:div>
    <w:div w:id="1574122017">
      <w:bodyDiv w:val="1"/>
      <w:marLeft w:val="0"/>
      <w:marRight w:val="0"/>
      <w:marTop w:val="0"/>
      <w:marBottom w:val="0"/>
      <w:divBdr>
        <w:top w:val="none" w:sz="0" w:space="0" w:color="auto"/>
        <w:left w:val="none" w:sz="0" w:space="0" w:color="auto"/>
        <w:bottom w:val="none" w:sz="0" w:space="0" w:color="auto"/>
        <w:right w:val="none" w:sz="0" w:space="0" w:color="auto"/>
      </w:divBdr>
    </w:div>
    <w:div w:id="1587761739">
      <w:bodyDiv w:val="1"/>
      <w:marLeft w:val="0"/>
      <w:marRight w:val="0"/>
      <w:marTop w:val="0"/>
      <w:marBottom w:val="0"/>
      <w:divBdr>
        <w:top w:val="none" w:sz="0" w:space="0" w:color="auto"/>
        <w:left w:val="none" w:sz="0" w:space="0" w:color="auto"/>
        <w:bottom w:val="none" w:sz="0" w:space="0" w:color="auto"/>
        <w:right w:val="none" w:sz="0" w:space="0" w:color="auto"/>
      </w:divBdr>
    </w:div>
    <w:div w:id="1588924783">
      <w:bodyDiv w:val="1"/>
      <w:marLeft w:val="0"/>
      <w:marRight w:val="0"/>
      <w:marTop w:val="0"/>
      <w:marBottom w:val="0"/>
      <w:divBdr>
        <w:top w:val="none" w:sz="0" w:space="0" w:color="auto"/>
        <w:left w:val="none" w:sz="0" w:space="0" w:color="auto"/>
        <w:bottom w:val="none" w:sz="0" w:space="0" w:color="auto"/>
        <w:right w:val="none" w:sz="0" w:space="0" w:color="auto"/>
      </w:divBdr>
    </w:div>
    <w:div w:id="1600330699">
      <w:bodyDiv w:val="1"/>
      <w:marLeft w:val="0"/>
      <w:marRight w:val="0"/>
      <w:marTop w:val="0"/>
      <w:marBottom w:val="0"/>
      <w:divBdr>
        <w:top w:val="none" w:sz="0" w:space="0" w:color="auto"/>
        <w:left w:val="none" w:sz="0" w:space="0" w:color="auto"/>
        <w:bottom w:val="none" w:sz="0" w:space="0" w:color="auto"/>
        <w:right w:val="none" w:sz="0" w:space="0" w:color="auto"/>
      </w:divBdr>
    </w:div>
    <w:div w:id="1601717256">
      <w:bodyDiv w:val="1"/>
      <w:marLeft w:val="0"/>
      <w:marRight w:val="0"/>
      <w:marTop w:val="0"/>
      <w:marBottom w:val="0"/>
      <w:divBdr>
        <w:top w:val="none" w:sz="0" w:space="0" w:color="auto"/>
        <w:left w:val="none" w:sz="0" w:space="0" w:color="auto"/>
        <w:bottom w:val="none" w:sz="0" w:space="0" w:color="auto"/>
        <w:right w:val="none" w:sz="0" w:space="0" w:color="auto"/>
      </w:divBdr>
    </w:div>
    <w:div w:id="1656379029">
      <w:bodyDiv w:val="1"/>
      <w:marLeft w:val="0"/>
      <w:marRight w:val="0"/>
      <w:marTop w:val="0"/>
      <w:marBottom w:val="0"/>
      <w:divBdr>
        <w:top w:val="none" w:sz="0" w:space="0" w:color="auto"/>
        <w:left w:val="none" w:sz="0" w:space="0" w:color="auto"/>
        <w:bottom w:val="none" w:sz="0" w:space="0" w:color="auto"/>
        <w:right w:val="none" w:sz="0" w:space="0" w:color="auto"/>
      </w:divBdr>
    </w:div>
    <w:div w:id="1658415102">
      <w:bodyDiv w:val="1"/>
      <w:marLeft w:val="0"/>
      <w:marRight w:val="0"/>
      <w:marTop w:val="0"/>
      <w:marBottom w:val="0"/>
      <w:divBdr>
        <w:top w:val="none" w:sz="0" w:space="0" w:color="auto"/>
        <w:left w:val="none" w:sz="0" w:space="0" w:color="auto"/>
        <w:bottom w:val="none" w:sz="0" w:space="0" w:color="auto"/>
        <w:right w:val="none" w:sz="0" w:space="0" w:color="auto"/>
      </w:divBdr>
    </w:div>
    <w:div w:id="1668316129">
      <w:bodyDiv w:val="1"/>
      <w:marLeft w:val="0"/>
      <w:marRight w:val="0"/>
      <w:marTop w:val="0"/>
      <w:marBottom w:val="0"/>
      <w:divBdr>
        <w:top w:val="none" w:sz="0" w:space="0" w:color="auto"/>
        <w:left w:val="none" w:sz="0" w:space="0" w:color="auto"/>
        <w:bottom w:val="none" w:sz="0" w:space="0" w:color="auto"/>
        <w:right w:val="none" w:sz="0" w:space="0" w:color="auto"/>
      </w:divBdr>
    </w:div>
    <w:div w:id="1679187891">
      <w:bodyDiv w:val="1"/>
      <w:marLeft w:val="0"/>
      <w:marRight w:val="0"/>
      <w:marTop w:val="0"/>
      <w:marBottom w:val="0"/>
      <w:divBdr>
        <w:top w:val="none" w:sz="0" w:space="0" w:color="auto"/>
        <w:left w:val="none" w:sz="0" w:space="0" w:color="auto"/>
        <w:bottom w:val="none" w:sz="0" w:space="0" w:color="auto"/>
        <w:right w:val="none" w:sz="0" w:space="0" w:color="auto"/>
      </w:divBdr>
    </w:div>
    <w:div w:id="1730765999">
      <w:bodyDiv w:val="1"/>
      <w:marLeft w:val="0"/>
      <w:marRight w:val="0"/>
      <w:marTop w:val="0"/>
      <w:marBottom w:val="0"/>
      <w:divBdr>
        <w:top w:val="none" w:sz="0" w:space="0" w:color="auto"/>
        <w:left w:val="none" w:sz="0" w:space="0" w:color="auto"/>
        <w:bottom w:val="none" w:sz="0" w:space="0" w:color="auto"/>
        <w:right w:val="none" w:sz="0" w:space="0" w:color="auto"/>
      </w:divBdr>
    </w:div>
    <w:div w:id="1740395059">
      <w:bodyDiv w:val="1"/>
      <w:marLeft w:val="0"/>
      <w:marRight w:val="0"/>
      <w:marTop w:val="0"/>
      <w:marBottom w:val="0"/>
      <w:divBdr>
        <w:top w:val="none" w:sz="0" w:space="0" w:color="auto"/>
        <w:left w:val="none" w:sz="0" w:space="0" w:color="auto"/>
        <w:bottom w:val="none" w:sz="0" w:space="0" w:color="auto"/>
        <w:right w:val="none" w:sz="0" w:space="0" w:color="auto"/>
      </w:divBdr>
    </w:div>
    <w:div w:id="1810781322">
      <w:bodyDiv w:val="1"/>
      <w:marLeft w:val="0"/>
      <w:marRight w:val="0"/>
      <w:marTop w:val="0"/>
      <w:marBottom w:val="0"/>
      <w:divBdr>
        <w:top w:val="none" w:sz="0" w:space="0" w:color="auto"/>
        <w:left w:val="none" w:sz="0" w:space="0" w:color="auto"/>
        <w:bottom w:val="none" w:sz="0" w:space="0" w:color="auto"/>
        <w:right w:val="none" w:sz="0" w:space="0" w:color="auto"/>
      </w:divBdr>
    </w:div>
    <w:div w:id="1811554828">
      <w:bodyDiv w:val="1"/>
      <w:marLeft w:val="0"/>
      <w:marRight w:val="0"/>
      <w:marTop w:val="0"/>
      <w:marBottom w:val="0"/>
      <w:divBdr>
        <w:top w:val="none" w:sz="0" w:space="0" w:color="auto"/>
        <w:left w:val="none" w:sz="0" w:space="0" w:color="auto"/>
        <w:bottom w:val="none" w:sz="0" w:space="0" w:color="auto"/>
        <w:right w:val="none" w:sz="0" w:space="0" w:color="auto"/>
      </w:divBdr>
    </w:div>
    <w:div w:id="1846825714">
      <w:bodyDiv w:val="1"/>
      <w:marLeft w:val="0"/>
      <w:marRight w:val="0"/>
      <w:marTop w:val="0"/>
      <w:marBottom w:val="0"/>
      <w:divBdr>
        <w:top w:val="none" w:sz="0" w:space="0" w:color="auto"/>
        <w:left w:val="none" w:sz="0" w:space="0" w:color="auto"/>
        <w:bottom w:val="none" w:sz="0" w:space="0" w:color="auto"/>
        <w:right w:val="none" w:sz="0" w:space="0" w:color="auto"/>
      </w:divBdr>
    </w:div>
    <w:div w:id="1865240496">
      <w:bodyDiv w:val="1"/>
      <w:marLeft w:val="0"/>
      <w:marRight w:val="0"/>
      <w:marTop w:val="0"/>
      <w:marBottom w:val="0"/>
      <w:divBdr>
        <w:top w:val="none" w:sz="0" w:space="0" w:color="auto"/>
        <w:left w:val="none" w:sz="0" w:space="0" w:color="auto"/>
        <w:bottom w:val="none" w:sz="0" w:space="0" w:color="auto"/>
        <w:right w:val="none" w:sz="0" w:space="0" w:color="auto"/>
      </w:divBdr>
    </w:div>
    <w:div w:id="1867979738">
      <w:bodyDiv w:val="1"/>
      <w:marLeft w:val="0"/>
      <w:marRight w:val="0"/>
      <w:marTop w:val="0"/>
      <w:marBottom w:val="0"/>
      <w:divBdr>
        <w:top w:val="none" w:sz="0" w:space="0" w:color="auto"/>
        <w:left w:val="none" w:sz="0" w:space="0" w:color="auto"/>
        <w:bottom w:val="none" w:sz="0" w:space="0" w:color="auto"/>
        <w:right w:val="none" w:sz="0" w:space="0" w:color="auto"/>
      </w:divBdr>
    </w:div>
    <w:div w:id="1912082233">
      <w:bodyDiv w:val="1"/>
      <w:marLeft w:val="0"/>
      <w:marRight w:val="0"/>
      <w:marTop w:val="0"/>
      <w:marBottom w:val="0"/>
      <w:divBdr>
        <w:top w:val="none" w:sz="0" w:space="0" w:color="auto"/>
        <w:left w:val="none" w:sz="0" w:space="0" w:color="auto"/>
        <w:bottom w:val="none" w:sz="0" w:space="0" w:color="auto"/>
        <w:right w:val="none" w:sz="0" w:space="0" w:color="auto"/>
      </w:divBdr>
    </w:div>
    <w:div w:id="1964844181">
      <w:bodyDiv w:val="1"/>
      <w:marLeft w:val="0"/>
      <w:marRight w:val="0"/>
      <w:marTop w:val="0"/>
      <w:marBottom w:val="0"/>
      <w:divBdr>
        <w:top w:val="none" w:sz="0" w:space="0" w:color="auto"/>
        <w:left w:val="none" w:sz="0" w:space="0" w:color="auto"/>
        <w:bottom w:val="none" w:sz="0" w:space="0" w:color="auto"/>
        <w:right w:val="none" w:sz="0" w:space="0" w:color="auto"/>
      </w:divBdr>
    </w:div>
    <w:div w:id="1965573842">
      <w:bodyDiv w:val="1"/>
      <w:marLeft w:val="0"/>
      <w:marRight w:val="0"/>
      <w:marTop w:val="0"/>
      <w:marBottom w:val="0"/>
      <w:divBdr>
        <w:top w:val="none" w:sz="0" w:space="0" w:color="auto"/>
        <w:left w:val="none" w:sz="0" w:space="0" w:color="auto"/>
        <w:bottom w:val="none" w:sz="0" w:space="0" w:color="auto"/>
        <w:right w:val="none" w:sz="0" w:space="0" w:color="auto"/>
      </w:divBdr>
    </w:div>
    <w:div w:id="2011449506">
      <w:bodyDiv w:val="1"/>
      <w:marLeft w:val="0"/>
      <w:marRight w:val="0"/>
      <w:marTop w:val="0"/>
      <w:marBottom w:val="0"/>
      <w:divBdr>
        <w:top w:val="none" w:sz="0" w:space="0" w:color="auto"/>
        <w:left w:val="none" w:sz="0" w:space="0" w:color="auto"/>
        <w:bottom w:val="none" w:sz="0" w:space="0" w:color="auto"/>
        <w:right w:val="none" w:sz="0" w:space="0" w:color="auto"/>
      </w:divBdr>
    </w:div>
    <w:div w:id="2011635634">
      <w:bodyDiv w:val="1"/>
      <w:marLeft w:val="0"/>
      <w:marRight w:val="0"/>
      <w:marTop w:val="0"/>
      <w:marBottom w:val="0"/>
      <w:divBdr>
        <w:top w:val="none" w:sz="0" w:space="0" w:color="auto"/>
        <w:left w:val="none" w:sz="0" w:space="0" w:color="auto"/>
        <w:bottom w:val="none" w:sz="0" w:space="0" w:color="auto"/>
        <w:right w:val="none" w:sz="0" w:space="0" w:color="auto"/>
      </w:divBdr>
    </w:div>
    <w:div w:id="2022464361">
      <w:bodyDiv w:val="1"/>
      <w:marLeft w:val="0"/>
      <w:marRight w:val="0"/>
      <w:marTop w:val="0"/>
      <w:marBottom w:val="0"/>
      <w:divBdr>
        <w:top w:val="none" w:sz="0" w:space="0" w:color="auto"/>
        <w:left w:val="none" w:sz="0" w:space="0" w:color="auto"/>
        <w:bottom w:val="none" w:sz="0" w:space="0" w:color="auto"/>
        <w:right w:val="none" w:sz="0" w:space="0" w:color="auto"/>
      </w:divBdr>
    </w:div>
    <w:div w:id="2039697647">
      <w:bodyDiv w:val="1"/>
      <w:marLeft w:val="0"/>
      <w:marRight w:val="0"/>
      <w:marTop w:val="0"/>
      <w:marBottom w:val="0"/>
      <w:divBdr>
        <w:top w:val="none" w:sz="0" w:space="0" w:color="auto"/>
        <w:left w:val="none" w:sz="0" w:space="0" w:color="auto"/>
        <w:bottom w:val="none" w:sz="0" w:space="0" w:color="auto"/>
        <w:right w:val="none" w:sz="0" w:space="0" w:color="auto"/>
      </w:divBdr>
    </w:div>
    <w:div w:id="2065371372">
      <w:bodyDiv w:val="1"/>
      <w:marLeft w:val="0"/>
      <w:marRight w:val="0"/>
      <w:marTop w:val="0"/>
      <w:marBottom w:val="0"/>
      <w:divBdr>
        <w:top w:val="none" w:sz="0" w:space="0" w:color="auto"/>
        <w:left w:val="none" w:sz="0" w:space="0" w:color="auto"/>
        <w:bottom w:val="none" w:sz="0" w:space="0" w:color="auto"/>
        <w:right w:val="none" w:sz="0" w:space="0" w:color="auto"/>
      </w:divBdr>
    </w:div>
    <w:div w:id="2076277906">
      <w:bodyDiv w:val="1"/>
      <w:marLeft w:val="0"/>
      <w:marRight w:val="0"/>
      <w:marTop w:val="0"/>
      <w:marBottom w:val="0"/>
      <w:divBdr>
        <w:top w:val="none" w:sz="0" w:space="0" w:color="auto"/>
        <w:left w:val="none" w:sz="0" w:space="0" w:color="auto"/>
        <w:bottom w:val="none" w:sz="0" w:space="0" w:color="auto"/>
        <w:right w:val="none" w:sz="0" w:space="0" w:color="auto"/>
      </w:divBdr>
    </w:div>
    <w:div w:id="2086873881">
      <w:bodyDiv w:val="1"/>
      <w:marLeft w:val="0"/>
      <w:marRight w:val="0"/>
      <w:marTop w:val="0"/>
      <w:marBottom w:val="0"/>
      <w:divBdr>
        <w:top w:val="none" w:sz="0" w:space="0" w:color="auto"/>
        <w:left w:val="none" w:sz="0" w:space="0" w:color="auto"/>
        <w:bottom w:val="none" w:sz="0" w:space="0" w:color="auto"/>
        <w:right w:val="none" w:sz="0" w:space="0" w:color="auto"/>
      </w:divBdr>
    </w:div>
    <w:div w:id="2104300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pro.ligazakon.net/document/GK56068?ed=2024_02_22&amp;an=53"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kon-pro.ligazakon.net/document/GK52834?ed=2022_12_20&amp;an=22" TargetMode="External"/><Relationship Id="rId5" Type="http://schemas.openxmlformats.org/officeDocument/2006/relationships/webSettings" Target="webSettings.xml"/><Relationship Id="rId10" Type="http://schemas.openxmlformats.org/officeDocument/2006/relationships/hyperlink" Target="https://zakon-pro.ligazakon.net/document/GK56068?ed=2024_02_22&amp;an=53" TargetMode="External"/><Relationship Id="rId4" Type="http://schemas.openxmlformats.org/officeDocument/2006/relationships/settings" Target="settings.xml"/><Relationship Id="rId9" Type="http://schemas.openxmlformats.org/officeDocument/2006/relationships/hyperlink" Target="https://zakon-pro.ligazakon.net/document/GK60797?ed=2026_03_17&amp;an=83"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AFB1F3-8A11-4187-84F6-55128EA2B9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7</Pages>
  <Words>10117</Words>
  <Characters>5767</Characters>
  <Application>Microsoft Office Word</Application>
  <DocSecurity>0</DocSecurity>
  <Lines>48</Lines>
  <Paragraphs>31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Редакція до змін</vt:lpstr>
      <vt:lpstr>Редакція до змін</vt:lpstr>
    </vt:vector>
  </TitlesOfParts>
  <Company>microsoft</Company>
  <LinksUpToDate>false</LinksUpToDate>
  <CharactersWithSpaces>15853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Редакція до змін</dc:title>
  <dc:subject/>
  <dc:creator>Rusnak</dc:creator>
  <cp:keywords/>
  <cp:lastModifiedBy>Григорій Туленко</cp:lastModifiedBy>
  <cp:revision>11</cp:revision>
  <cp:lastPrinted>2020-06-17T14:01:00Z</cp:lastPrinted>
  <dcterms:created xsi:type="dcterms:W3CDTF">2026-07-31T07:33:00Z</dcterms:created>
  <dcterms:modified xsi:type="dcterms:W3CDTF">2026-08-06T09:20:00Z</dcterms:modified>
</cp:coreProperties>
</file>